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8F" w:rsidRPr="00786EEB" w:rsidRDefault="004356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2550/18</w:t>
      </w:r>
    </w:p>
    <w:p w:rsidR="0043568F" w:rsidRDefault="0043568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3568F" w:rsidRPr="00762B34" w:rsidRDefault="004356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3568F" w:rsidRPr="00762B34" w:rsidRDefault="0043568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3568F" w:rsidRPr="00762B34" w:rsidRDefault="004356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3568F" w:rsidRPr="00762B34" w:rsidRDefault="0043568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3568F" w:rsidRPr="00762B34" w:rsidRDefault="004356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AGOSTO </w:t>
      </w:r>
      <w:r>
        <w:rPr>
          <w:rFonts w:ascii="Helvetica" w:hAnsi="Helvetica"/>
          <w:b/>
          <w:lang w:val="es-ES_tradnl"/>
        </w:rPr>
        <w:t>DE 2018</w:t>
      </w:r>
    </w:p>
    <w:p w:rsidR="0043568F" w:rsidRPr="00762B34" w:rsidRDefault="004356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3568F" w:rsidRPr="003E46D1" w:rsidRDefault="0043568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3E46D1">
        <w:rPr>
          <w:rFonts w:ascii="Arial" w:hAnsi="Arial" w:cs="Arial"/>
          <w:b/>
          <w:lang w:val="es-UY"/>
        </w:rPr>
        <w:t>(E. E. Nº 2018-17-1-0004974, Ent. N° 3808/18)</w:t>
      </w:r>
    </w:p>
    <w:p w:rsidR="0043568F" w:rsidRPr="003E46D1" w:rsidRDefault="0043568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6F6F12" w:rsidRDefault="006F6F12" w:rsidP="006F6F12">
      <w:pPr>
        <w:rPr>
          <w:rFonts w:ascii="Arial" w:hAnsi="Arial" w:cs="Arial"/>
        </w:rPr>
      </w:pPr>
    </w:p>
    <w:p w:rsidR="006F6F12" w:rsidRDefault="006F6F12" w:rsidP="0043568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: estas actuaciones remitidas por la Agencia Nacional de Vivienda (ANV), relativas a la contratación en régimen de arrendamientos de servicios  del  </w:t>
      </w:r>
      <w:proofErr w:type="spellStart"/>
      <w:r>
        <w:rPr>
          <w:rFonts w:ascii="Arial" w:hAnsi="Arial" w:cs="Arial"/>
        </w:rPr>
        <w:t>Ec</w:t>
      </w:r>
      <w:proofErr w:type="spellEnd"/>
      <w:r>
        <w:rPr>
          <w:rFonts w:ascii="Arial" w:hAnsi="Arial" w:cs="Arial"/>
        </w:rPr>
        <w:t>. Mario Rogelio Pereira;</w:t>
      </w:r>
    </w:p>
    <w:p w:rsidR="0043568F" w:rsidRDefault="006F6F12" w:rsidP="0043568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4356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por</w:t>
      </w:r>
      <w:r>
        <w:rPr>
          <w:rFonts w:ascii="Arial" w:hAnsi="Arial" w:cs="Arial"/>
          <w:b/>
          <w:bCs/>
        </w:rPr>
        <w:t xml:space="preserve"> </w:t>
      </w:r>
      <w:r w:rsidR="0043568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Resolución </w:t>
      </w:r>
      <w:r w:rsidR="004356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del </w:t>
      </w:r>
      <w:r w:rsidR="004356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Directorio </w:t>
      </w:r>
      <w:r w:rsidR="0043568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de </w:t>
      </w:r>
      <w:r w:rsidR="004356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 ANV </w:t>
      </w:r>
    </w:p>
    <w:p w:rsidR="009441DC" w:rsidRDefault="006F6F12" w:rsidP="004356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Nº 048/13 (Acta Nº 286) del 30/1/13, se  dispuso la contratación en régimen de </w:t>
      </w:r>
      <w:r w:rsidR="00021E11">
        <w:rPr>
          <w:rFonts w:ascii="Arial" w:hAnsi="Arial" w:cs="Arial"/>
        </w:rPr>
        <w:t>arrendamiento</w:t>
      </w:r>
      <w:r>
        <w:rPr>
          <w:rFonts w:ascii="Arial" w:hAnsi="Arial" w:cs="Arial"/>
        </w:rPr>
        <w:t xml:space="preserve"> </w:t>
      </w:r>
      <w:r w:rsidR="004356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</w:t>
      </w:r>
      <w:r w:rsidR="004356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21E11">
        <w:rPr>
          <w:rFonts w:ascii="Arial" w:hAnsi="Arial" w:cs="Arial"/>
        </w:rPr>
        <w:t>servicios</w:t>
      </w:r>
      <w:r w:rsidR="004356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021E11">
        <w:rPr>
          <w:rFonts w:ascii="Arial" w:hAnsi="Arial" w:cs="Arial"/>
        </w:rPr>
        <w:t>personales</w:t>
      </w:r>
      <w:r>
        <w:rPr>
          <w:rFonts w:ascii="Arial" w:hAnsi="Arial" w:cs="Arial"/>
        </w:rPr>
        <w:t xml:space="preserve"> al </w:t>
      </w:r>
      <w:proofErr w:type="spellStart"/>
      <w:r w:rsidR="00021E11">
        <w:rPr>
          <w:rFonts w:ascii="Arial" w:hAnsi="Arial" w:cs="Arial"/>
        </w:rPr>
        <w:t>E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. Mario Pereira, por un monto de $ 50.000 </w:t>
      </w:r>
      <w:r w:rsidR="004356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mensuales más IVA, por el plazo de un año, </w:t>
      </w:r>
      <w:r w:rsidR="00021E11">
        <w:rPr>
          <w:rFonts w:ascii="Arial" w:hAnsi="Arial" w:cs="Arial"/>
        </w:rPr>
        <w:t>renovable</w:t>
      </w:r>
      <w:r>
        <w:rPr>
          <w:rFonts w:ascii="Arial" w:hAnsi="Arial" w:cs="Arial"/>
        </w:rPr>
        <w:t xml:space="preserve"> a su </w:t>
      </w:r>
      <w:r w:rsidR="00021E11">
        <w:rPr>
          <w:rFonts w:ascii="Arial" w:hAnsi="Arial" w:cs="Arial"/>
        </w:rPr>
        <w:t>vencimiento</w:t>
      </w:r>
      <w:r>
        <w:rPr>
          <w:rFonts w:ascii="Arial" w:hAnsi="Arial" w:cs="Arial"/>
        </w:rPr>
        <w:t xml:space="preserve"> a juicio de la ANV,</w:t>
      </w:r>
      <w:r w:rsidR="00021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partir de 1/3/13 o de la </w:t>
      </w:r>
      <w:r w:rsidR="00021E11">
        <w:rPr>
          <w:rFonts w:ascii="Arial" w:hAnsi="Arial" w:cs="Arial"/>
        </w:rPr>
        <w:t>intervención</w:t>
      </w:r>
      <w:r>
        <w:rPr>
          <w:rFonts w:ascii="Arial" w:hAnsi="Arial" w:cs="Arial"/>
        </w:rPr>
        <w:t xml:space="preserve"> de la Contadora Delegada ante el Tribunal de Cuentas </w:t>
      </w:r>
      <w:r w:rsidR="009441DC">
        <w:rPr>
          <w:rFonts w:ascii="Arial" w:hAnsi="Arial" w:cs="Arial"/>
        </w:rPr>
        <w:t>en caso que dicho acto fue</w:t>
      </w:r>
      <w:r w:rsidR="00021E11">
        <w:rPr>
          <w:rFonts w:ascii="Arial" w:hAnsi="Arial" w:cs="Arial"/>
        </w:rPr>
        <w:t>r</w:t>
      </w:r>
      <w:r w:rsidR="009441DC">
        <w:rPr>
          <w:rFonts w:ascii="Arial" w:hAnsi="Arial" w:cs="Arial"/>
        </w:rPr>
        <w:t xml:space="preserve">a posterior de la fecha indicada, con el objeto de </w:t>
      </w:r>
      <w:r w:rsidR="00021E11">
        <w:rPr>
          <w:rFonts w:ascii="Arial" w:hAnsi="Arial" w:cs="Arial"/>
        </w:rPr>
        <w:t>prestar</w:t>
      </w:r>
      <w:r w:rsidR="009441DC">
        <w:rPr>
          <w:rFonts w:ascii="Arial" w:hAnsi="Arial" w:cs="Arial"/>
        </w:rPr>
        <w:t xml:space="preserve"> </w:t>
      </w:r>
      <w:r w:rsidR="00021E11">
        <w:rPr>
          <w:rFonts w:ascii="Arial" w:hAnsi="Arial" w:cs="Arial"/>
        </w:rPr>
        <w:t>servicios</w:t>
      </w:r>
      <w:r w:rsidR="009441DC">
        <w:rPr>
          <w:rFonts w:ascii="Arial" w:hAnsi="Arial" w:cs="Arial"/>
        </w:rPr>
        <w:t xml:space="preserve"> al </w:t>
      </w:r>
      <w:r w:rsidR="00021E11">
        <w:rPr>
          <w:rFonts w:ascii="Arial" w:hAnsi="Arial" w:cs="Arial"/>
        </w:rPr>
        <w:t>Comité</w:t>
      </w:r>
      <w:r w:rsidR="009441DC">
        <w:rPr>
          <w:rFonts w:ascii="Arial" w:hAnsi="Arial" w:cs="Arial"/>
        </w:rPr>
        <w:t xml:space="preserve"> de </w:t>
      </w:r>
      <w:r w:rsidR="00021E11">
        <w:rPr>
          <w:rFonts w:ascii="Arial" w:hAnsi="Arial" w:cs="Arial"/>
        </w:rPr>
        <w:t>administración</w:t>
      </w:r>
      <w:r w:rsidR="009441DC">
        <w:rPr>
          <w:rFonts w:ascii="Arial" w:hAnsi="Arial" w:cs="Arial"/>
        </w:rPr>
        <w:t xml:space="preserve"> del Pr</w:t>
      </w:r>
      <w:r w:rsidR="00021E11">
        <w:rPr>
          <w:rFonts w:ascii="Arial" w:hAnsi="Arial" w:cs="Arial"/>
        </w:rPr>
        <w:t>o</w:t>
      </w:r>
      <w:r w:rsidR="009441DC">
        <w:rPr>
          <w:rFonts w:ascii="Arial" w:hAnsi="Arial" w:cs="Arial"/>
        </w:rPr>
        <w:t>ye</w:t>
      </w:r>
      <w:r w:rsidR="00021E11">
        <w:rPr>
          <w:rFonts w:ascii="Arial" w:hAnsi="Arial" w:cs="Arial"/>
        </w:rPr>
        <w:t>c</w:t>
      </w:r>
      <w:r w:rsidR="009441DC">
        <w:rPr>
          <w:rFonts w:ascii="Arial" w:hAnsi="Arial" w:cs="Arial"/>
        </w:rPr>
        <w:t xml:space="preserve">to “Terraza del palacio” </w:t>
      </w:r>
      <w:r w:rsidR="00021E11">
        <w:rPr>
          <w:rFonts w:ascii="Arial" w:hAnsi="Arial" w:cs="Arial"/>
        </w:rPr>
        <w:t>(</w:t>
      </w:r>
      <w:r w:rsidR="009441DC">
        <w:rPr>
          <w:rFonts w:ascii="Arial" w:hAnsi="Arial" w:cs="Arial"/>
        </w:rPr>
        <w:t>Altos del Libertador</w:t>
      </w:r>
      <w:r w:rsidR="00021E11">
        <w:rPr>
          <w:rFonts w:ascii="Arial" w:hAnsi="Arial" w:cs="Arial"/>
        </w:rPr>
        <w:t>)</w:t>
      </w:r>
      <w:r w:rsidR="009441DC">
        <w:rPr>
          <w:rFonts w:ascii="Arial" w:hAnsi="Arial" w:cs="Arial"/>
        </w:rPr>
        <w:t xml:space="preserve"> en el m</w:t>
      </w:r>
      <w:r w:rsidR="00021E11">
        <w:rPr>
          <w:rFonts w:ascii="Arial" w:hAnsi="Arial" w:cs="Arial"/>
        </w:rPr>
        <w:t>a</w:t>
      </w:r>
      <w:r w:rsidR="009441DC">
        <w:rPr>
          <w:rFonts w:ascii="Arial" w:hAnsi="Arial" w:cs="Arial"/>
        </w:rPr>
        <w:t>rco del contrato de asociación firmado el 30/12/2010 entre ANV y PIU;</w:t>
      </w:r>
    </w:p>
    <w:p w:rsidR="00B25924" w:rsidRDefault="009441DC" w:rsidP="0043568F">
      <w:pPr>
        <w:spacing w:line="360" w:lineRule="auto"/>
        <w:ind w:firstLine="2552"/>
        <w:jc w:val="both"/>
        <w:rPr>
          <w:rFonts w:ascii="Arial" w:hAnsi="Arial" w:cs="Arial"/>
        </w:rPr>
      </w:pPr>
      <w:r w:rsidRPr="00021E1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tras sucesivas renovaciones del contrato </w:t>
      </w:r>
      <w:r w:rsidR="00021E11">
        <w:rPr>
          <w:rFonts w:ascii="Arial" w:hAnsi="Arial" w:cs="Arial"/>
        </w:rPr>
        <w:t>referido</w:t>
      </w:r>
      <w:r>
        <w:rPr>
          <w:rFonts w:ascii="Arial" w:hAnsi="Arial" w:cs="Arial"/>
        </w:rPr>
        <w:t>, en esta oportunidad se remite una nueva renovación dispuesta por Resolución del Directorio de la ANV Nº 108/18 (Acta Nº 539) del 21/3/18  a partir del 1/</w:t>
      </w:r>
      <w:r w:rsidR="00B25924">
        <w:rPr>
          <w:rFonts w:ascii="Arial" w:hAnsi="Arial" w:cs="Arial"/>
        </w:rPr>
        <w:t>4</w:t>
      </w:r>
      <w:r>
        <w:rPr>
          <w:rFonts w:ascii="Arial" w:hAnsi="Arial" w:cs="Arial"/>
        </w:rPr>
        <w:t>/18, por  el plazo de 9 meses</w:t>
      </w:r>
      <w:r w:rsidR="00B25924">
        <w:rPr>
          <w:rFonts w:ascii="Arial" w:hAnsi="Arial" w:cs="Arial"/>
        </w:rPr>
        <w:t xml:space="preserve">, previa remisión de la </w:t>
      </w:r>
      <w:r w:rsidR="00021E11">
        <w:rPr>
          <w:rFonts w:ascii="Arial" w:hAnsi="Arial" w:cs="Arial"/>
        </w:rPr>
        <w:t>propuesta</w:t>
      </w:r>
      <w:r w:rsidR="00B25924">
        <w:rPr>
          <w:rFonts w:ascii="Arial" w:hAnsi="Arial" w:cs="Arial"/>
        </w:rPr>
        <w:t xml:space="preserve"> a la </w:t>
      </w:r>
      <w:r w:rsidR="00021E11">
        <w:rPr>
          <w:rFonts w:ascii="Arial" w:hAnsi="Arial" w:cs="Arial"/>
        </w:rPr>
        <w:t>O</w:t>
      </w:r>
      <w:r w:rsidR="00B25924">
        <w:rPr>
          <w:rFonts w:ascii="Arial" w:hAnsi="Arial" w:cs="Arial"/>
        </w:rPr>
        <w:t xml:space="preserve">ficina Nacional del Servicio Civil en consulta con la Oficina de </w:t>
      </w:r>
      <w:r w:rsidR="00021E11">
        <w:rPr>
          <w:rFonts w:ascii="Arial" w:hAnsi="Arial" w:cs="Arial"/>
        </w:rPr>
        <w:t>Planeamiento</w:t>
      </w:r>
      <w:r w:rsidR="00B25924">
        <w:rPr>
          <w:rFonts w:ascii="Arial" w:hAnsi="Arial" w:cs="Arial"/>
        </w:rPr>
        <w:t xml:space="preserve"> y </w:t>
      </w:r>
      <w:r w:rsidR="00021E11">
        <w:rPr>
          <w:rFonts w:ascii="Arial" w:hAnsi="Arial" w:cs="Arial"/>
        </w:rPr>
        <w:t>Presupuesto</w:t>
      </w:r>
      <w:r w:rsidR="00B25924">
        <w:rPr>
          <w:rFonts w:ascii="Arial" w:hAnsi="Arial" w:cs="Arial"/>
        </w:rPr>
        <w:t xml:space="preserve">, en los mismos </w:t>
      </w:r>
      <w:r w:rsidR="00021E11">
        <w:rPr>
          <w:rFonts w:ascii="Arial" w:hAnsi="Arial" w:cs="Arial"/>
        </w:rPr>
        <w:t>términos</w:t>
      </w:r>
      <w:r w:rsidR="00B25924">
        <w:rPr>
          <w:rFonts w:ascii="Arial" w:hAnsi="Arial" w:cs="Arial"/>
        </w:rPr>
        <w:t xml:space="preserve"> de la contratación </w:t>
      </w:r>
      <w:r w:rsidR="00021E11">
        <w:rPr>
          <w:rFonts w:ascii="Arial" w:hAnsi="Arial" w:cs="Arial"/>
        </w:rPr>
        <w:t>original</w:t>
      </w:r>
      <w:r w:rsidR="00B25924">
        <w:rPr>
          <w:rFonts w:ascii="Arial" w:hAnsi="Arial" w:cs="Arial"/>
        </w:rPr>
        <w:t xml:space="preserve">, salvo en lo </w:t>
      </w:r>
      <w:r w:rsidR="00021E11">
        <w:rPr>
          <w:rFonts w:ascii="Arial" w:hAnsi="Arial" w:cs="Arial"/>
        </w:rPr>
        <w:t>relativo</w:t>
      </w:r>
      <w:r w:rsidR="00B25924">
        <w:rPr>
          <w:rFonts w:ascii="Arial" w:hAnsi="Arial" w:cs="Arial"/>
        </w:rPr>
        <w:t xml:space="preserve"> al precio el cual se fija en la suma de $ 75.785 más IVA, la cual se reajustará  en la misma oportunidad y porcentaje que se ajusten los sueldos de </w:t>
      </w:r>
      <w:r w:rsidR="00021E11">
        <w:rPr>
          <w:rFonts w:ascii="Arial" w:hAnsi="Arial" w:cs="Arial"/>
        </w:rPr>
        <w:t>los</w:t>
      </w:r>
      <w:r w:rsidR="00B25924">
        <w:rPr>
          <w:rFonts w:ascii="Arial" w:hAnsi="Arial" w:cs="Arial"/>
        </w:rPr>
        <w:t xml:space="preserve"> funcionarios de </w:t>
      </w:r>
      <w:r w:rsidR="00021E11">
        <w:rPr>
          <w:rFonts w:ascii="Arial" w:hAnsi="Arial" w:cs="Arial"/>
        </w:rPr>
        <w:t>los</w:t>
      </w:r>
      <w:r w:rsidR="00B25924">
        <w:rPr>
          <w:rFonts w:ascii="Arial" w:hAnsi="Arial" w:cs="Arial"/>
        </w:rPr>
        <w:t xml:space="preserve"> </w:t>
      </w:r>
      <w:r w:rsidR="00021E11">
        <w:rPr>
          <w:rFonts w:ascii="Arial" w:hAnsi="Arial" w:cs="Arial"/>
        </w:rPr>
        <w:t>Servicios</w:t>
      </w:r>
      <w:r w:rsidR="00B25924">
        <w:rPr>
          <w:rFonts w:ascii="Arial" w:hAnsi="Arial" w:cs="Arial"/>
        </w:rPr>
        <w:t xml:space="preserve"> Descentralizados;</w:t>
      </w:r>
      <w:r>
        <w:rPr>
          <w:rFonts w:ascii="Arial" w:hAnsi="Arial" w:cs="Arial"/>
        </w:rPr>
        <w:t xml:space="preserve">     </w:t>
      </w:r>
    </w:p>
    <w:p w:rsidR="006F6F12" w:rsidRDefault="006F6F12" w:rsidP="006F6F12">
      <w:pPr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que la Ordenanza del Tribunal de Cuentas N° 64, de 2 de marzo de 1988, preceptúa en su artículo 16 que los Contadores Delegados intervendrán preventivamente todos los gastos que no superen el monto establecido para proceder a la contratación por la vía de la licitación pública;</w:t>
      </w:r>
    </w:p>
    <w:p w:rsidR="006F6F12" w:rsidRDefault="006F6F12" w:rsidP="0043568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 xml:space="preserve">que la Ordenanza del Tribunal de Cuentas N° 72, del 23 de mayo de 1996, en la redacción dada por Resolución adoptada por este Tribunal en sesión de fecha 9 de febrero de 2011, en su </w:t>
      </w:r>
      <w:r w:rsidR="0043568F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>rtículo 5, excluye de la intervención a cargo de los Auditores de este Tribunal y de los Contadores Delegados, únicamente las contrataciones de profesionales o técnicos en régimen de arrendamiento de obra (</w:t>
      </w:r>
      <w:r w:rsidR="0043568F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>rtículo 47 de la Ley Nº 18.719 de 27/12/10), cuando el monto anual del contrato exceda el triple del límite de la contratación directa;</w:t>
      </w:r>
    </w:p>
    <w:p w:rsidR="006F6F12" w:rsidRDefault="006F6F12" w:rsidP="0043568F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3) </w:t>
      </w:r>
      <w:r>
        <w:rPr>
          <w:rFonts w:ascii="Arial" w:hAnsi="Arial" w:cs="Arial"/>
          <w:lang w:val="es-MX"/>
        </w:rPr>
        <w:t xml:space="preserve">que </w:t>
      </w:r>
      <w:r w:rsidR="00B25924">
        <w:rPr>
          <w:rFonts w:ascii="Arial" w:hAnsi="Arial" w:cs="Arial"/>
          <w:lang w:val="es-MX"/>
        </w:rPr>
        <w:t xml:space="preserve">consistiendo </w:t>
      </w:r>
      <w:r>
        <w:rPr>
          <w:rFonts w:ascii="Arial" w:hAnsi="Arial" w:cs="Arial"/>
          <w:lang w:val="es-MX"/>
        </w:rPr>
        <w:t xml:space="preserve">la contratación remitida </w:t>
      </w:r>
      <w:r w:rsidR="00B25924">
        <w:rPr>
          <w:rFonts w:ascii="Arial" w:hAnsi="Arial" w:cs="Arial"/>
          <w:lang w:val="es-MX"/>
        </w:rPr>
        <w:t>en un arrendamiento de servicios</w:t>
      </w:r>
      <w:r w:rsidR="00021E11">
        <w:rPr>
          <w:rFonts w:ascii="Arial" w:hAnsi="Arial" w:cs="Arial"/>
          <w:lang w:val="es-MX"/>
        </w:rPr>
        <w:t xml:space="preserve"> cuyo</w:t>
      </w:r>
      <w:r w:rsidR="00021E11">
        <w:rPr>
          <w:rFonts w:ascii="Arial" w:hAnsi="Arial" w:cs="Arial"/>
          <w:bCs/>
          <w:lang w:val="es-MX"/>
        </w:rPr>
        <w:t xml:space="preserve"> monto no supera el establecido para proceder a la contratación por la vía de la licitación pública,</w:t>
      </w:r>
      <w:r>
        <w:rPr>
          <w:rFonts w:ascii="Arial" w:hAnsi="Arial" w:cs="Arial"/>
          <w:lang w:val="es-MX"/>
        </w:rPr>
        <w:t xml:space="preserve"> corresponde que la intervención la realice el Contador Delegado, conforme con lo dispuesto por </w:t>
      </w:r>
      <w:r>
        <w:rPr>
          <w:rFonts w:ascii="Arial" w:hAnsi="Arial" w:cs="Arial"/>
          <w:bCs/>
          <w:lang w:val="es-MX"/>
        </w:rPr>
        <w:t xml:space="preserve">el </w:t>
      </w:r>
      <w:r w:rsidR="0043568F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>rtículo 16 de la Ordenanza N° 64 citada;</w:t>
      </w:r>
    </w:p>
    <w:p w:rsidR="006F6F12" w:rsidRDefault="006F6F12" w:rsidP="0043568F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4) </w:t>
      </w:r>
      <w:r>
        <w:rPr>
          <w:rFonts w:ascii="Arial" w:hAnsi="Arial" w:cs="Arial"/>
          <w:bCs/>
          <w:lang w:val="es-MX"/>
        </w:rPr>
        <w:t>que, sin perjuicio de lo expresado, aquellos contratos que por su monto o naturaleza la intervención no le corresponde a este Tribunal, podrán ser remitidos en consulta a su consideración por los Contadores Delegados, cuando éstos lo estimen pertinente, a efectos de que se les impartan las directivas que correspondan (</w:t>
      </w:r>
      <w:r w:rsidR="0043568F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 xml:space="preserve">rtículo 12 de la Ordenanza Nº 64); 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                    </w:t>
      </w:r>
    </w:p>
    <w:p w:rsidR="006F6F12" w:rsidRDefault="006F6F12" w:rsidP="00933F4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 </w:t>
      </w:r>
      <w:r>
        <w:rPr>
          <w:rFonts w:ascii="Arial" w:hAnsi="Arial" w:cs="Arial"/>
          <w:lang w:val="es-MX"/>
        </w:rPr>
        <w:t xml:space="preserve">a lo precedentemente expuesto y a lo dispuesto por el </w:t>
      </w:r>
      <w:r w:rsidR="00933F41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iteral B) del </w:t>
      </w:r>
      <w:r w:rsidR="00933F41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de la Constitución de la República y las Ordenanza N° 64 y Nº 72 de este Tribunal</w:t>
      </w:r>
      <w:r>
        <w:rPr>
          <w:rFonts w:ascii="Arial" w:hAnsi="Arial" w:cs="Arial"/>
        </w:rPr>
        <w:t>;</w:t>
      </w:r>
    </w:p>
    <w:p w:rsidR="006F6F12" w:rsidRDefault="006F6F12" w:rsidP="00933F41">
      <w:pPr>
        <w:pStyle w:val="Ttulo2"/>
        <w:jc w:val="center"/>
        <w:rPr>
          <w:rFonts w:cs="Arial"/>
        </w:rPr>
      </w:pPr>
      <w:r>
        <w:rPr>
          <w:rFonts w:cs="Arial"/>
        </w:rPr>
        <w:lastRenderedPageBreak/>
        <w:t>EL TRIBUNAL ACUERDA</w:t>
      </w:r>
    </w:p>
    <w:p w:rsidR="006F6F12" w:rsidRDefault="006F6F12" w:rsidP="006F6F1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 los antecedentes a la Administración actuante a los efectos de que el Contador Delegado controle la legalidad del gasto;</w:t>
      </w:r>
      <w:r w:rsidR="00933F41">
        <w:rPr>
          <w:rFonts w:ascii="Arial" w:hAnsi="Arial" w:cs="Arial"/>
          <w:lang w:val="es-MX"/>
        </w:rPr>
        <w:t xml:space="preserve"> y</w:t>
      </w:r>
    </w:p>
    <w:p w:rsidR="006F6F12" w:rsidRDefault="006F6F12" w:rsidP="006F6F1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al Contador Delegado.</w:t>
      </w:r>
    </w:p>
    <w:p w:rsidR="006F6F12" w:rsidRDefault="006F6F12" w:rsidP="006F6F12">
      <w:pPr>
        <w:spacing w:line="360" w:lineRule="auto"/>
        <w:jc w:val="both"/>
        <w:rPr>
          <w:rFonts w:ascii="Arial" w:hAnsi="Arial" w:cs="Arial"/>
          <w:lang w:val="es-MX"/>
        </w:rPr>
      </w:pPr>
    </w:p>
    <w:p w:rsidR="006F6F12" w:rsidRDefault="006F6F12" w:rsidP="006F6F12">
      <w:pPr>
        <w:spacing w:line="360" w:lineRule="auto"/>
        <w:jc w:val="right"/>
        <w:rPr>
          <w:rFonts w:ascii="Arial" w:hAnsi="Arial" w:cs="Arial"/>
          <w:lang w:val="es-MX"/>
        </w:rPr>
      </w:pPr>
    </w:p>
    <w:p w:rsidR="006F6F12" w:rsidRPr="00933F41" w:rsidRDefault="00933F41" w:rsidP="006F6F12">
      <w:pPr>
        <w:rPr>
          <w:rFonts w:ascii="Arial" w:hAnsi="Arial" w:cs="Arial"/>
        </w:rPr>
      </w:pPr>
      <w:proofErr w:type="spellStart"/>
      <w:proofErr w:type="gramStart"/>
      <w:r w:rsidRPr="00933F41">
        <w:rPr>
          <w:rFonts w:ascii="Arial" w:hAnsi="Arial" w:cs="Arial"/>
        </w:rPr>
        <w:t>cr</w:t>
      </w:r>
      <w:proofErr w:type="spellEnd"/>
      <w:proofErr w:type="gramEnd"/>
    </w:p>
    <w:p w:rsidR="006F6F12" w:rsidRPr="00C374DF" w:rsidRDefault="006F6F12" w:rsidP="006F6F12">
      <w:pPr>
        <w:rPr>
          <w:sz w:val="18"/>
          <w:szCs w:val="18"/>
        </w:rPr>
      </w:pPr>
    </w:p>
    <w:p w:rsidR="00545A99" w:rsidRDefault="00545A99"/>
    <w:sectPr w:rsidR="00545A99" w:rsidSect="003E46D1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12"/>
    <w:rsid w:val="00021E11"/>
    <w:rsid w:val="003E46D1"/>
    <w:rsid w:val="0043568F"/>
    <w:rsid w:val="00545A99"/>
    <w:rsid w:val="006F6F12"/>
    <w:rsid w:val="00933F41"/>
    <w:rsid w:val="009441DC"/>
    <w:rsid w:val="00B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F12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6F6F12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6F12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6F12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6D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F12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6F6F12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6F12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6F12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6D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2018-08-13T17:08:00Z</cp:lastPrinted>
  <dcterms:created xsi:type="dcterms:W3CDTF">2018-08-13T17:08:00Z</dcterms:created>
  <dcterms:modified xsi:type="dcterms:W3CDTF">2018-08-13T17:08:00Z</dcterms:modified>
</cp:coreProperties>
</file>