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A7" w:rsidRPr="00786EEB" w:rsidRDefault="000558A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2582/18</w:t>
      </w:r>
    </w:p>
    <w:p w:rsidR="000558A7" w:rsidRDefault="000558A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558A7" w:rsidRPr="00762B34" w:rsidRDefault="000558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558A7" w:rsidRPr="00762B34" w:rsidRDefault="000558A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558A7" w:rsidRPr="00762B34" w:rsidRDefault="000558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558A7" w:rsidRPr="00762B34" w:rsidRDefault="000558A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558A7" w:rsidRPr="00762B34" w:rsidRDefault="000558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AGOSTO </w:t>
      </w:r>
      <w:r>
        <w:rPr>
          <w:rFonts w:ascii="Helvetica" w:hAnsi="Helvetica"/>
          <w:b/>
          <w:lang w:val="es-ES_tradnl"/>
        </w:rPr>
        <w:t>DE 2018</w:t>
      </w:r>
    </w:p>
    <w:p w:rsidR="000558A7" w:rsidRPr="00762B34" w:rsidRDefault="000558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558A7" w:rsidRPr="000558A7" w:rsidRDefault="000558A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0558A7">
        <w:rPr>
          <w:rFonts w:ascii="Arial" w:hAnsi="Arial" w:cs="Arial"/>
          <w:b/>
          <w:lang w:val="es-UY"/>
        </w:rPr>
        <w:t>(E. E. Nº 2015-17-1-0003284, Ent. N° 3620/18)</w:t>
      </w:r>
    </w:p>
    <w:p w:rsidR="000558A7" w:rsidRPr="000558A7" w:rsidRDefault="000558A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558A7" w:rsidRPr="000558A7" w:rsidRDefault="000558A7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0558A7" w:rsidRDefault="006877D9" w:rsidP="00C46C90">
      <w:pPr>
        <w:spacing w:line="360" w:lineRule="auto"/>
        <w:ind w:firstLine="708"/>
        <w:jc w:val="both"/>
        <w:rPr>
          <w:rFonts w:ascii="Arial" w:hAnsi="Arial" w:cs="Arial"/>
        </w:rPr>
      </w:pPr>
      <w:r w:rsidRPr="00495B86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el Ministerio de Desarrollo Social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relacionadas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con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 </w:t>
      </w:r>
      <w:r w:rsidR="00055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Ampliación  de la Compra Directa por Excepción </w:t>
      </w:r>
    </w:p>
    <w:p w:rsidR="006877D9" w:rsidRDefault="006877D9" w:rsidP="00055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Nº 17/2015</w:t>
      </w:r>
      <w:r w:rsidR="005511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la contratación de Organizaciones de la Sociedad Civil y/o Cooperativas de Trabajo, para la gestión de 7 centros de 24 horas de mujeres con niños, niñas y adolescentes, en la ciudad de Montevideo;</w:t>
      </w:r>
    </w:p>
    <w:p w:rsidR="000558A7" w:rsidRDefault="006877D9" w:rsidP="00C46C90">
      <w:pPr>
        <w:pStyle w:val="Prrafodelista"/>
        <w:spacing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95B86">
        <w:rPr>
          <w:rFonts w:ascii="Arial" w:hAnsi="Arial" w:cs="Arial"/>
          <w:b/>
        </w:rPr>
        <w:t xml:space="preserve">RESULTANDO: 1) </w:t>
      </w:r>
      <w:r w:rsidRPr="004A07B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en </w:t>
      </w:r>
      <w:r w:rsidR="005511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27 de mayo del 2015, este Tribunal acordó que dictada la Resolución definitiva por el Ordenador competente y suscrito el convenio con las Organizaciones: Cooperativa de Trabajo Promoción Derechos Humanos, Fundación Plenario de Mujeres del Uruguay y Asociación Civil Centro de Participación Popular, se comete al Contador Auditor destacado ante el Ministerio de Desarrollo Social la intervención del gasto de $ 24:443.445, previo control de su imputación a Grupo adecuado con disponibilidad y de la no existencia de funcionarios públicos en el equipo técnico de la Organización, debiéndose rendirse cuenta documentada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de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las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partidas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recibidas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r w:rsidR="000558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132 del TOCAF y Ordenanza </w:t>
      </w:r>
    </w:p>
    <w:p w:rsidR="006877D9" w:rsidRPr="000558A7" w:rsidRDefault="006877D9" w:rsidP="000558A7">
      <w:pPr>
        <w:spacing w:line="360" w:lineRule="auto"/>
        <w:jc w:val="both"/>
        <w:rPr>
          <w:rFonts w:ascii="Arial" w:hAnsi="Arial" w:cs="Arial"/>
        </w:rPr>
      </w:pPr>
      <w:r w:rsidRPr="000558A7">
        <w:rPr>
          <w:rFonts w:ascii="Arial" w:hAnsi="Arial" w:cs="Arial"/>
        </w:rPr>
        <w:t xml:space="preserve">Nº 77; </w:t>
      </w:r>
    </w:p>
    <w:p w:rsidR="006877D9" w:rsidRDefault="006877D9" w:rsidP="000558A7">
      <w:pPr>
        <w:pStyle w:val="Prrafodelista"/>
        <w:spacing w:line="360" w:lineRule="auto"/>
        <w:ind w:left="0" w:firstLine="2552"/>
        <w:jc w:val="both"/>
        <w:rPr>
          <w:rFonts w:ascii="Arial" w:hAnsi="Arial" w:cs="Arial"/>
        </w:rPr>
      </w:pPr>
      <w:r w:rsidRPr="00C46C90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por Resolución </w:t>
      </w:r>
      <w:r w:rsidR="005511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Poder Ejecutivo </w:t>
      </w:r>
      <w:r w:rsidR="005511B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fecha 15 de junio del 2015, </w:t>
      </w:r>
      <w:r w:rsidR="005511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autorizó la Compra Directa </w:t>
      </w:r>
      <w:r w:rsidR="005511B5">
        <w:rPr>
          <w:rFonts w:ascii="Arial" w:hAnsi="Arial" w:cs="Arial"/>
        </w:rPr>
        <w:t xml:space="preserve">mencionada </w:t>
      </w:r>
      <w:r>
        <w:rPr>
          <w:rFonts w:ascii="Arial" w:hAnsi="Arial" w:cs="Arial"/>
        </w:rPr>
        <w:t>por un monto total de hasta $ 24:443.445, coincidiendo con los antecedentes oportunamente remitidos;</w:t>
      </w:r>
    </w:p>
    <w:p w:rsidR="006877D9" w:rsidRDefault="006877D9" w:rsidP="000558A7">
      <w:pPr>
        <w:pStyle w:val="Prrafodelista"/>
        <w:spacing w:line="360" w:lineRule="auto"/>
        <w:ind w:left="0"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3)  </w:t>
      </w:r>
      <w:r w:rsidRPr="00C56D14">
        <w:rPr>
          <w:rFonts w:ascii="Arial" w:hAnsi="Arial" w:cs="Arial"/>
        </w:rPr>
        <w:t>que constan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Convenios suscritos por el MIDES y las Organizaciones:</w:t>
      </w:r>
      <w:r w:rsidR="005511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Asociación Civil Centro de Participación Popular (CPP)</w:t>
      </w:r>
      <w:r w:rsidR="005511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el 10 de julio del 2015; Cooperativa de Trabajo “Promoción de Derechos Humanos” el 10 de julio del 2015 y la Fundación Plenario de Mujeres del Uruguay (PLEMU) el 1º de julio del 2015</w:t>
      </w:r>
      <w:r w:rsidR="005511B5">
        <w:rPr>
          <w:rFonts w:ascii="Arial" w:hAnsi="Arial" w:cs="Arial"/>
        </w:rPr>
        <w:t>. Todos</w:t>
      </w:r>
      <w:r>
        <w:rPr>
          <w:rFonts w:ascii="Arial" w:hAnsi="Arial" w:cs="Arial"/>
        </w:rPr>
        <w:t xml:space="preserve"> por el término de  12 meses, renovable por hasta dos periodos de igual </w:t>
      </w:r>
      <w:r w:rsidR="005511B5">
        <w:rPr>
          <w:rFonts w:ascii="Arial" w:hAnsi="Arial" w:cs="Arial"/>
        </w:rPr>
        <w:t>duración</w:t>
      </w:r>
      <w:r>
        <w:rPr>
          <w:rFonts w:ascii="Arial" w:hAnsi="Arial" w:cs="Arial"/>
        </w:rPr>
        <w:t xml:space="preserve">; </w:t>
      </w:r>
      <w:r w:rsidR="005511B5">
        <w:rPr>
          <w:rFonts w:ascii="Arial" w:hAnsi="Arial" w:cs="Arial"/>
        </w:rPr>
        <w:t xml:space="preserve">los que fueron </w:t>
      </w:r>
      <w:r>
        <w:rPr>
          <w:rFonts w:ascii="Arial" w:hAnsi="Arial" w:cs="Arial"/>
        </w:rPr>
        <w:t>intervenidos por la Contadora Auditora el 27 de julio de 2015;</w:t>
      </w:r>
    </w:p>
    <w:p w:rsidR="006877D9" w:rsidRPr="00675741" w:rsidRDefault="006877D9" w:rsidP="00C56D14">
      <w:pPr>
        <w:pStyle w:val="Prrafodelista"/>
        <w:spacing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5511B5">
        <w:rPr>
          <w:rFonts w:ascii="Arial" w:hAnsi="Arial" w:cs="Arial"/>
        </w:rPr>
        <w:t xml:space="preserve">   </w:t>
      </w:r>
      <w:r w:rsidR="000558A7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4) </w:t>
      </w:r>
      <w:r w:rsidRPr="00C56D14">
        <w:rPr>
          <w:rFonts w:ascii="Arial" w:hAnsi="Arial" w:cs="Arial"/>
        </w:rPr>
        <w:t>que</w:t>
      </w:r>
      <w:r w:rsidR="005511B5">
        <w:rPr>
          <w:rFonts w:ascii="Arial" w:hAnsi="Arial" w:cs="Arial"/>
        </w:rPr>
        <w:t xml:space="preserve"> </w:t>
      </w:r>
      <w:r w:rsidRPr="00C56D14">
        <w:rPr>
          <w:rFonts w:ascii="Arial" w:hAnsi="Arial" w:cs="Arial"/>
        </w:rPr>
        <w:t>este Tribunal</w:t>
      </w:r>
      <w:r w:rsidR="00675741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</w:t>
      </w:r>
      <w:r w:rsidR="005511B5">
        <w:rPr>
          <w:rFonts w:ascii="Arial" w:hAnsi="Arial" w:cs="Arial"/>
        </w:rPr>
        <w:t>S</w:t>
      </w:r>
      <w:r>
        <w:rPr>
          <w:rFonts w:ascii="Arial" w:hAnsi="Arial" w:cs="Arial"/>
        </w:rPr>
        <w:t>esi</w:t>
      </w:r>
      <w:r w:rsidR="00675741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de 15/06/2016</w:t>
      </w:r>
      <w:r w:rsidR="00675741">
        <w:rPr>
          <w:rFonts w:ascii="Arial" w:hAnsi="Arial" w:cs="Arial"/>
        </w:rPr>
        <w:t xml:space="preserve"> y </w:t>
      </w:r>
      <w:r w:rsidR="00675741" w:rsidRPr="00675741">
        <w:rPr>
          <w:rFonts w:ascii="Arial" w:hAnsi="Arial" w:cs="Arial"/>
          <w:bCs/>
          <w:lang w:val="es-ES_tradnl"/>
        </w:rPr>
        <w:t>7 de junio de 2017</w:t>
      </w:r>
      <w:r>
        <w:rPr>
          <w:rFonts w:ascii="Arial" w:hAnsi="Arial" w:cs="Arial"/>
        </w:rPr>
        <w:t xml:space="preserve">, </w:t>
      </w:r>
      <w:r w:rsidR="00675741">
        <w:rPr>
          <w:rFonts w:ascii="Arial" w:hAnsi="Arial" w:cs="Arial"/>
        </w:rPr>
        <w:t xml:space="preserve">no formuló observación a las dos prórrogas previstas y cometió a la Contadora Auditora la intervención del gasto una vez </w:t>
      </w:r>
      <w:r w:rsidR="00675741" w:rsidRPr="00675741">
        <w:rPr>
          <w:rFonts w:ascii="Arial" w:hAnsi="Arial" w:cs="Arial"/>
          <w:bCs/>
          <w:lang w:val="es-ES_tradnl"/>
        </w:rPr>
        <w:t>dictada la Resolución definitiva por el Ordenador competente, agregado el informe favorable de gestión y una vez presentadas las respectivas rendiciones de cuentas de las partidas recibidas por los adjudicatarios</w:t>
      </w:r>
      <w:r w:rsidR="00675741">
        <w:rPr>
          <w:rFonts w:ascii="Arial" w:hAnsi="Arial" w:cs="Arial"/>
          <w:bCs/>
          <w:lang w:val="es-ES_tradnl"/>
        </w:rPr>
        <w:t>;</w:t>
      </w:r>
    </w:p>
    <w:p w:rsidR="006877D9" w:rsidRDefault="006877D9" w:rsidP="002F2AB4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 w:val="0"/>
          <w:bCs/>
          <w:u w:val="none"/>
          <w:lang w:val="es-ES_tradnl"/>
        </w:rPr>
        <w:t xml:space="preserve">             </w:t>
      </w:r>
      <w:r w:rsidR="00681869">
        <w:rPr>
          <w:b w:val="0"/>
          <w:bCs/>
          <w:u w:val="none"/>
          <w:lang w:val="es-ES_tradnl"/>
        </w:rPr>
        <w:t xml:space="preserve">                       </w:t>
      </w:r>
      <w:r>
        <w:rPr>
          <w:b w:val="0"/>
          <w:bCs/>
          <w:u w:val="none"/>
          <w:lang w:val="es-ES_tradnl"/>
        </w:rPr>
        <w:t xml:space="preserve"> </w:t>
      </w:r>
      <w:r w:rsidR="000558A7">
        <w:rPr>
          <w:b w:val="0"/>
          <w:bCs/>
          <w:u w:val="none"/>
          <w:lang w:val="es-ES_tradnl"/>
        </w:rPr>
        <w:t xml:space="preserve"> </w:t>
      </w:r>
      <w:r w:rsidR="00675741">
        <w:rPr>
          <w:bCs/>
          <w:u w:val="none"/>
          <w:lang w:val="es-ES_tradnl"/>
        </w:rPr>
        <w:t>5</w:t>
      </w:r>
      <w:r w:rsidRPr="00921C21">
        <w:rPr>
          <w:bCs/>
          <w:u w:val="none"/>
          <w:lang w:val="es-ES_tradnl"/>
        </w:rPr>
        <w:t>)</w:t>
      </w:r>
      <w:r>
        <w:rPr>
          <w:b w:val="0"/>
          <w:bCs/>
          <w:u w:val="none"/>
          <w:lang w:val="es-ES_tradnl"/>
        </w:rPr>
        <w:t xml:space="preserve"> que en esta oportunidad, se remiten actuaciones relacionadas con la Ampliación de los convenios, solicitando la conformidad de las Organizaciones, a saber: </w:t>
      </w:r>
    </w:p>
    <w:p w:rsidR="006877D9" w:rsidRDefault="00675741" w:rsidP="00FB1ED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5</w:t>
      </w:r>
      <w:r w:rsidR="006877D9">
        <w:rPr>
          <w:bCs/>
          <w:u w:val="none"/>
          <w:lang w:val="es-ES_tradnl"/>
        </w:rPr>
        <w:t>.1</w:t>
      </w:r>
      <w:r w:rsidR="006877D9" w:rsidRPr="00FB1ED7">
        <w:rPr>
          <w:bCs/>
          <w:u w:val="none"/>
          <w:lang w:val="es-ES_tradnl"/>
        </w:rPr>
        <w:t>)</w:t>
      </w:r>
      <w:r w:rsidR="006877D9">
        <w:rPr>
          <w:b w:val="0"/>
          <w:bCs/>
          <w:u w:val="none"/>
          <w:lang w:val="es-ES_tradnl"/>
        </w:rPr>
        <w:t xml:space="preserve"> que la Asociación Civil Centro de Participación Popular prestó su conformidad a la ampliación en </w:t>
      </w:r>
      <w:r>
        <w:rPr>
          <w:b w:val="0"/>
          <w:bCs/>
          <w:u w:val="none"/>
          <w:lang w:val="es-ES_tradnl"/>
        </w:rPr>
        <w:t>el refugio de la calle Pedro Vis</w:t>
      </w:r>
      <w:r w:rsidR="006877D9">
        <w:rPr>
          <w:b w:val="0"/>
          <w:bCs/>
          <w:u w:val="none"/>
          <w:lang w:val="es-ES_tradnl"/>
        </w:rPr>
        <w:t>ca 4264, por la suma de $ 7:385.480, por un plazo de 8 meses a partir del 10/07/2018;</w:t>
      </w:r>
    </w:p>
    <w:p w:rsidR="006877D9" w:rsidRDefault="00675741" w:rsidP="00FB1ED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5</w:t>
      </w:r>
      <w:r w:rsidR="006877D9">
        <w:rPr>
          <w:bCs/>
          <w:u w:val="none"/>
          <w:lang w:val="es-ES_tradnl"/>
        </w:rPr>
        <w:t>.</w:t>
      </w:r>
      <w:r w:rsidR="006877D9" w:rsidRPr="00FB1ED7">
        <w:rPr>
          <w:bCs/>
          <w:u w:val="none"/>
          <w:lang w:val="es-ES_tradnl"/>
        </w:rPr>
        <w:t>2)</w:t>
      </w:r>
      <w:r w:rsidR="006877D9">
        <w:rPr>
          <w:b w:val="0"/>
          <w:bCs/>
          <w:u w:val="none"/>
          <w:lang w:val="es-ES_tradnl"/>
        </w:rPr>
        <w:t xml:space="preserve"> que la Cooperativa Promoción de Derechos Humanos prestó su conformidad a la ampliación en el centro sito en la calle Nicaragua 1824, por la suma de $ 3:692.7</w:t>
      </w:r>
      <w:bookmarkStart w:id="0" w:name="_GoBack"/>
      <w:bookmarkEnd w:id="0"/>
      <w:r w:rsidR="006877D9">
        <w:rPr>
          <w:b w:val="0"/>
          <w:bCs/>
          <w:u w:val="none"/>
          <w:lang w:val="es-ES_tradnl"/>
        </w:rPr>
        <w:t xml:space="preserve">40, por un plazo de 4 meses, a partir del 01/07/2018; </w:t>
      </w:r>
    </w:p>
    <w:p w:rsidR="006877D9" w:rsidRDefault="00675741" w:rsidP="00FB1ED7">
      <w:pPr>
        <w:pStyle w:val="Ttulo"/>
        <w:jc w:val="both"/>
        <w:rPr>
          <w:rFonts w:cs="Arial"/>
          <w:b w:val="0"/>
          <w:bCs/>
          <w:u w:val="none"/>
        </w:rPr>
      </w:pPr>
      <w:r>
        <w:rPr>
          <w:bCs/>
          <w:u w:val="none"/>
          <w:lang w:val="es-ES_tradnl"/>
        </w:rPr>
        <w:t>5</w:t>
      </w:r>
      <w:r w:rsidR="006877D9" w:rsidRPr="00FB1ED7">
        <w:rPr>
          <w:bCs/>
          <w:u w:val="none"/>
          <w:lang w:val="es-ES_tradnl"/>
        </w:rPr>
        <w:t>.3</w:t>
      </w:r>
      <w:r w:rsidR="006877D9">
        <w:rPr>
          <w:b w:val="0"/>
          <w:bCs/>
          <w:u w:val="none"/>
          <w:lang w:val="es-ES_tradnl"/>
        </w:rPr>
        <w:t xml:space="preserve">) que </w:t>
      </w:r>
      <w:r w:rsidR="006877D9" w:rsidRPr="00FB1ED7">
        <w:rPr>
          <w:rFonts w:cs="Arial"/>
          <w:b w:val="0"/>
          <w:bCs/>
          <w:u w:val="none"/>
        </w:rPr>
        <w:t>PLEMUU   manifiesta su conformidad a la ampliación por 4 meses más, a partir del 11/07/18,  en el Centro sito en calle Figurita 2909, por un total de $ 3:250.690</w:t>
      </w:r>
      <w:r w:rsidR="006877D9">
        <w:rPr>
          <w:rFonts w:cs="Arial"/>
          <w:b w:val="0"/>
          <w:bCs/>
          <w:u w:val="none"/>
        </w:rPr>
        <w:t xml:space="preserve">; </w:t>
      </w:r>
    </w:p>
    <w:p w:rsidR="000558A7" w:rsidRDefault="00675741" w:rsidP="000558A7">
      <w:pPr>
        <w:pStyle w:val="Ttulo"/>
        <w:ind w:firstLine="2694"/>
        <w:jc w:val="both"/>
        <w:rPr>
          <w:rFonts w:cs="Arial"/>
          <w:b w:val="0"/>
          <w:bCs/>
          <w:u w:val="none"/>
        </w:rPr>
      </w:pPr>
      <w:r>
        <w:rPr>
          <w:bCs/>
          <w:u w:val="none"/>
          <w:lang w:val="es-ES_tradnl"/>
        </w:rPr>
        <w:t>6</w:t>
      </w:r>
      <w:r w:rsidR="006877D9" w:rsidRPr="00FB1ED7">
        <w:rPr>
          <w:bCs/>
          <w:u w:val="none"/>
          <w:lang w:val="es-ES_tradnl"/>
        </w:rPr>
        <w:t>)</w:t>
      </w:r>
      <w:r w:rsidR="006877D9">
        <w:rPr>
          <w:b w:val="0"/>
          <w:bCs/>
          <w:u w:val="none"/>
          <w:lang w:val="es-ES_tradnl"/>
        </w:rPr>
        <w:t xml:space="preserve"> que  </w:t>
      </w:r>
      <w:r w:rsidR="006877D9" w:rsidRPr="00FB1ED7">
        <w:rPr>
          <w:b w:val="0"/>
          <w:bCs/>
          <w:u w:val="none"/>
          <w:lang w:val="es-ES_tradnl"/>
        </w:rPr>
        <w:t xml:space="preserve">por </w:t>
      </w:r>
      <w:r w:rsidR="006877D9" w:rsidRPr="00FB1ED7">
        <w:rPr>
          <w:rFonts w:cs="Arial"/>
          <w:b w:val="0"/>
          <w:bCs/>
          <w:u w:val="none"/>
        </w:rPr>
        <w:t xml:space="preserve"> Resolución Ministerial N° 0582/018 de fecha 29/06/2018</w:t>
      </w:r>
      <w:r w:rsidR="00681869">
        <w:rPr>
          <w:rFonts w:cs="Arial"/>
          <w:b w:val="0"/>
          <w:bCs/>
          <w:u w:val="none"/>
        </w:rPr>
        <w:t>,</w:t>
      </w:r>
      <w:r w:rsidR="006877D9">
        <w:rPr>
          <w:rFonts w:cs="Arial"/>
          <w:b w:val="0"/>
          <w:bCs/>
          <w:u w:val="none"/>
        </w:rPr>
        <w:t xml:space="preserve"> </w:t>
      </w:r>
      <w:r w:rsidR="006877D9" w:rsidRPr="00FB1ED7">
        <w:rPr>
          <w:rFonts w:cs="Arial"/>
          <w:b w:val="0"/>
          <w:bCs/>
          <w:u w:val="none"/>
        </w:rPr>
        <w:t xml:space="preserve"> se resuelve autorizar, previa intervención de</w:t>
      </w:r>
      <w:r w:rsidR="00681869">
        <w:rPr>
          <w:rFonts w:cs="Arial"/>
          <w:b w:val="0"/>
          <w:bCs/>
          <w:u w:val="none"/>
        </w:rPr>
        <w:t xml:space="preserve"> este</w:t>
      </w:r>
      <w:r w:rsidR="006877D9" w:rsidRPr="00FB1ED7">
        <w:rPr>
          <w:rFonts w:cs="Arial"/>
          <w:b w:val="0"/>
          <w:bCs/>
          <w:u w:val="none"/>
        </w:rPr>
        <w:t xml:space="preserve"> Tribunal</w:t>
      </w:r>
      <w:r w:rsidR="00681869">
        <w:rPr>
          <w:rFonts w:cs="Arial"/>
          <w:b w:val="0"/>
          <w:bCs/>
          <w:u w:val="none"/>
        </w:rPr>
        <w:t>,</w:t>
      </w:r>
      <w:r w:rsidR="006877D9" w:rsidRPr="00FB1ED7">
        <w:rPr>
          <w:rFonts w:cs="Arial"/>
          <w:b w:val="0"/>
          <w:bCs/>
          <w:u w:val="none"/>
        </w:rPr>
        <w:t xml:space="preserve"> las ampliaciones de los convenios suscriptos en el marco del llamado a Compra </w:t>
      </w:r>
      <w:r w:rsidR="000558A7">
        <w:rPr>
          <w:rFonts w:cs="Arial"/>
          <w:b w:val="0"/>
          <w:bCs/>
          <w:u w:val="none"/>
        </w:rPr>
        <w:t xml:space="preserve">   </w:t>
      </w:r>
      <w:r w:rsidR="006877D9" w:rsidRPr="00FB1ED7">
        <w:rPr>
          <w:rFonts w:cs="Arial"/>
          <w:b w:val="0"/>
          <w:bCs/>
          <w:u w:val="none"/>
        </w:rPr>
        <w:t xml:space="preserve">Directa </w:t>
      </w:r>
      <w:r w:rsidR="000558A7">
        <w:rPr>
          <w:rFonts w:cs="Arial"/>
          <w:b w:val="0"/>
          <w:bCs/>
          <w:u w:val="none"/>
        </w:rPr>
        <w:t xml:space="preserve">  </w:t>
      </w:r>
      <w:r w:rsidR="006877D9" w:rsidRPr="00FB1ED7">
        <w:rPr>
          <w:rFonts w:cs="Arial"/>
          <w:b w:val="0"/>
          <w:bCs/>
          <w:u w:val="none"/>
        </w:rPr>
        <w:t xml:space="preserve">por </w:t>
      </w:r>
      <w:r w:rsidR="000558A7">
        <w:rPr>
          <w:rFonts w:cs="Arial"/>
          <w:b w:val="0"/>
          <w:bCs/>
          <w:u w:val="none"/>
        </w:rPr>
        <w:t xml:space="preserve">  </w:t>
      </w:r>
      <w:r w:rsidR="006877D9" w:rsidRPr="00FB1ED7">
        <w:rPr>
          <w:rFonts w:cs="Arial"/>
          <w:b w:val="0"/>
          <w:bCs/>
          <w:u w:val="none"/>
        </w:rPr>
        <w:t xml:space="preserve">Excepción </w:t>
      </w:r>
      <w:r w:rsidR="000558A7">
        <w:rPr>
          <w:rFonts w:cs="Arial"/>
          <w:b w:val="0"/>
          <w:bCs/>
          <w:u w:val="none"/>
        </w:rPr>
        <w:t xml:space="preserve">   </w:t>
      </w:r>
      <w:r w:rsidR="006877D9" w:rsidRPr="00FB1ED7">
        <w:rPr>
          <w:rFonts w:cs="Arial"/>
          <w:b w:val="0"/>
          <w:bCs/>
          <w:u w:val="none"/>
        </w:rPr>
        <w:t xml:space="preserve">N° 17/2015, </w:t>
      </w:r>
      <w:r w:rsidR="000558A7">
        <w:rPr>
          <w:rFonts w:cs="Arial"/>
          <w:b w:val="0"/>
          <w:bCs/>
          <w:u w:val="none"/>
        </w:rPr>
        <w:t xml:space="preserve">  </w:t>
      </w:r>
      <w:r w:rsidR="006877D9" w:rsidRPr="00FB1ED7">
        <w:rPr>
          <w:rFonts w:cs="Arial"/>
          <w:b w:val="0"/>
          <w:bCs/>
          <w:u w:val="none"/>
        </w:rPr>
        <w:t xml:space="preserve">por </w:t>
      </w:r>
      <w:r w:rsidR="000558A7">
        <w:rPr>
          <w:rFonts w:cs="Arial"/>
          <w:b w:val="0"/>
          <w:bCs/>
          <w:u w:val="none"/>
        </w:rPr>
        <w:t xml:space="preserve">  </w:t>
      </w:r>
      <w:r w:rsidR="006877D9" w:rsidRPr="00FB1ED7">
        <w:rPr>
          <w:rFonts w:cs="Arial"/>
          <w:b w:val="0"/>
          <w:bCs/>
          <w:u w:val="none"/>
        </w:rPr>
        <w:t xml:space="preserve">la </w:t>
      </w:r>
      <w:r w:rsidR="000558A7">
        <w:rPr>
          <w:rFonts w:cs="Arial"/>
          <w:b w:val="0"/>
          <w:bCs/>
          <w:u w:val="none"/>
        </w:rPr>
        <w:t xml:space="preserve">  </w:t>
      </w:r>
      <w:r w:rsidR="006877D9" w:rsidRPr="00FB1ED7">
        <w:rPr>
          <w:rFonts w:cs="Arial"/>
          <w:b w:val="0"/>
          <w:bCs/>
          <w:u w:val="none"/>
        </w:rPr>
        <w:t xml:space="preserve">suma total de hasta </w:t>
      </w:r>
    </w:p>
    <w:p w:rsidR="006877D9" w:rsidRPr="00FB1ED7" w:rsidRDefault="006877D9" w:rsidP="000558A7">
      <w:pPr>
        <w:pStyle w:val="Ttulo"/>
        <w:jc w:val="both"/>
        <w:rPr>
          <w:b w:val="0"/>
          <w:bCs/>
          <w:u w:val="none"/>
          <w:lang w:val="es-ES_tradnl"/>
        </w:rPr>
      </w:pPr>
      <w:r w:rsidRPr="00FB1ED7">
        <w:rPr>
          <w:rFonts w:cs="Arial"/>
          <w:b w:val="0"/>
          <w:bCs/>
          <w:u w:val="none"/>
        </w:rPr>
        <w:lastRenderedPageBreak/>
        <w:t>$ 18:463.700, conforme surge del cuadro siguiente:</w:t>
      </w:r>
      <w:r>
        <w:rPr>
          <w:rFonts w:cs="Arial"/>
          <w:b w:val="0"/>
          <w:bCs/>
          <w:u w:val="none"/>
        </w:rPr>
        <w:t xml:space="preserve"> </w:t>
      </w:r>
    </w:p>
    <w:p w:rsidR="006877D9" w:rsidRDefault="00675741" w:rsidP="00FB1ED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6</w:t>
      </w:r>
      <w:r w:rsidR="006877D9" w:rsidRPr="00921C21">
        <w:rPr>
          <w:bCs/>
          <w:u w:val="none"/>
          <w:lang w:val="es-ES_tradnl"/>
        </w:rPr>
        <w:t>.1</w:t>
      </w:r>
      <w:r w:rsidR="000558A7">
        <w:rPr>
          <w:bCs/>
          <w:u w:val="none"/>
          <w:lang w:val="es-ES_tradnl"/>
        </w:rPr>
        <w:t>)</w:t>
      </w:r>
      <w:r w:rsidR="006877D9">
        <w:rPr>
          <w:b w:val="0"/>
          <w:bCs/>
          <w:u w:val="none"/>
          <w:lang w:val="es-ES_tradnl"/>
        </w:rPr>
        <w:t xml:space="preserve"> en Refugio de calle Pedro Visca Nº 4264, a favor de Asociación Civil Centro de Participación Popular, por un monto de $ 7:385.480, por un plazo de 8 meses a partir del 10/07/2018;</w:t>
      </w:r>
    </w:p>
    <w:p w:rsidR="006877D9" w:rsidRDefault="00675741" w:rsidP="00FB1ED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6</w:t>
      </w:r>
      <w:r w:rsidR="006877D9" w:rsidRPr="00921C21">
        <w:rPr>
          <w:bCs/>
          <w:u w:val="none"/>
          <w:lang w:val="es-ES_tradnl"/>
        </w:rPr>
        <w:t>2</w:t>
      </w:r>
      <w:r w:rsidR="000558A7">
        <w:rPr>
          <w:bCs/>
          <w:u w:val="none"/>
          <w:lang w:val="es-ES_tradnl"/>
        </w:rPr>
        <w:t>)</w:t>
      </w:r>
      <w:r w:rsidR="006877D9">
        <w:rPr>
          <w:b w:val="0"/>
          <w:bCs/>
          <w:u w:val="none"/>
          <w:lang w:val="es-ES_tradnl"/>
        </w:rPr>
        <w:t xml:space="preserve"> en Refugio de calle Nicaragua 1824, a favor de la Cooperativa Promoción de Derechos Humanos , por un monto de $ 3:692.740, por un plazo de 4 meses a partir del 10/07/2018; y</w:t>
      </w:r>
    </w:p>
    <w:p w:rsidR="006877D9" w:rsidRDefault="00675741" w:rsidP="00FB1ED7">
      <w:pPr>
        <w:pStyle w:val="Ttulo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6</w:t>
      </w:r>
      <w:r w:rsidR="006877D9" w:rsidRPr="00A431DB">
        <w:rPr>
          <w:bCs/>
          <w:u w:val="none"/>
          <w:lang w:val="es-ES_tradnl"/>
        </w:rPr>
        <w:t>.3</w:t>
      </w:r>
      <w:r w:rsidR="000558A7">
        <w:rPr>
          <w:bCs/>
          <w:u w:val="none"/>
          <w:lang w:val="es-ES_tradnl"/>
        </w:rPr>
        <w:t>)</w:t>
      </w:r>
      <w:r w:rsidR="006877D9" w:rsidRPr="00A431DB">
        <w:rPr>
          <w:bCs/>
          <w:u w:val="none"/>
          <w:lang w:val="es-ES_tradnl"/>
        </w:rPr>
        <w:t xml:space="preserve"> </w:t>
      </w:r>
      <w:r w:rsidR="006877D9">
        <w:rPr>
          <w:b w:val="0"/>
          <w:bCs/>
          <w:u w:val="none"/>
          <w:lang w:val="es-ES_tradnl"/>
        </w:rPr>
        <w:t xml:space="preserve">en Refugio de calle Comodoro Coe Nº 3691, a favor de la Fundación Plenario de Mujeres del Uruguay , por un monto de $ 7:385.480 , por un plazo de 8 meses a partir del 01/07/2018; </w:t>
      </w:r>
    </w:p>
    <w:p w:rsidR="006877D9" w:rsidRPr="00040487" w:rsidRDefault="000558A7" w:rsidP="000558A7">
      <w:pPr>
        <w:pStyle w:val="Ttulo"/>
        <w:ind w:firstLine="2694"/>
        <w:jc w:val="both"/>
        <w:rPr>
          <w:b w:val="0"/>
          <w:bCs/>
          <w:u w:val="none"/>
          <w:lang w:val="es-ES_tradnl"/>
        </w:rPr>
      </w:pPr>
      <w:r>
        <w:rPr>
          <w:bCs/>
          <w:u w:val="none"/>
          <w:lang w:val="es-ES_tradnl"/>
        </w:rPr>
        <w:t>7</w:t>
      </w:r>
      <w:r w:rsidR="00675741">
        <w:rPr>
          <w:bCs/>
          <w:u w:val="none"/>
          <w:lang w:val="es-ES_tradnl"/>
        </w:rPr>
        <w:t xml:space="preserve">) </w:t>
      </w:r>
      <w:r w:rsidR="006877D9">
        <w:rPr>
          <w:b w:val="0"/>
          <w:bCs/>
          <w:u w:val="none"/>
          <w:lang w:val="es-ES_tradnl"/>
        </w:rPr>
        <w:t>que</w:t>
      </w:r>
      <w:r w:rsidR="00681869">
        <w:rPr>
          <w:b w:val="0"/>
          <w:bCs/>
          <w:u w:val="none"/>
          <w:lang w:val="es-ES_tradnl"/>
        </w:rPr>
        <w:t xml:space="preserve"> por referida Resolución remitida</w:t>
      </w:r>
      <w:r w:rsidR="006877D9">
        <w:rPr>
          <w:b w:val="0"/>
          <w:bCs/>
          <w:u w:val="none"/>
          <w:lang w:val="es-ES_tradnl"/>
        </w:rPr>
        <w:t xml:space="preserve">, </w:t>
      </w:r>
      <w:r w:rsidR="006877D9" w:rsidRPr="00040487">
        <w:rPr>
          <w:rFonts w:cs="Arial"/>
          <w:b w:val="0"/>
          <w:bCs/>
          <w:u w:val="none"/>
        </w:rPr>
        <w:t>se aprueban los textos de los convenios que se adjuntan, los que se consideran parte integrante de</w:t>
      </w:r>
      <w:r w:rsidR="00681869">
        <w:rPr>
          <w:rFonts w:cs="Arial"/>
          <w:b w:val="0"/>
          <w:bCs/>
          <w:u w:val="none"/>
        </w:rPr>
        <w:t xml:space="preserve"> dicha</w:t>
      </w:r>
      <w:r w:rsidR="006877D9" w:rsidRPr="00040487">
        <w:rPr>
          <w:rFonts w:cs="Arial"/>
          <w:b w:val="0"/>
          <w:bCs/>
          <w:u w:val="none"/>
        </w:rPr>
        <w:t xml:space="preserve"> Resoluci</w:t>
      </w:r>
      <w:r w:rsidR="006877D9">
        <w:rPr>
          <w:rFonts w:cs="Arial"/>
          <w:b w:val="0"/>
          <w:bCs/>
          <w:u w:val="none"/>
        </w:rPr>
        <w:t>ón;</w:t>
      </w:r>
    </w:p>
    <w:p w:rsidR="006877D9" w:rsidRDefault="000558A7" w:rsidP="000558A7">
      <w:pPr>
        <w:spacing w:line="360" w:lineRule="auto"/>
        <w:ind w:firstLine="2694"/>
        <w:jc w:val="both"/>
        <w:rPr>
          <w:rFonts w:ascii="Arial" w:hAnsi="Arial" w:cs="Arial"/>
          <w:bCs/>
        </w:rPr>
      </w:pPr>
      <w:r w:rsidRPr="000558A7">
        <w:rPr>
          <w:rFonts w:ascii="Arial" w:hAnsi="Arial" w:cs="Arial"/>
          <w:b/>
          <w:bCs/>
        </w:rPr>
        <w:t>8</w:t>
      </w:r>
      <w:r w:rsidR="006877D9" w:rsidRPr="00040487">
        <w:rPr>
          <w:rFonts w:ascii="Arial" w:hAnsi="Arial" w:cs="Arial"/>
          <w:b/>
          <w:bCs/>
        </w:rPr>
        <w:t>)</w:t>
      </w:r>
      <w:r w:rsidR="006877D9" w:rsidRPr="00040487">
        <w:rPr>
          <w:rFonts w:ascii="Arial" w:hAnsi="Arial" w:cs="Arial"/>
          <w:bCs/>
        </w:rPr>
        <w:t xml:space="preserve"> que</w:t>
      </w:r>
      <w:r w:rsidR="006877D9">
        <w:rPr>
          <w:rFonts w:ascii="Arial" w:hAnsi="Arial" w:cs="Arial"/>
          <w:b/>
          <w:bCs/>
        </w:rPr>
        <w:t xml:space="preserve"> </w:t>
      </w:r>
      <w:r w:rsidR="006877D9">
        <w:rPr>
          <w:rFonts w:ascii="Arial" w:hAnsi="Arial" w:cs="Arial"/>
          <w:bCs/>
        </w:rPr>
        <w:t xml:space="preserve"> consta Documento de Afectación N° 000662 de fecha 27/06/2018, por la suma de $ 14:772.740, con cargo al Inciso 15, U.E. 002, Finan. 1.1, Programa 401, Proyecto 121, Objeto del gasto 554, Aux. 072;</w:t>
      </w:r>
    </w:p>
    <w:p w:rsidR="005B4652" w:rsidRPr="00827E16" w:rsidRDefault="000558A7" w:rsidP="000558A7">
      <w:pPr>
        <w:spacing w:line="360" w:lineRule="auto"/>
        <w:ind w:firstLine="2694"/>
        <w:jc w:val="both"/>
        <w:rPr>
          <w:rFonts w:ascii="Arial" w:hAnsi="Arial" w:cs="Arial"/>
          <w:bCs/>
        </w:rPr>
      </w:pPr>
      <w:r w:rsidRPr="000558A7">
        <w:rPr>
          <w:rFonts w:ascii="Arial" w:hAnsi="Arial" w:cs="Arial"/>
          <w:b/>
          <w:bCs/>
        </w:rPr>
        <w:t>9</w:t>
      </w:r>
      <w:r w:rsidR="005B4652" w:rsidRPr="005B4652">
        <w:rPr>
          <w:rFonts w:ascii="Arial" w:hAnsi="Arial" w:cs="Arial"/>
          <w:b/>
          <w:bCs/>
        </w:rPr>
        <w:t>)</w:t>
      </w:r>
      <w:r w:rsidR="005B4652">
        <w:rPr>
          <w:rFonts w:ascii="Arial" w:hAnsi="Arial" w:cs="Arial"/>
          <w:bCs/>
        </w:rPr>
        <w:t xml:space="preserve"> que las actuaciones ingresaron a este Tribunal para su intervención preventiva, el 17/07/2018;</w:t>
      </w:r>
    </w:p>
    <w:p w:rsidR="006877D9" w:rsidRPr="00600D92" w:rsidRDefault="006877D9" w:rsidP="006818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</w:rPr>
        <w:tab/>
      </w:r>
      <w:r w:rsidRPr="00934C4A">
        <w:rPr>
          <w:rFonts w:ascii="Arial" w:hAnsi="Arial" w:cs="Arial"/>
          <w:b/>
        </w:rPr>
        <w:t>CONSIDERANDO:</w:t>
      </w:r>
      <w:r>
        <w:rPr>
          <w:rFonts w:ascii="Arial" w:hAnsi="Arial" w:cs="Arial"/>
        </w:rPr>
        <w:t xml:space="preserve"> </w:t>
      </w:r>
      <w:r w:rsidRPr="00F16BB9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la ampliación proyectada  </w:t>
      </w:r>
      <w:r>
        <w:rPr>
          <w:rFonts w:ascii="Arial" w:hAnsi="Arial" w:cs="Arial"/>
          <w:bCs/>
        </w:rPr>
        <w:t xml:space="preserve">con Cooperativa de Trabajo Promoción Derechos Humanos (PDDHH) en el Refugio sito en calle Nicaragua 1824, por un monto total de $ 3:692.740, por un plazo de 4 meses;  no coincide con los antecedentes </w:t>
      </w:r>
      <w:r w:rsidR="00681869">
        <w:rPr>
          <w:rFonts w:ascii="Arial" w:hAnsi="Arial" w:cs="Arial"/>
          <w:bCs/>
        </w:rPr>
        <w:t xml:space="preserve">originalmente intervenidos y </w:t>
      </w:r>
      <w:r>
        <w:rPr>
          <w:rFonts w:ascii="Arial" w:hAnsi="Arial" w:cs="Arial"/>
          <w:bCs/>
        </w:rPr>
        <w:t xml:space="preserve">que refieren  al Refugio sito en la calle  </w:t>
      </w:r>
      <w:r w:rsidRPr="00FB1E05">
        <w:rPr>
          <w:rFonts w:ascii="Arial" w:hAnsi="Arial" w:cs="Arial"/>
          <w:bCs/>
        </w:rPr>
        <w:t xml:space="preserve">Javier Barrios Amorín  </w:t>
      </w:r>
      <w:r>
        <w:rPr>
          <w:rFonts w:ascii="Arial" w:hAnsi="Arial" w:cs="Arial"/>
          <w:bCs/>
        </w:rPr>
        <w:t>1594;</w:t>
      </w:r>
    </w:p>
    <w:p w:rsidR="006877D9" w:rsidRDefault="006877D9" w:rsidP="000558A7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2) </w:t>
      </w:r>
      <w:r w:rsidRPr="00600D92">
        <w:rPr>
          <w:rFonts w:ascii="Arial" w:hAnsi="Arial" w:cs="Arial"/>
          <w:bCs/>
        </w:rPr>
        <w:t>que la ampliación proyectada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con PLEMUU  en el Refugio sito en calle Figurita 2909,  por un monto total de $ 3:250.690, por un plazo de 4 meses; no coincide con los antecedentes</w:t>
      </w:r>
      <w:r w:rsidR="00681869">
        <w:rPr>
          <w:rFonts w:ascii="Arial" w:hAnsi="Arial" w:cs="Arial"/>
          <w:bCs/>
        </w:rPr>
        <w:t xml:space="preserve"> oportunamente </w:t>
      </w:r>
      <w:r>
        <w:rPr>
          <w:rFonts w:ascii="Arial" w:hAnsi="Arial" w:cs="Arial"/>
          <w:bCs/>
        </w:rPr>
        <w:t xml:space="preserve"> </w:t>
      </w:r>
      <w:r w:rsidR="00681869">
        <w:rPr>
          <w:rFonts w:ascii="Arial" w:hAnsi="Arial" w:cs="Arial"/>
          <w:bCs/>
        </w:rPr>
        <w:t xml:space="preserve">intervenidos, </w:t>
      </w:r>
      <w:r>
        <w:rPr>
          <w:rFonts w:ascii="Arial" w:hAnsi="Arial" w:cs="Arial"/>
          <w:bCs/>
        </w:rPr>
        <w:t>que refieren  al Refugio sito en la calle Comodoro Coe 3691,  y a lo proyectado, por un monto total de $ 7:385.480, por un plazo de 8 meses;</w:t>
      </w:r>
    </w:p>
    <w:p w:rsidR="006877D9" w:rsidRDefault="006877D9" w:rsidP="000558A7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D90EA3">
        <w:rPr>
          <w:rFonts w:ascii="Arial" w:hAnsi="Arial" w:cs="Arial"/>
          <w:b/>
          <w:bCs/>
        </w:rPr>
        <w:lastRenderedPageBreak/>
        <w:t xml:space="preserve">3) </w:t>
      </w:r>
      <w:r w:rsidRPr="00D90EA3">
        <w:rPr>
          <w:rFonts w:ascii="Arial" w:hAnsi="Arial" w:cs="Arial"/>
          <w:bCs/>
        </w:rPr>
        <w:t>que</w:t>
      </w:r>
      <w:r w:rsidRPr="00D90EA3">
        <w:rPr>
          <w:rFonts w:cs="Arial"/>
          <w:bCs/>
        </w:rPr>
        <w:t xml:space="preserve"> </w:t>
      </w:r>
      <w:r w:rsidR="00681869" w:rsidRPr="00681869">
        <w:rPr>
          <w:rFonts w:ascii="Arial" w:hAnsi="Arial" w:cs="Arial"/>
          <w:bCs/>
        </w:rPr>
        <w:t>e</w:t>
      </w:r>
      <w:r w:rsidRPr="00227D47">
        <w:rPr>
          <w:rFonts w:ascii="Arial" w:hAnsi="Arial" w:cs="Arial"/>
          <w:bCs/>
        </w:rPr>
        <w:t xml:space="preserve">n el </w:t>
      </w:r>
      <w:r w:rsidR="000558A7">
        <w:rPr>
          <w:rFonts w:ascii="Arial" w:hAnsi="Arial" w:cs="Arial"/>
          <w:bCs/>
        </w:rPr>
        <w:t>N</w:t>
      </w:r>
      <w:r w:rsidRPr="00227D47">
        <w:rPr>
          <w:rFonts w:ascii="Arial" w:hAnsi="Arial" w:cs="Arial"/>
          <w:bCs/>
        </w:rPr>
        <w:t>umeral 2) de la parte resolutiva de la Resolución</w:t>
      </w:r>
      <w:r>
        <w:rPr>
          <w:rFonts w:ascii="Arial" w:hAnsi="Arial" w:cs="Arial"/>
          <w:bCs/>
        </w:rPr>
        <w:t xml:space="preserve"> </w:t>
      </w:r>
      <w:r w:rsidR="005B4652">
        <w:rPr>
          <w:rFonts w:ascii="Arial" w:hAnsi="Arial" w:cs="Arial"/>
          <w:bCs/>
        </w:rPr>
        <w:t>Ministerial</w:t>
      </w:r>
      <w:r>
        <w:rPr>
          <w:rFonts w:ascii="Arial" w:hAnsi="Arial" w:cs="Arial"/>
          <w:bCs/>
        </w:rPr>
        <w:t xml:space="preserve"> de fecha 29</w:t>
      </w:r>
      <w:r w:rsidRPr="00227D47">
        <w:rPr>
          <w:rFonts w:ascii="Arial" w:hAnsi="Arial" w:cs="Arial"/>
          <w:bCs/>
        </w:rPr>
        <w:t xml:space="preserve">/06/2018, se dispone que: </w:t>
      </w:r>
      <w:r>
        <w:rPr>
          <w:rFonts w:ascii="Arial" w:hAnsi="Arial" w:cs="Arial"/>
          <w:bCs/>
        </w:rPr>
        <w:t>“El monto a cada Organización le será abonado de la siguiente manera: la primera o única partida, dentro de los 30 días de iniciada la gestión, y, la segunda partida, al sexto mes de iniciada la ampliación”</w:t>
      </w:r>
      <w:r w:rsidR="00675741">
        <w:rPr>
          <w:rFonts w:ascii="Arial" w:hAnsi="Arial" w:cs="Arial"/>
          <w:bCs/>
        </w:rPr>
        <w:t>, sin distinguir el contrato con la Cooperativa de Trabajo Promoción de Derechos Humanos</w:t>
      </w:r>
      <w:r w:rsidR="002A1FAF">
        <w:rPr>
          <w:rFonts w:ascii="Arial" w:hAnsi="Arial" w:cs="Arial"/>
          <w:bCs/>
        </w:rPr>
        <w:t xml:space="preserve"> cuyo plazo es de 4 meses y el pago se hará en una única partida a los 30 días</w:t>
      </w:r>
      <w:r>
        <w:rPr>
          <w:rFonts w:ascii="Arial" w:hAnsi="Arial" w:cs="Arial"/>
          <w:bCs/>
        </w:rPr>
        <w:t>;</w:t>
      </w:r>
    </w:p>
    <w:p w:rsidR="006877D9" w:rsidRPr="00227D47" w:rsidRDefault="006877D9" w:rsidP="000558A7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05149A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que </w:t>
      </w:r>
      <w:r w:rsidR="002A1FAF">
        <w:rPr>
          <w:rFonts w:ascii="Arial" w:hAnsi="Arial" w:cs="Arial"/>
          <w:bCs/>
        </w:rPr>
        <w:t xml:space="preserve">la </w:t>
      </w:r>
      <w:r>
        <w:rPr>
          <w:rFonts w:ascii="Arial" w:hAnsi="Arial" w:cs="Arial"/>
          <w:bCs/>
        </w:rPr>
        <w:t>forma de pago implica</w:t>
      </w:r>
      <w:r w:rsidR="005B4652">
        <w:rPr>
          <w:rFonts w:ascii="Arial" w:hAnsi="Arial" w:cs="Arial"/>
          <w:bCs/>
        </w:rPr>
        <w:t xml:space="preserve">, que </w:t>
      </w:r>
      <w:r>
        <w:rPr>
          <w:rFonts w:ascii="Arial" w:hAnsi="Arial" w:cs="Arial"/>
          <w:bCs/>
        </w:rPr>
        <w:t xml:space="preserve">el pago total del servicio </w:t>
      </w:r>
      <w:r w:rsidR="005B4652">
        <w:rPr>
          <w:rFonts w:ascii="Arial" w:hAnsi="Arial" w:cs="Arial"/>
          <w:bCs/>
        </w:rPr>
        <w:t xml:space="preserve">se efectuará </w:t>
      </w:r>
      <w:r>
        <w:rPr>
          <w:rFonts w:ascii="Arial" w:hAnsi="Arial" w:cs="Arial"/>
          <w:bCs/>
        </w:rPr>
        <w:t xml:space="preserve">con anterioridad a que el mismo se ejecute por completo, lo que contraviene  lo dispuesto por el </w:t>
      </w:r>
      <w:r w:rsidR="000558A7">
        <w:rPr>
          <w:rFonts w:ascii="Arial" w:hAnsi="Arial" w:cs="Arial"/>
          <w:bCs/>
        </w:rPr>
        <w:t>A</w:t>
      </w:r>
      <w:r w:rsidR="005B4652">
        <w:rPr>
          <w:rFonts w:ascii="Arial" w:hAnsi="Arial" w:cs="Arial"/>
          <w:bCs/>
        </w:rPr>
        <w:t>rtículo</w:t>
      </w:r>
      <w:r>
        <w:rPr>
          <w:rFonts w:ascii="Arial" w:hAnsi="Arial" w:cs="Arial"/>
          <w:bCs/>
        </w:rPr>
        <w:t xml:space="preserve"> 20</w:t>
      </w:r>
      <w:r w:rsidR="005B4652">
        <w:rPr>
          <w:rFonts w:ascii="Arial" w:hAnsi="Arial" w:cs="Arial"/>
          <w:bCs/>
        </w:rPr>
        <w:t xml:space="preserve">, </w:t>
      </w:r>
      <w:r w:rsidR="000558A7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umeral 2) del TOCAF</w:t>
      </w:r>
      <w:r w:rsidR="005B4652">
        <w:rPr>
          <w:rFonts w:ascii="Arial" w:hAnsi="Arial" w:cs="Arial"/>
          <w:bCs/>
        </w:rPr>
        <w:t>;</w:t>
      </w:r>
    </w:p>
    <w:p w:rsidR="006877D9" w:rsidRPr="00953C50" w:rsidRDefault="006877D9" w:rsidP="00F16BB9">
      <w:pPr>
        <w:spacing w:line="360" w:lineRule="auto"/>
        <w:jc w:val="both"/>
        <w:rPr>
          <w:rFonts w:ascii="Arial" w:hAnsi="Arial" w:cs="Arial"/>
          <w:bCs/>
        </w:rPr>
      </w:pPr>
      <w:r w:rsidRPr="00F16BB9"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 xml:space="preserve">                               5</w:t>
      </w:r>
      <w:r w:rsidRPr="00F16BB9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que n</w:t>
      </w:r>
      <w:r w:rsidRPr="00953C50">
        <w:rPr>
          <w:rFonts w:ascii="Arial" w:hAnsi="Arial" w:cs="Arial"/>
          <w:bCs/>
        </w:rPr>
        <w:t>o se acompaña informe favorable de gestión</w:t>
      </w:r>
      <w:r w:rsidR="005B4652">
        <w:rPr>
          <w:rFonts w:ascii="Arial" w:hAnsi="Arial" w:cs="Arial"/>
          <w:bCs/>
        </w:rPr>
        <w:t>,</w:t>
      </w:r>
      <w:r w:rsidRPr="00953C50">
        <w:rPr>
          <w:rFonts w:ascii="Arial" w:hAnsi="Arial" w:cs="Arial"/>
          <w:bCs/>
        </w:rPr>
        <w:t xml:space="preserve"> ni consta rendición de cuentas conforme lo exigían los convenios </w:t>
      </w:r>
      <w:r>
        <w:rPr>
          <w:rFonts w:ascii="Arial" w:hAnsi="Arial" w:cs="Arial"/>
          <w:bCs/>
        </w:rPr>
        <w:t xml:space="preserve">anteriores </w:t>
      </w:r>
      <w:r w:rsidRPr="00953C50">
        <w:rPr>
          <w:rFonts w:ascii="Arial" w:hAnsi="Arial" w:cs="Arial"/>
          <w:bCs/>
        </w:rPr>
        <w:t>(Cl</w:t>
      </w:r>
      <w:r w:rsidR="005B4652">
        <w:rPr>
          <w:rFonts w:ascii="Arial" w:hAnsi="Arial" w:cs="Arial"/>
          <w:bCs/>
        </w:rPr>
        <w:t xml:space="preserve">áusula </w:t>
      </w:r>
      <w:r w:rsidRPr="00953C50">
        <w:rPr>
          <w:rFonts w:ascii="Arial" w:hAnsi="Arial" w:cs="Arial"/>
          <w:bCs/>
        </w:rPr>
        <w:t xml:space="preserve"> 3 </w:t>
      </w:r>
      <w:r w:rsidR="000558A7">
        <w:rPr>
          <w:rFonts w:ascii="Arial" w:hAnsi="Arial" w:cs="Arial"/>
          <w:bCs/>
        </w:rPr>
        <w:t>N</w:t>
      </w:r>
      <w:r w:rsidRPr="00953C50">
        <w:rPr>
          <w:rFonts w:ascii="Arial" w:hAnsi="Arial" w:cs="Arial"/>
          <w:bCs/>
        </w:rPr>
        <w:t xml:space="preserve">umeral 1), </w:t>
      </w:r>
      <w:r w:rsidR="005B4652">
        <w:rPr>
          <w:rFonts w:ascii="Arial" w:hAnsi="Arial" w:cs="Arial"/>
          <w:bCs/>
        </w:rPr>
        <w:t xml:space="preserve">conforme </w:t>
      </w:r>
      <w:r w:rsidRPr="00953C50">
        <w:rPr>
          <w:rFonts w:ascii="Arial" w:hAnsi="Arial" w:cs="Arial"/>
          <w:bCs/>
        </w:rPr>
        <w:t xml:space="preserve">lo prevén el </w:t>
      </w:r>
      <w:r w:rsidR="000558A7">
        <w:rPr>
          <w:rFonts w:ascii="Arial" w:hAnsi="Arial" w:cs="Arial"/>
          <w:bCs/>
        </w:rPr>
        <w:t>A</w:t>
      </w:r>
      <w:r w:rsidR="005B4652">
        <w:rPr>
          <w:rFonts w:ascii="Arial" w:hAnsi="Arial" w:cs="Arial"/>
          <w:bCs/>
        </w:rPr>
        <w:t>rtículo</w:t>
      </w:r>
      <w:r w:rsidRPr="00953C50">
        <w:rPr>
          <w:rFonts w:ascii="Arial" w:hAnsi="Arial" w:cs="Arial"/>
          <w:bCs/>
        </w:rPr>
        <w:t xml:space="preserve"> 132 del TOCAF y la Or</w:t>
      </w:r>
      <w:r>
        <w:rPr>
          <w:rFonts w:ascii="Arial" w:hAnsi="Arial" w:cs="Arial"/>
          <w:bCs/>
        </w:rPr>
        <w:t>denanza N° 77 de este Tribunal;</w:t>
      </w:r>
    </w:p>
    <w:p w:rsidR="006877D9" w:rsidRPr="00F16BB9" w:rsidRDefault="006877D9" w:rsidP="00600D92">
      <w:pPr>
        <w:spacing w:line="360" w:lineRule="auto"/>
        <w:jc w:val="both"/>
        <w:rPr>
          <w:rFonts w:ascii="Arial" w:hAnsi="Arial" w:cs="Arial"/>
          <w:bCs/>
          <w:lang w:val="es-UY"/>
        </w:rPr>
      </w:pPr>
      <w:r>
        <w:rPr>
          <w:rFonts w:ascii="Arial" w:hAnsi="Arial" w:cs="Arial"/>
          <w:bCs/>
        </w:rPr>
        <w:t xml:space="preserve">                                       </w:t>
      </w:r>
      <w:r w:rsidR="005B465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>6</w:t>
      </w:r>
      <w:r w:rsidRPr="00F16BB9">
        <w:rPr>
          <w:rFonts w:ascii="Arial" w:hAnsi="Arial" w:cs="Arial"/>
          <w:b/>
          <w:bCs/>
          <w:lang w:val="es-UY"/>
        </w:rPr>
        <w:t>)</w:t>
      </w:r>
      <w:r>
        <w:rPr>
          <w:rFonts w:ascii="Arial" w:hAnsi="Arial" w:cs="Arial"/>
          <w:bCs/>
          <w:lang w:val="es-UY"/>
        </w:rPr>
        <w:t xml:space="preserve"> que no constan agregados los proyectos de ampliación de los convenios que forman parte de la Resolución de fecha 29/06/2018</w:t>
      </w:r>
      <w:r w:rsidR="005B4652">
        <w:rPr>
          <w:rFonts w:ascii="Arial" w:hAnsi="Arial" w:cs="Arial"/>
          <w:bCs/>
          <w:lang w:val="es-UY"/>
        </w:rPr>
        <w:t xml:space="preserve">, </w:t>
      </w:r>
      <w:r w:rsidR="005B4652" w:rsidRPr="005B4652">
        <w:rPr>
          <w:rFonts w:ascii="Arial" w:hAnsi="Arial" w:cs="Arial"/>
          <w:bCs/>
          <w:lang w:val="es-UY"/>
        </w:rPr>
        <w:t>remitida</w:t>
      </w:r>
      <w:r w:rsidR="005B4652">
        <w:rPr>
          <w:rFonts w:ascii="Arial" w:hAnsi="Arial" w:cs="Arial"/>
          <w:bCs/>
          <w:lang w:val="es-UY"/>
        </w:rPr>
        <w:t xml:space="preserve"> en esta oportunidad</w:t>
      </w:r>
      <w:r>
        <w:rPr>
          <w:rFonts w:ascii="Arial" w:hAnsi="Arial" w:cs="Arial"/>
          <w:bCs/>
          <w:lang w:val="es-UY"/>
        </w:rPr>
        <w:t>;</w:t>
      </w:r>
    </w:p>
    <w:p w:rsidR="005B4652" w:rsidRPr="005B4652" w:rsidRDefault="005B4652" w:rsidP="005B4652">
      <w:pPr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                                            </w:t>
      </w:r>
      <w:r w:rsidRPr="005B4652">
        <w:rPr>
          <w:rFonts w:ascii="Arial" w:hAnsi="Arial" w:cs="Arial"/>
          <w:b/>
          <w:lang w:val="es-UY"/>
        </w:rPr>
        <w:t>7)</w:t>
      </w:r>
      <w:r>
        <w:rPr>
          <w:rFonts w:ascii="Arial" w:hAnsi="Arial" w:cs="Arial"/>
          <w:lang w:val="es-UY"/>
        </w:rPr>
        <w:t xml:space="preserve"> que las actuaciones constan con principio de ejecución, en contravención de lo dispuesto por el </w:t>
      </w:r>
      <w:r w:rsidR="000558A7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rtículo  </w:t>
      </w:r>
      <w:r w:rsidRPr="005B4652">
        <w:rPr>
          <w:rFonts w:ascii="Arial" w:hAnsi="Arial" w:cs="Arial"/>
          <w:lang w:val="es-UY"/>
        </w:rPr>
        <w:t xml:space="preserve">211 Literal B) de la Constitución de la República; </w:t>
      </w:r>
    </w:p>
    <w:p w:rsidR="006877D9" w:rsidRDefault="006877D9" w:rsidP="000558A7">
      <w:pPr>
        <w:pStyle w:val="Prrafodelista"/>
        <w:tabs>
          <w:tab w:val="left" w:pos="1395"/>
        </w:tabs>
        <w:spacing w:line="360" w:lineRule="auto"/>
        <w:ind w:left="0" w:firstLine="709"/>
        <w:jc w:val="both"/>
        <w:rPr>
          <w:rFonts w:ascii="Arial" w:hAnsi="Arial" w:cs="Arial"/>
        </w:rPr>
      </w:pPr>
      <w:r w:rsidRPr="00B51A33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 y a lo que disp</w:t>
      </w:r>
      <w:r w:rsidR="005B4652">
        <w:rPr>
          <w:rFonts w:ascii="Arial" w:hAnsi="Arial" w:cs="Arial"/>
        </w:rPr>
        <w:t>uesto por</w:t>
      </w:r>
      <w:r>
        <w:rPr>
          <w:rFonts w:ascii="Arial" w:hAnsi="Arial" w:cs="Arial"/>
        </w:rPr>
        <w:t xml:space="preserve"> el </w:t>
      </w:r>
      <w:r w:rsidR="000558A7">
        <w:rPr>
          <w:rFonts w:ascii="Arial" w:hAnsi="Arial" w:cs="Arial"/>
        </w:rPr>
        <w:t>A</w:t>
      </w:r>
      <w:r w:rsidR="005B4652">
        <w:rPr>
          <w:rFonts w:ascii="Arial" w:hAnsi="Arial" w:cs="Arial"/>
        </w:rPr>
        <w:t>rtículo</w:t>
      </w:r>
      <w:r>
        <w:rPr>
          <w:rFonts w:ascii="Arial" w:hAnsi="Arial" w:cs="Arial"/>
        </w:rPr>
        <w:t xml:space="preserve"> 211</w:t>
      </w:r>
      <w:r w:rsidR="005B4652">
        <w:rPr>
          <w:rFonts w:ascii="Arial" w:hAnsi="Arial" w:cs="Arial"/>
        </w:rPr>
        <w:t xml:space="preserve">, </w:t>
      </w:r>
      <w:r w:rsidR="000558A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 la Constitución de la República; </w:t>
      </w:r>
    </w:p>
    <w:p w:rsidR="006877D9" w:rsidRPr="00B51A33" w:rsidRDefault="006877D9" w:rsidP="00B51A33">
      <w:pPr>
        <w:pStyle w:val="Prrafode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6877D9" w:rsidRDefault="006877D9" w:rsidP="00F16BB9">
      <w:pPr>
        <w:pStyle w:val="Prrafodelista"/>
        <w:spacing w:line="360" w:lineRule="auto"/>
        <w:ind w:left="-142" w:firstLine="142"/>
        <w:jc w:val="both"/>
        <w:rPr>
          <w:rFonts w:ascii="Arial" w:hAnsi="Arial" w:cs="Arial"/>
        </w:rPr>
      </w:pPr>
      <w:r w:rsidRPr="007868F1">
        <w:rPr>
          <w:rFonts w:ascii="Arial" w:hAnsi="Arial" w:cs="Arial"/>
          <w:b/>
        </w:rPr>
        <w:t>1</w:t>
      </w:r>
      <w:r w:rsidR="000558A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Observar el gasto;</w:t>
      </w:r>
    </w:p>
    <w:p w:rsidR="006877D9" w:rsidRDefault="006877D9" w:rsidP="00F16BB9">
      <w:pPr>
        <w:pStyle w:val="Prrafodelista"/>
        <w:spacing w:line="360" w:lineRule="auto"/>
        <w:ind w:left="-142" w:firstLine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0558A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Comunicar al Contador Auditor;</w:t>
      </w:r>
      <w:r w:rsidR="000558A7">
        <w:rPr>
          <w:rFonts w:ascii="Arial" w:hAnsi="Arial" w:cs="Arial"/>
        </w:rPr>
        <w:t xml:space="preserve"> y</w:t>
      </w:r>
    </w:p>
    <w:p w:rsidR="006877D9" w:rsidRPr="0005149A" w:rsidRDefault="006877D9" w:rsidP="00F16BB9">
      <w:pPr>
        <w:pStyle w:val="Prrafodelista"/>
        <w:spacing w:line="360" w:lineRule="auto"/>
        <w:ind w:left="-142" w:firstLine="142"/>
        <w:jc w:val="both"/>
        <w:rPr>
          <w:rFonts w:ascii="Arial" w:hAnsi="Arial" w:cs="Arial"/>
        </w:rPr>
      </w:pPr>
      <w:r w:rsidRPr="0005149A">
        <w:rPr>
          <w:rFonts w:ascii="Arial" w:hAnsi="Arial" w:cs="Arial"/>
          <w:b/>
        </w:rPr>
        <w:t>3</w:t>
      </w:r>
      <w:r w:rsidR="000558A7">
        <w:rPr>
          <w:rFonts w:ascii="Arial" w:hAnsi="Arial" w:cs="Arial"/>
          <w:b/>
        </w:rPr>
        <w:t xml:space="preserve">) </w:t>
      </w:r>
      <w:r w:rsidRPr="0005149A">
        <w:rPr>
          <w:rFonts w:ascii="Arial" w:hAnsi="Arial" w:cs="Arial"/>
        </w:rPr>
        <w:t>Devolver las actuaciones.-</w:t>
      </w:r>
    </w:p>
    <w:p w:rsidR="006877D9" w:rsidRDefault="006877D9" w:rsidP="005947E5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</w:p>
    <w:p w:rsidR="006877D9" w:rsidRDefault="006877D9" w:rsidP="005947E5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</w:p>
    <w:p w:rsidR="006877D9" w:rsidRPr="000558A7" w:rsidRDefault="000558A7" w:rsidP="00DC5FE0">
      <w:pPr>
        <w:pStyle w:val="Ttulo"/>
        <w:jc w:val="both"/>
        <w:rPr>
          <w:rFonts w:cs="Arial"/>
          <w:b w:val="0"/>
          <w:bCs/>
          <w:u w:val="none"/>
        </w:rPr>
      </w:pPr>
      <w:r w:rsidRPr="000558A7">
        <w:rPr>
          <w:rFonts w:cs="Arial"/>
          <w:b w:val="0"/>
          <w:bCs/>
          <w:u w:val="none"/>
        </w:rPr>
        <w:t>cr</w:t>
      </w:r>
    </w:p>
    <w:sectPr w:rsidR="006877D9" w:rsidRPr="000558A7" w:rsidSect="00232883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3B" w:rsidRDefault="0095483B" w:rsidP="008174EA">
      <w:r>
        <w:separator/>
      </w:r>
    </w:p>
  </w:endnote>
  <w:endnote w:type="continuationSeparator" w:id="0">
    <w:p w:rsidR="0095483B" w:rsidRDefault="0095483B" w:rsidP="008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869" w:rsidRDefault="0068186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32883">
      <w:rPr>
        <w:noProof/>
      </w:rPr>
      <w:t>3</w:t>
    </w:r>
    <w:r>
      <w:rPr>
        <w:noProof/>
      </w:rPr>
      <w:fldChar w:fldCharType="end"/>
    </w:r>
  </w:p>
  <w:p w:rsidR="00681869" w:rsidRDefault="006818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3B" w:rsidRDefault="0095483B" w:rsidP="008174EA">
      <w:r>
        <w:separator/>
      </w:r>
    </w:p>
  </w:footnote>
  <w:footnote w:type="continuationSeparator" w:id="0">
    <w:p w:rsidR="0095483B" w:rsidRDefault="0095483B" w:rsidP="0081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0E63"/>
    <w:multiLevelType w:val="hybridMultilevel"/>
    <w:tmpl w:val="D2DAA556"/>
    <w:lvl w:ilvl="0" w:tplc="AC3E78BA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3F2667C5"/>
    <w:multiLevelType w:val="hybridMultilevel"/>
    <w:tmpl w:val="8D8EF146"/>
    <w:lvl w:ilvl="0" w:tplc="45E271F0">
      <w:start w:val="1"/>
      <w:numFmt w:val="upperRoman"/>
      <w:lvlText w:val="%1)"/>
      <w:lvlJc w:val="left"/>
      <w:pPr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FDD33CA"/>
    <w:multiLevelType w:val="multilevel"/>
    <w:tmpl w:val="6F548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B0E4B"/>
    <w:multiLevelType w:val="hybridMultilevel"/>
    <w:tmpl w:val="16C4C562"/>
    <w:lvl w:ilvl="0" w:tplc="D1B21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7263AEC"/>
    <w:multiLevelType w:val="hybridMultilevel"/>
    <w:tmpl w:val="6F54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55FF699B"/>
    <w:multiLevelType w:val="hybridMultilevel"/>
    <w:tmpl w:val="4712F628"/>
    <w:lvl w:ilvl="0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58FA3211"/>
    <w:multiLevelType w:val="hybridMultilevel"/>
    <w:tmpl w:val="80EC69D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4A4CA6"/>
    <w:multiLevelType w:val="hybridMultilevel"/>
    <w:tmpl w:val="DF987BB8"/>
    <w:lvl w:ilvl="0" w:tplc="AB6A798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16814B9"/>
    <w:multiLevelType w:val="hybridMultilevel"/>
    <w:tmpl w:val="5ABC59AC"/>
    <w:lvl w:ilvl="0" w:tplc="D68658B4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7F024BE9"/>
    <w:multiLevelType w:val="hybridMultilevel"/>
    <w:tmpl w:val="EA4E50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CF9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13"/>
    <w:rsid w:val="00004E1B"/>
    <w:rsid w:val="00010B91"/>
    <w:rsid w:val="00015B96"/>
    <w:rsid w:val="000178A9"/>
    <w:rsid w:val="000203BD"/>
    <w:rsid w:val="0002198B"/>
    <w:rsid w:val="000271FB"/>
    <w:rsid w:val="00030D58"/>
    <w:rsid w:val="00040487"/>
    <w:rsid w:val="0005149A"/>
    <w:rsid w:val="00052AB8"/>
    <w:rsid w:val="000558A7"/>
    <w:rsid w:val="000558C3"/>
    <w:rsid w:val="000561CE"/>
    <w:rsid w:val="00064DCD"/>
    <w:rsid w:val="00094D58"/>
    <w:rsid w:val="000960A5"/>
    <w:rsid w:val="000B0E79"/>
    <w:rsid w:val="000B3382"/>
    <w:rsid w:val="000B3949"/>
    <w:rsid w:val="000B4351"/>
    <w:rsid w:val="000C070F"/>
    <w:rsid w:val="000D4577"/>
    <w:rsid w:val="000D6CCB"/>
    <w:rsid w:val="000E19BA"/>
    <w:rsid w:val="000E550F"/>
    <w:rsid w:val="000F14B1"/>
    <w:rsid w:val="000F2F8D"/>
    <w:rsid w:val="000F5063"/>
    <w:rsid w:val="00113E26"/>
    <w:rsid w:val="0011702E"/>
    <w:rsid w:val="00117940"/>
    <w:rsid w:val="00126B66"/>
    <w:rsid w:val="0013190C"/>
    <w:rsid w:val="00142088"/>
    <w:rsid w:val="00147C12"/>
    <w:rsid w:val="001500D4"/>
    <w:rsid w:val="00152818"/>
    <w:rsid w:val="00153345"/>
    <w:rsid w:val="001B5CE6"/>
    <w:rsid w:val="001C20A7"/>
    <w:rsid w:val="001C3BE8"/>
    <w:rsid w:val="001D7571"/>
    <w:rsid w:val="001E2770"/>
    <w:rsid w:val="001E3E61"/>
    <w:rsid w:val="001E48ED"/>
    <w:rsid w:val="001F74A1"/>
    <w:rsid w:val="00204DE3"/>
    <w:rsid w:val="00215494"/>
    <w:rsid w:val="0021755B"/>
    <w:rsid w:val="002227C7"/>
    <w:rsid w:val="00227D47"/>
    <w:rsid w:val="00232883"/>
    <w:rsid w:val="0024209D"/>
    <w:rsid w:val="0025545F"/>
    <w:rsid w:val="002A1FAF"/>
    <w:rsid w:val="002B3E9B"/>
    <w:rsid w:val="002C72A1"/>
    <w:rsid w:val="002F22A2"/>
    <w:rsid w:val="002F2AB4"/>
    <w:rsid w:val="00302B36"/>
    <w:rsid w:val="0031078F"/>
    <w:rsid w:val="003428CC"/>
    <w:rsid w:val="00352067"/>
    <w:rsid w:val="003642F9"/>
    <w:rsid w:val="003673AE"/>
    <w:rsid w:val="0037446E"/>
    <w:rsid w:val="00391B5E"/>
    <w:rsid w:val="00392882"/>
    <w:rsid w:val="003A64D7"/>
    <w:rsid w:val="003C0311"/>
    <w:rsid w:val="003E4D37"/>
    <w:rsid w:val="003F1F31"/>
    <w:rsid w:val="003F45E8"/>
    <w:rsid w:val="003F55F5"/>
    <w:rsid w:val="00421656"/>
    <w:rsid w:val="00441C8C"/>
    <w:rsid w:val="00450242"/>
    <w:rsid w:val="00484EC7"/>
    <w:rsid w:val="0048566B"/>
    <w:rsid w:val="0048721E"/>
    <w:rsid w:val="00495B86"/>
    <w:rsid w:val="004A07B5"/>
    <w:rsid w:val="004A14AE"/>
    <w:rsid w:val="004B2357"/>
    <w:rsid w:val="004B618F"/>
    <w:rsid w:val="004C2A2A"/>
    <w:rsid w:val="0050694E"/>
    <w:rsid w:val="00512AB8"/>
    <w:rsid w:val="0052383D"/>
    <w:rsid w:val="005511B5"/>
    <w:rsid w:val="005639FA"/>
    <w:rsid w:val="0057260A"/>
    <w:rsid w:val="00572985"/>
    <w:rsid w:val="0057741D"/>
    <w:rsid w:val="00580439"/>
    <w:rsid w:val="00590895"/>
    <w:rsid w:val="00592296"/>
    <w:rsid w:val="005947E5"/>
    <w:rsid w:val="00594D92"/>
    <w:rsid w:val="005B4652"/>
    <w:rsid w:val="005C0EF0"/>
    <w:rsid w:val="005C1D78"/>
    <w:rsid w:val="005C1F73"/>
    <w:rsid w:val="005F3954"/>
    <w:rsid w:val="005F520E"/>
    <w:rsid w:val="00600D92"/>
    <w:rsid w:val="00627113"/>
    <w:rsid w:val="00636FC7"/>
    <w:rsid w:val="006433F5"/>
    <w:rsid w:val="006538D3"/>
    <w:rsid w:val="0067361A"/>
    <w:rsid w:val="00673CF9"/>
    <w:rsid w:val="00675741"/>
    <w:rsid w:val="00677E02"/>
    <w:rsid w:val="00681869"/>
    <w:rsid w:val="006877D9"/>
    <w:rsid w:val="00690C37"/>
    <w:rsid w:val="006A69D9"/>
    <w:rsid w:val="006B07FA"/>
    <w:rsid w:val="006B2466"/>
    <w:rsid w:val="006B2998"/>
    <w:rsid w:val="006B4F44"/>
    <w:rsid w:val="006C7DBB"/>
    <w:rsid w:val="006E70DC"/>
    <w:rsid w:val="006E7D4D"/>
    <w:rsid w:val="006F6124"/>
    <w:rsid w:val="00710B8E"/>
    <w:rsid w:val="007230D8"/>
    <w:rsid w:val="00743B2C"/>
    <w:rsid w:val="00750D7A"/>
    <w:rsid w:val="00756269"/>
    <w:rsid w:val="0076204C"/>
    <w:rsid w:val="00773C92"/>
    <w:rsid w:val="007868F1"/>
    <w:rsid w:val="00790CD9"/>
    <w:rsid w:val="007B0513"/>
    <w:rsid w:val="007B0A94"/>
    <w:rsid w:val="007C3904"/>
    <w:rsid w:val="007D5AEC"/>
    <w:rsid w:val="007F3FCD"/>
    <w:rsid w:val="008118BC"/>
    <w:rsid w:val="008174EA"/>
    <w:rsid w:val="0082528C"/>
    <w:rsid w:val="0082659F"/>
    <w:rsid w:val="00827E16"/>
    <w:rsid w:val="00831FAE"/>
    <w:rsid w:val="008326B5"/>
    <w:rsid w:val="008329F1"/>
    <w:rsid w:val="00841AD4"/>
    <w:rsid w:val="00845268"/>
    <w:rsid w:val="008519CF"/>
    <w:rsid w:val="008579A1"/>
    <w:rsid w:val="008629A2"/>
    <w:rsid w:val="00865735"/>
    <w:rsid w:val="00870F22"/>
    <w:rsid w:val="008725D7"/>
    <w:rsid w:val="00877AF4"/>
    <w:rsid w:val="0089222B"/>
    <w:rsid w:val="008923B2"/>
    <w:rsid w:val="008A0EAE"/>
    <w:rsid w:val="008A2038"/>
    <w:rsid w:val="008B5A99"/>
    <w:rsid w:val="008C0CDD"/>
    <w:rsid w:val="008D625B"/>
    <w:rsid w:val="008E6139"/>
    <w:rsid w:val="008F1435"/>
    <w:rsid w:val="00912B8C"/>
    <w:rsid w:val="00921C21"/>
    <w:rsid w:val="009320BD"/>
    <w:rsid w:val="00933FFC"/>
    <w:rsid w:val="00934C4A"/>
    <w:rsid w:val="00935ED9"/>
    <w:rsid w:val="009365EB"/>
    <w:rsid w:val="00936F5F"/>
    <w:rsid w:val="0094066C"/>
    <w:rsid w:val="00953C50"/>
    <w:rsid w:val="0095483B"/>
    <w:rsid w:val="00957686"/>
    <w:rsid w:val="00963594"/>
    <w:rsid w:val="00982255"/>
    <w:rsid w:val="00990828"/>
    <w:rsid w:val="009A7FC3"/>
    <w:rsid w:val="009B1F70"/>
    <w:rsid w:val="009B49FE"/>
    <w:rsid w:val="009C1C29"/>
    <w:rsid w:val="009C5C97"/>
    <w:rsid w:val="009E24A7"/>
    <w:rsid w:val="009E2993"/>
    <w:rsid w:val="009E35F4"/>
    <w:rsid w:val="009F064C"/>
    <w:rsid w:val="00A046AB"/>
    <w:rsid w:val="00A12535"/>
    <w:rsid w:val="00A431DB"/>
    <w:rsid w:val="00A568EA"/>
    <w:rsid w:val="00A56E5C"/>
    <w:rsid w:val="00A66229"/>
    <w:rsid w:val="00A81F51"/>
    <w:rsid w:val="00A85991"/>
    <w:rsid w:val="00A92FFA"/>
    <w:rsid w:val="00A96E75"/>
    <w:rsid w:val="00AB56E6"/>
    <w:rsid w:val="00AC5B97"/>
    <w:rsid w:val="00AC6CDF"/>
    <w:rsid w:val="00AE3769"/>
    <w:rsid w:val="00B054F9"/>
    <w:rsid w:val="00B17E07"/>
    <w:rsid w:val="00B17E98"/>
    <w:rsid w:val="00B3006A"/>
    <w:rsid w:val="00B331FC"/>
    <w:rsid w:val="00B3372B"/>
    <w:rsid w:val="00B36F26"/>
    <w:rsid w:val="00B43AFB"/>
    <w:rsid w:val="00B505F0"/>
    <w:rsid w:val="00B51A33"/>
    <w:rsid w:val="00B72C3D"/>
    <w:rsid w:val="00B736EF"/>
    <w:rsid w:val="00B9764E"/>
    <w:rsid w:val="00BB6277"/>
    <w:rsid w:val="00BD6BC5"/>
    <w:rsid w:val="00BE6091"/>
    <w:rsid w:val="00BE63CF"/>
    <w:rsid w:val="00BE78B4"/>
    <w:rsid w:val="00C06254"/>
    <w:rsid w:val="00C0786F"/>
    <w:rsid w:val="00C150FE"/>
    <w:rsid w:val="00C23F3C"/>
    <w:rsid w:val="00C26011"/>
    <w:rsid w:val="00C303F1"/>
    <w:rsid w:val="00C32AD7"/>
    <w:rsid w:val="00C33F75"/>
    <w:rsid w:val="00C405C0"/>
    <w:rsid w:val="00C46C90"/>
    <w:rsid w:val="00C479B6"/>
    <w:rsid w:val="00C56D14"/>
    <w:rsid w:val="00C578AE"/>
    <w:rsid w:val="00C669F1"/>
    <w:rsid w:val="00C7644E"/>
    <w:rsid w:val="00C80508"/>
    <w:rsid w:val="00C9182B"/>
    <w:rsid w:val="00C948EA"/>
    <w:rsid w:val="00CA445A"/>
    <w:rsid w:val="00CC5A41"/>
    <w:rsid w:val="00CF0683"/>
    <w:rsid w:val="00CF7B93"/>
    <w:rsid w:val="00D04C18"/>
    <w:rsid w:val="00D07F64"/>
    <w:rsid w:val="00D13694"/>
    <w:rsid w:val="00D16A6D"/>
    <w:rsid w:val="00D16F15"/>
    <w:rsid w:val="00D21B85"/>
    <w:rsid w:val="00D368D8"/>
    <w:rsid w:val="00D608D0"/>
    <w:rsid w:val="00D66C97"/>
    <w:rsid w:val="00D811D5"/>
    <w:rsid w:val="00D90EA3"/>
    <w:rsid w:val="00DC5FE0"/>
    <w:rsid w:val="00DE6679"/>
    <w:rsid w:val="00DF1BEF"/>
    <w:rsid w:val="00E04FDD"/>
    <w:rsid w:val="00E07463"/>
    <w:rsid w:val="00E3353D"/>
    <w:rsid w:val="00E44822"/>
    <w:rsid w:val="00E52DC2"/>
    <w:rsid w:val="00E53A08"/>
    <w:rsid w:val="00E702D8"/>
    <w:rsid w:val="00E70976"/>
    <w:rsid w:val="00E75949"/>
    <w:rsid w:val="00E8089A"/>
    <w:rsid w:val="00E82989"/>
    <w:rsid w:val="00E91B52"/>
    <w:rsid w:val="00E92425"/>
    <w:rsid w:val="00E97E3A"/>
    <w:rsid w:val="00EA5D83"/>
    <w:rsid w:val="00EB6825"/>
    <w:rsid w:val="00EC35D2"/>
    <w:rsid w:val="00EC3AAC"/>
    <w:rsid w:val="00EC7A4A"/>
    <w:rsid w:val="00EF456D"/>
    <w:rsid w:val="00F00576"/>
    <w:rsid w:val="00F16BB9"/>
    <w:rsid w:val="00F3459B"/>
    <w:rsid w:val="00F4022A"/>
    <w:rsid w:val="00F5483B"/>
    <w:rsid w:val="00F8370F"/>
    <w:rsid w:val="00F92361"/>
    <w:rsid w:val="00F92A45"/>
    <w:rsid w:val="00FB1E05"/>
    <w:rsid w:val="00FB1ED7"/>
    <w:rsid w:val="00FB6D9F"/>
    <w:rsid w:val="00FC769A"/>
    <w:rsid w:val="00FD1780"/>
    <w:rsid w:val="00FD5271"/>
    <w:rsid w:val="00FE377C"/>
    <w:rsid w:val="00FF1E8B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locked/>
    <w:rsid w:val="009635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7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E299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A69D9"/>
    <w:pPr>
      <w:spacing w:line="360" w:lineRule="auto"/>
      <w:jc w:val="both"/>
    </w:pPr>
    <w:rPr>
      <w:rFonts w:ascii="Arial" w:hAnsi="Arial" w:cs="Arial"/>
      <w:bCs/>
      <w:color w:val="000000"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6A69D9"/>
    <w:rPr>
      <w:rFonts w:ascii="Arial" w:hAnsi="Arial" w:cs="Arial"/>
      <w:bCs/>
      <w:color w:val="000000"/>
      <w:sz w:val="20"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030D58"/>
    <w:pPr>
      <w:spacing w:line="360" w:lineRule="auto"/>
      <w:jc w:val="center"/>
    </w:pPr>
    <w:rPr>
      <w:rFonts w:ascii="Arial" w:hAnsi="Arial"/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030D58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17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174EA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locked/>
    <w:rsid w:val="009635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2013-17-1-0004124</vt:lpstr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2013-17-1-0004124</dc:title>
  <dc:creator>MARIZA GONZALEZ PADILLA</dc:creator>
  <cp:lastModifiedBy>Miriam Cristina Rivero</cp:lastModifiedBy>
  <cp:revision>2</cp:revision>
  <cp:lastPrinted>2018-08-16T18:00:00Z</cp:lastPrinted>
  <dcterms:created xsi:type="dcterms:W3CDTF">2018-08-16T18:00:00Z</dcterms:created>
  <dcterms:modified xsi:type="dcterms:W3CDTF">2018-08-16T18:00:00Z</dcterms:modified>
</cp:coreProperties>
</file>