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89" w:rsidRPr="00786EEB" w:rsidRDefault="00F14E89"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2526/18</w:t>
      </w:r>
    </w:p>
    <w:p w:rsidR="00F14E89" w:rsidRDefault="00F14E89" w:rsidP="00786EEB">
      <w:pPr>
        <w:tabs>
          <w:tab w:val="center" w:pos="4253"/>
        </w:tabs>
        <w:suppressAutoHyphens/>
        <w:jc w:val="right"/>
        <w:rPr>
          <w:rFonts w:cs="Arial"/>
          <w:b/>
          <w:lang w:val="es-ES_tradnl"/>
        </w:rPr>
      </w:pPr>
    </w:p>
    <w:p w:rsidR="00F14E89" w:rsidRPr="00762B34" w:rsidRDefault="00F14E89">
      <w:pPr>
        <w:tabs>
          <w:tab w:val="center" w:pos="4253"/>
        </w:tabs>
        <w:suppressAutoHyphens/>
        <w:jc w:val="center"/>
        <w:rPr>
          <w:rFonts w:cs="Arial"/>
          <w:b/>
          <w:lang w:val="es-ES_tradnl"/>
        </w:rPr>
      </w:pPr>
      <w:r w:rsidRPr="00762B34">
        <w:rPr>
          <w:rFonts w:cs="Arial"/>
          <w:b/>
          <w:lang w:val="es-ES_tradnl"/>
        </w:rPr>
        <w:t>RESOLUCION ADOPTADA POR EL</w:t>
      </w:r>
    </w:p>
    <w:p w:rsidR="00F14E89" w:rsidRPr="00762B34" w:rsidRDefault="00F14E89">
      <w:pPr>
        <w:tabs>
          <w:tab w:val="left" w:pos="-720"/>
        </w:tabs>
        <w:suppressAutoHyphens/>
        <w:jc w:val="center"/>
        <w:rPr>
          <w:rFonts w:cs="Arial"/>
          <w:b/>
          <w:lang w:val="es-ES_tradnl"/>
        </w:rPr>
      </w:pPr>
    </w:p>
    <w:p w:rsidR="00F14E89" w:rsidRPr="00762B34" w:rsidRDefault="00F14E89">
      <w:pPr>
        <w:tabs>
          <w:tab w:val="center" w:pos="4253"/>
        </w:tabs>
        <w:suppressAutoHyphens/>
        <w:jc w:val="center"/>
        <w:rPr>
          <w:rFonts w:cs="Arial"/>
          <w:b/>
          <w:lang w:val="es-ES_tradnl"/>
        </w:rPr>
      </w:pPr>
      <w:r w:rsidRPr="00762B34">
        <w:rPr>
          <w:rFonts w:cs="Arial"/>
          <w:b/>
          <w:lang w:val="es-ES_tradnl"/>
        </w:rPr>
        <w:t>TRIBUNAL DE CUENTAS</w:t>
      </w:r>
    </w:p>
    <w:p w:rsidR="00F14E89" w:rsidRPr="00762B34" w:rsidRDefault="00F14E89">
      <w:pPr>
        <w:tabs>
          <w:tab w:val="left" w:pos="-720"/>
        </w:tabs>
        <w:suppressAutoHyphens/>
        <w:jc w:val="center"/>
        <w:rPr>
          <w:rFonts w:cs="Arial"/>
          <w:b/>
          <w:lang w:val="es-ES_tradnl"/>
        </w:rPr>
      </w:pPr>
    </w:p>
    <w:p w:rsidR="00F14E89" w:rsidRPr="00762B34" w:rsidRDefault="00F14E8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8 DE AGOSTO </w:t>
      </w:r>
      <w:r>
        <w:rPr>
          <w:rFonts w:ascii="Helvetica" w:hAnsi="Helvetica"/>
          <w:b/>
          <w:lang w:val="es-ES_tradnl"/>
        </w:rPr>
        <w:t>DE 2018</w:t>
      </w:r>
    </w:p>
    <w:p w:rsidR="00F14E89" w:rsidRPr="00762B34" w:rsidRDefault="00F14E89">
      <w:pPr>
        <w:tabs>
          <w:tab w:val="center" w:pos="4253"/>
        </w:tabs>
        <w:suppressAutoHyphens/>
        <w:jc w:val="center"/>
        <w:rPr>
          <w:rFonts w:cs="Arial"/>
          <w:b/>
          <w:lang w:val="es-ES_tradnl"/>
        </w:rPr>
      </w:pPr>
    </w:p>
    <w:p w:rsidR="00F14E89" w:rsidRPr="00D2420A" w:rsidRDefault="00F14E89">
      <w:pPr>
        <w:tabs>
          <w:tab w:val="center" w:pos="4253"/>
        </w:tabs>
        <w:suppressAutoHyphens/>
        <w:jc w:val="center"/>
        <w:rPr>
          <w:rFonts w:cs="Arial"/>
          <w:b/>
          <w:lang w:val="es-UY"/>
        </w:rPr>
      </w:pPr>
      <w:r w:rsidRPr="00D2420A">
        <w:rPr>
          <w:rFonts w:cs="Arial"/>
          <w:b/>
          <w:lang w:val="es-UY"/>
        </w:rPr>
        <w:t xml:space="preserve">(E. E. Nº 2018-17-1-0003461, </w:t>
      </w:r>
      <w:proofErr w:type="spellStart"/>
      <w:r w:rsidRPr="00D2420A">
        <w:rPr>
          <w:rFonts w:cs="Arial"/>
          <w:b/>
          <w:lang w:val="es-UY"/>
        </w:rPr>
        <w:t>Ent</w:t>
      </w:r>
      <w:proofErr w:type="spellEnd"/>
      <w:r w:rsidRPr="00D2420A">
        <w:rPr>
          <w:rFonts w:cs="Arial"/>
          <w:b/>
          <w:lang w:val="es-UY"/>
        </w:rPr>
        <w:t xml:space="preserve">. N° </w:t>
      </w:r>
      <w:r w:rsidR="0022219A" w:rsidRPr="00D2420A">
        <w:rPr>
          <w:rFonts w:cs="Arial"/>
          <w:b/>
          <w:lang w:val="es-UY"/>
        </w:rPr>
        <w:t>2665/18</w:t>
      </w:r>
      <w:r w:rsidRPr="00D2420A">
        <w:rPr>
          <w:rFonts w:cs="Arial"/>
          <w:b/>
          <w:lang w:val="es-UY"/>
        </w:rPr>
        <w:t>)</w:t>
      </w:r>
    </w:p>
    <w:p w:rsidR="00BE6E57" w:rsidRDefault="00BE6E57" w:rsidP="00BE6E57">
      <w:pPr>
        <w:spacing w:line="360" w:lineRule="auto"/>
        <w:jc w:val="right"/>
        <w:rPr>
          <w:rFonts w:cs="Arial"/>
        </w:rPr>
      </w:pPr>
    </w:p>
    <w:p w:rsidR="0022219A" w:rsidRDefault="00BE6E57" w:rsidP="0022219A">
      <w:pPr>
        <w:spacing w:line="360" w:lineRule="auto"/>
        <w:ind w:firstLine="851"/>
        <w:jc w:val="both"/>
        <w:rPr>
          <w:rFonts w:cs="Arial"/>
        </w:rPr>
      </w:pPr>
      <w:r w:rsidRPr="004E017A">
        <w:rPr>
          <w:rFonts w:cs="Arial"/>
          <w:b/>
        </w:rPr>
        <w:t xml:space="preserve">VISTO: </w:t>
      </w:r>
      <w:r w:rsidRPr="004E017A">
        <w:rPr>
          <w:rFonts w:cs="Arial"/>
        </w:rPr>
        <w:t xml:space="preserve">la Rendición de Cuentas y Balance de Ejecución Presupuestal de la Junta Departamental de </w:t>
      </w:r>
      <w:r>
        <w:rPr>
          <w:rFonts w:cs="Arial"/>
        </w:rPr>
        <w:t>Rivera</w:t>
      </w:r>
      <w:r w:rsidRPr="004E017A">
        <w:rPr>
          <w:rFonts w:cs="Arial"/>
        </w:rPr>
        <w:t xml:space="preserve"> correspondiente al </w:t>
      </w:r>
      <w:r w:rsidR="0022219A">
        <w:rPr>
          <w:rFonts w:cs="Arial"/>
        </w:rPr>
        <w:t>E</w:t>
      </w:r>
      <w:r w:rsidRPr="004E017A">
        <w:rPr>
          <w:rFonts w:cs="Arial"/>
        </w:rPr>
        <w:t>jercicio 201</w:t>
      </w:r>
      <w:r>
        <w:rPr>
          <w:rFonts w:cs="Arial"/>
        </w:rPr>
        <w:t>7</w:t>
      </w:r>
      <w:r w:rsidRPr="004E017A">
        <w:rPr>
          <w:rFonts w:cs="Arial"/>
        </w:rPr>
        <w:t>;</w:t>
      </w:r>
    </w:p>
    <w:p w:rsidR="0022219A" w:rsidRDefault="00BE6E57" w:rsidP="0022219A">
      <w:pPr>
        <w:spacing w:line="360" w:lineRule="auto"/>
        <w:ind w:firstLine="851"/>
        <w:jc w:val="both"/>
        <w:rPr>
          <w:rFonts w:cs="Arial"/>
        </w:rPr>
      </w:pPr>
      <w:r w:rsidRPr="004E017A">
        <w:rPr>
          <w:rFonts w:cs="Arial"/>
          <w:b/>
        </w:rPr>
        <w:t>RESULTANDO:</w:t>
      </w:r>
      <w:r>
        <w:rPr>
          <w:rFonts w:cs="Arial"/>
        </w:rPr>
        <w:t xml:space="preserve"> 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22219A" w:rsidRDefault="00BE6E57" w:rsidP="0022219A">
      <w:pPr>
        <w:spacing w:line="360" w:lineRule="auto"/>
        <w:ind w:firstLine="851"/>
        <w:jc w:val="both"/>
        <w:rPr>
          <w:rFonts w:cs="Arial"/>
        </w:rPr>
      </w:pPr>
      <w:r w:rsidRPr="0033211D">
        <w:rPr>
          <w:rFonts w:cs="Arial"/>
          <w:b/>
        </w:rPr>
        <w:t>CONSIDERANDO:</w:t>
      </w:r>
      <w:r>
        <w:rPr>
          <w:rFonts w:cs="Arial"/>
        </w:rPr>
        <w:t xml:space="preserve"> que las conclusiones y evidencias obtenidas son las que se expresan en el Informe de Auditoría, que incluye Dictamen</w:t>
      </w:r>
      <w:r w:rsidR="0022219A">
        <w:rPr>
          <w:rFonts w:cs="Arial"/>
        </w:rPr>
        <w:t xml:space="preserve"> e Informe a la Administración;</w:t>
      </w:r>
    </w:p>
    <w:p w:rsidR="00BE6E57" w:rsidRDefault="00BE6E57" w:rsidP="0022219A">
      <w:pPr>
        <w:spacing w:line="360" w:lineRule="auto"/>
        <w:ind w:firstLine="851"/>
        <w:jc w:val="both"/>
        <w:rPr>
          <w:rFonts w:cs="Arial"/>
        </w:rPr>
      </w:pPr>
      <w:r w:rsidRPr="0033211D">
        <w:rPr>
          <w:rFonts w:cs="Arial"/>
          <w:b/>
        </w:rPr>
        <w:t>ATENTO:</w:t>
      </w:r>
      <w:r>
        <w:rPr>
          <w:rFonts w:cs="Arial"/>
        </w:rPr>
        <w:t xml:space="preserve"> a lo dispuesto por el Artículo 211 Literal C) de la Constitución de la República;</w:t>
      </w:r>
    </w:p>
    <w:p w:rsidR="00BE6E57" w:rsidRDefault="00BE6E57" w:rsidP="00BE6E57">
      <w:pPr>
        <w:spacing w:line="360" w:lineRule="auto"/>
        <w:jc w:val="center"/>
        <w:rPr>
          <w:rFonts w:cs="Arial"/>
          <w:b/>
        </w:rPr>
      </w:pPr>
      <w:r w:rsidRPr="00CA53DF">
        <w:rPr>
          <w:rFonts w:cs="Arial"/>
          <w:b/>
        </w:rPr>
        <w:t>EL TRIBUNAL ACUERDA</w:t>
      </w:r>
    </w:p>
    <w:p w:rsidR="00BE6E57" w:rsidRDefault="00BE6E57" w:rsidP="0022219A">
      <w:pPr>
        <w:pStyle w:val="Prrafodelista"/>
        <w:numPr>
          <w:ilvl w:val="0"/>
          <w:numId w:val="4"/>
        </w:numPr>
        <w:suppressAutoHyphens w:val="0"/>
        <w:spacing w:line="360" w:lineRule="auto"/>
        <w:ind w:left="284" w:hanging="284"/>
        <w:jc w:val="both"/>
      </w:pPr>
      <w:r w:rsidRPr="00CA53DF">
        <w:t>Expedirse en los términos del Info</w:t>
      </w:r>
      <w:r w:rsidR="0022219A">
        <w:t>rme de Auditoría que se adjunta;</w:t>
      </w:r>
    </w:p>
    <w:p w:rsidR="00BE6E57" w:rsidRDefault="00BE6E57" w:rsidP="0022219A">
      <w:pPr>
        <w:pStyle w:val="Prrafodelista"/>
        <w:numPr>
          <w:ilvl w:val="0"/>
          <w:numId w:val="4"/>
        </w:numPr>
        <w:suppressAutoHyphens w:val="0"/>
        <w:spacing w:line="360" w:lineRule="auto"/>
        <w:ind w:left="284" w:hanging="284"/>
        <w:jc w:val="both"/>
      </w:pPr>
      <w:r>
        <w:t xml:space="preserve">Comunicar la presente Resolución a la </w:t>
      </w:r>
      <w:r w:rsidR="0022219A">
        <w:t>Intendencia de Rivera;</w:t>
      </w:r>
    </w:p>
    <w:p w:rsidR="00BE6E57" w:rsidRDefault="00BE6E57" w:rsidP="0022219A">
      <w:pPr>
        <w:pStyle w:val="Prrafodelista"/>
        <w:numPr>
          <w:ilvl w:val="0"/>
          <w:numId w:val="4"/>
        </w:numPr>
        <w:suppressAutoHyphens w:val="0"/>
        <w:spacing w:line="360" w:lineRule="auto"/>
        <w:ind w:left="284" w:hanging="284"/>
        <w:jc w:val="both"/>
      </w:pPr>
      <w:r>
        <w:t>D</w:t>
      </w:r>
      <w:r w:rsidR="0022219A">
        <w:t>ar cuenta a la Asamblea General;</w:t>
      </w:r>
    </w:p>
    <w:p w:rsidR="00973DD2" w:rsidRPr="0022219A" w:rsidRDefault="00BE6E57" w:rsidP="0022219A">
      <w:pPr>
        <w:pStyle w:val="Prrafodelista"/>
        <w:numPr>
          <w:ilvl w:val="0"/>
          <w:numId w:val="4"/>
        </w:numPr>
        <w:suppressAutoHyphens w:val="0"/>
        <w:spacing w:line="360" w:lineRule="auto"/>
        <w:ind w:left="284" w:hanging="284"/>
        <w:jc w:val="both"/>
        <w:rPr>
          <w:sz w:val="16"/>
          <w:szCs w:val="16"/>
        </w:rPr>
      </w:pPr>
      <w:r>
        <w:t>Devuélvase.</w:t>
      </w:r>
    </w:p>
    <w:p w:rsidR="0022219A" w:rsidRDefault="0022219A" w:rsidP="0022219A">
      <w:pPr>
        <w:spacing w:line="360" w:lineRule="auto"/>
        <w:jc w:val="both"/>
        <w:rPr>
          <w:sz w:val="16"/>
          <w:szCs w:val="16"/>
        </w:rPr>
      </w:pPr>
    </w:p>
    <w:p w:rsidR="0022219A" w:rsidRDefault="0022219A" w:rsidP="0022219A">
      <w:pPr>
        <w:spacing w:line="360" w:lineRule="auto"/>
        <w:jc w:val="both"/>
        <w:rPr>
          <w:sz w:val="16"/>
          <w:szCs w:val="16"/>
        </w:rPr>
      </w:pPr>
    </w:p>
    <w:p w:rsidR="0022219A" w:rsidRDefault="0022219A" w:rsidP="0022219A">
      <w:pPr>
        <w:spacing w:line="360" w:lineRule="auto"/>
        <w:ind w:hanging="426"/>
        <w:jc w:val="both"/>
      </w:pPr>
      <w:proofErr w:type="gramStart"/>
      <w:r>
        <w:t>dc</w:t>
      </w:r>
      <w:proofErr w:type="gramEnd"/>
    </w:p>
    <w:p w:rsidR="00D2420A" w:rsidRDefault="00D2420A" w:rsidP="0022219A">
      <w:pPr>
        <w:spacing w:line="360" w:lineRule="auto"/>
        <w:ind w:hanging="426"/>
        <w:jc w:val="both"/>
      </w:pPr>
    </w:p>
    <w:p w:rsidR="00D2420A" w:rsidRDefault="00D2420A" w:rsidP="0022219A">
      <w:pPr>
        <w:spacing w:line="360" w:lineRule="auto"/>
        <w:ind w:hanging="426"/>
        <w:jc w:val="both"/>
      </w:pPr>
    </w:p>
    <w:p w:rsidR="00D2420A" w:rsidRPr="008B1DDE" w:rsidRDefault="00FB0A16" w:rsidP="008B1DDE">
      <w:pPr>
        <w:jc w:val="center"/>
        <w:rPr>
          <w:b/>
        </w:rPr>
      </w:pPr>
      <w:r>
        <w:rPr>
          <w:b/>
        </w:rPr>
        <w:lastRenderedPageBreak/>
        <w:t>DICTAMEN</w:t>
      </w:r>
    </w:p>
    <w:p w:rsidR="00D2420A" w:rsidRPr="008B1DDE" w:rsidRDefault="00D2420A" w:rsidP="008B1DDE">
      <w:pPr>
        <w:jc w:val="center"/>
        <w:rPr>
          <w:b/>
        </w:rPr>
      </w:pPr>
    </w:p>
    <w:p w:rsidR="00D2420A" w:rsidRPr="008B1DDE" w:rsidRDefault="00FB0A16" w:rsidP="008B1DDE">
      <w:pPr>
        <w:spacing w:line="360" w:lineRule="auto"/>
        <w:jc w:val="both"/>
        <w:rPr>
          <w:b/>
        </w:rPr>
      </w:pPr>
      <w:r>
        <w:rPr>
          <w:b/>
        </w:rPr>
        <w:t>Opinión sin salvedades</w:t>
      </w:r>
    </w:p>
    <w:p w:rsidR="00D2420A" w:rsidRPr="008B1DDE" w:rsidRDefault="00D2420A" w:rsidP="008B1DDE">
      <w:pPr>
        <w:spacing w:line="360" w:lineRule="auto"/>
        <w:jc w:val="both"/>
        <w:rPr>
          <w:highlight w:val="yellow"/>
        </w:rPr>
      </w:pPr>
      <w:r w:rsidRPr="008B1DDE">
        <w:t>El Tribunal de Cuentas ha auditado la Rendición de Cuentas y el Balance de Ejecución Presupuestal de la Junta Departamental de Rivera que comprende a los estados de ejecución presupuestal con relación a los créditos, de evolución de las obligaciones presupuestales impagas, de fondos indisponibles, y otros estados complementarios,</w:t>
      </w:r>
      <w:r>
        <w:t xml:space="preserve"> por el E</w:t>
      </w:r>
      <w:r w:rsidRPr="008B1DDE">
        <w:t>jer</w:t>
      </w:r>
      <w:r w:rsidR="00AA364F">
        <w:t>cicio finalizado el 31/12/2017.</w:t>
      </w:r>
    </w:p>
    <w:p w:rsidR="00D2420A" w:rsidRPr="008B1DDE" w:rsidRDefault="00D2420A" w:rsidP="008B1DDE">
      <w:pPr>
        <w:spacing w:line="360" w:lineRule="auto"/>
        <w:jc w:val="both"/>
      </w:pPr>
      <w:r w:rsidRPr="008B1DDE">
        <w:t>En opinión del Tribunal de Cuentas, los estados mencionados, presentan razonablemente, en todos sus aspectos significativos, la ejecución presupues</w:t>
      </w:r>
      <w:r>
        <w:softHyphen/>
      </w:r>
      <w:r w:rsidRPr="008B1DDE">
        <w:t>tal de</w:t>
      </w:r>
      <w:r>
        <w:t>l E</w:t>
      </w:r>
      <w:r w:rsidRPr="008B1DDE">
        <w:t>jercicio 2017, la evolución de las obligaciones presupuestales impagas y de los fondos indisponibles de acuerdo con las normas establecidas en el TOCAF y el instructivo vigente a la fecha</w:t>
      </w:r>
      <w:r w:rsidR="00AA364F">
        <w:t xml:space="preserve"> de presentación de los mismos.</w:t>
      </w:r>
    </w:p>
    <w:p w:rsidR="00D2420A" w:rsidRPr="008B1DDE" w:rsidRDefault="00D2420A" w:rsidP="008B1DDE">
      <w:pPr>
        <w:spacing w:line="360" w:lineRule="auto"/>
        <w:jc w:val="both"/>
        <w:rPr>
          <w:b/>
        </w:rPr>
      </w:pPr>
      <w:r w:rsidRPr="008B1DDE">
        <w:rPr>
          <w:b/>
        </w:rPr>
        <w:t>Opinión respecto al cumplimiento de la normativa legal aplicable</w:t>
      </w:r>
    </w:p>
    <w:p w:rsidR="00D2420A" w:rsidRPr="008B1DDE" w:rsidRDefault="00D2420A" w:rsidP="00AA364F">
      <w:pPr>
        <w:spacing w:line="360" w:lineRule="auto"/>
        <w:jc w:val="both"/>
      </w:pPr>
      <w:r w:rsidRPr="008B1DDE">
        <w:t>En el curso de la auditoría se han constatado los siguientes incumplimientos:</w:t>
      </w:r>
    </w:p>
    <w:p w:rsidR="00D2420A" w:rsidRPr="008B1DDE" w:rsidRDefault="00D2420A" w:rsidP="00AA364F">
      <w:pPr>
        <w:spacing w:line="360" w:lineRule="auto"/>
        <w:jc w:val="both"/>
      </w:pPr>
      <w:r w:rsidRPr="008B1DDE">
        <w:t xml:space="preserve">Artículo 295 de la Constitución de la República, </w:t>
      </w:r>
      <w:r w:rsidRPr="008B1DDE">
        <w:rPr>
          <w:rFonts w:cs="Arial"/>
          <w:bCs/>
        </w:rPr>
        <w:t xml:space="preserve">Artículo 71 de la Ley Nº 18.083, Artículo 34 de la Ley Nº 19.210, </w:t>
      </w:r>
      <w:r w:rsidRPr="008B1DDE">
        <w:t xml:space="preserve">Artículos 14, 15, 48, 84, 94 y 97 del </w:t>
      </w:r>
      <w:r>
        <w:t>TOCAF</w:t>
      </w:r>
      <w:r w:rsidRPr="008B1DDE">
        <w:t xml:space="preserve"> y Resoluciones del Tribunal de Cuentas de fechas 22/12/2010 y 28/01/2004.</w:t>
      </w:r>
    </w:p>
    <w:p w:rsidR="00D2420A" w:rsidRPr="008B1DDE" w:rsidRDefault="00D2420A" w:rsidP="008B1DDE">
      <w:pPr>
        <w:spacing w:line="360" w:lineRule="auto"/>
        <w:jc w:val="both"/>
        <w:rPr>
          <w:b/>
          <w:bCs/>
        </w:rPr>
      </w:pPr>
      <w:r w:rsidRPr="008B1DDE">
        <w:rPr>
          <w:b/>
          <w:bCs/>
        </w:rPr>
        <w:t>Bases para la Opinión sin salvedades</w:t>
      </w:r>
    </w:p>
    <w:p w:rsidR="00D2420A" w:rsidRPr="008B1DDE" w:rsidRDefault="00D2420A" w:rsidP="008B1DDE">
      <w:pPr>
        <w:spacing w:line="360" w:lineRule="auto"/>
        <w:jc w:val="both"/>
        <w:rPr>
          <w:bCs/>
        </w:rPr>
      </w:pPr>
      <w:r w:rsidRPr="008B1DDE">
        <w:rPr>
          <w:bCs/>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Junta Departamental de Rivera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D2420A" w:rsidRPr="008B1DDE" w:rsidRDefault="00D2420A" w:rsidP="008B1DDE">
      <w:pPr>
        <w:spacing w:line="360" w:lineRule="auto"/>
        <w:jc w:val="both"/>
        <w:rPr>
          <w:b/>
          <w:bCs/>
        </w:rPr>
      </w:pPr>
      <w:r w:rsidRPr="008B1DDE">
        <w:rPr>
          <w:b/>
          <w:bCs/>
        </w:rPr>
        <w:t>Responsabilidad de la Junta Departamental en relación con la Rendición  de Cuentas y Balance de Ejecución Presupuestal</w:t>
      </w:r>
    </w:p>
    <w:p w:rsidR="00D2420A" w:rsidRPr="008B1DDE" w:rsidRDefault="00D2420A" w:rsidP="008B1DDE">
      <w:pPr>
        <w:spacing w:line="360" w:lineRule="auto"/>
        <w:jc w:val="both"/>
        <w:rPr>
          <w:bCs/>
        </w:rPr>
      </w:pPr>
      <w:r w:rsidRPr="008B1DDE">
        <w:rPr>
          <w:bCs/>
        </w:rPr>
        <w:t>La Junta Departamental de Rivera es responsable por la preparación y presentación razonable de su Rendición de Cuentas y Balance de Ejecución Presupuestal  de acuerdo con el instructivo del Tribunal de Cuentas vigente a la fecha de presentación de la misma y del control interno que la administración de la Junta Departamental consideró necesario para permitir la preparación de la Rendición de Cuentas y Balance de Ejecución Presupuestal libres de errores significativos ya sea debido a fraude o error.</w:t>
      </w:r>
    </w:p>
    <w:p w:rsidR="00D2420A" w:rsidRPr="008B1DDE" w:rsidRDefault="00D2420A" w:rsidP="008B1DDE">
      <w:pPr>
        <w:spacing w:line="360" w:lineRule="auto"/>
        <w:jc w:val="both"/>
        <w:rPr>
          <w:bCs/>
        </w:rPr>
      </w:pPr>
      <w:r w:rsidRPr="008B1DDE">
        <w:rPr>
          <w:bCs/>
        </w:rPr>
        <w:t>La Junta Departamental de Rivera es responsable de supervisar el proceso de preparación de la Rendición de Cuentas y Balance de Ejecución Presupu</w:t>
      </w:r>
      <w:r w:rsidR="00AA364F">
        <w:rPr>
          <w:bCs/>
        </w:rPr>
        <w:t>estal.</w:t>
      </w:r>
    </w:p>
    <w:p w:rsidR="00D2420A" w:rsidRPr="008B1DDE" w:rsidRDefault="00D2420A" w:rsidP="008B1DDE">
      <w:pPr>
        <w:spacing w:line="360" w:lineRule="auto"/>
        <w:jc w:val="both"/>
        <w:rPr>
          <w:b/>
          <w:bCs/>
        </w:rPr>
      </w:pPr>
      <w:r w:rsidRPr="008B1DDE">
        <w:rPr>
          <w:b/>
          <w:bCs/>
        </w:rPr>
        <w:t>Responsabilidad del Tribunal de Cuentas por la audito</w:t>
      </w:r>
      <w:r w:rsidR="00AA364F">
        <w:rPr>
          <w:b/>
          <w:bCs/>
        </w:rPr>
        <w:t>ría de los estados financieros.</w:t>
      </w:r>
    </w:p>
    <w:p w:rsidR="00D2420A" w:rsidRPr="008B1DDE" w:rsidRDefault="00D2420A" w:rsidP="008B1DDE">
      <w:pPr>
        <w:spacing w:line="360" w:lineRule="auto"/>
        <w:jc w:val="both"/>
        <w:rPr>
          <w:bCs/>
        </w:rPr>
      </w:pPr>
      <w:r w:rsidRPr="008B1DDE">
        <w:rPr>
          <w:bC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D2420A" w:rsidRPr="008B1DDE" w:rsidRDefault="00D2420A" w:rsidP="008B1DDE">
      <w:pPr>
        <w:spacing w:line="360" w:lineRule="auto"/>
        <w:jc w:val="both"/>
        <w:rPr>
          <w:bCs/>
        </w:rPr>
      </w:pPr>
      <w:r w:rsidRPr="008B1DDE">
        <w:rPr>
          <w:bCs/>
        </w:rPr>
        <w:t>Como parte de una auditoría de acuerdo con las ISSAI referidas en la sección Bases para la Opinión, el Tribunal de Cuentas aplica su juicio profesional y mantiene el escepticismo profesional durante el proceso de auditoría. Asimismo:</w:t>
      </w:r>
    </w:p>
    <w:p w:rsidR="00D2420A" w:rsidRPr="008B1DDE" w:rsidRDefault="00D2420A" w:rsidP="008B1DDE">
      <w:pPr>
        <w:numPr>
          <w:ilvl w:val="0"/>
          <w:numId w:val="1"/>
        </w:numPr>
        <w:suppressAutoHyphens/>
        <w:spacing w:line="360" w:lineRule="auto"/>
        <w:ind w:firstLine="360"/>
        <w:contextualSpacing/>
        <w:jc w:val="both"/>
        <w:rPr>
          <w:rFonts w:cs="Arial"/>
          <w:bCs/>
          <w:lang w:eastAsia="zh-CN"/>
        </w:rPr>
      </w:pPr>
      <w:r w:rsidRPr="008B1DDE">
        <w:rPr>
          <w:rFonts w:cs="Arial"/>
          <w:bCs/>
          <w:lang w:eastAsia="zh-CN"/>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D2420A" w:rsidRPr="008B1DDE" w:rsidRDefault="00D2420A" w:rsidP="008B1DDE">
      <w:pPr>
        <w:numPr>
          <w:ilvl w:val="0"/>
          <w:numId w:val="1"/>
        </w:numPr>
        <w:suppressAutoHyphens/>
        <w:spacing w:line="360" w:lineRule="auto"/>
        <w:ind w:firstLine="360"/>
        <w:contextualSpacing/>
        <w:jc w:val="both"/>
        <w:rPr>
          <w:rFonts w:cs="Arial"/>
          <w:bCs/>
          <w:lang w:eastAsia="zh-CN"/>
        </w:rPr>
      </w:pPr>
      <w:r w:rsidRPr="008B1DDE">
        <w:rPr>
          <w:rFonts w:cs="Arial"/>
          <w:bCs/>
          <w:lang w:eastAsia="zh-CN"/>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D2420A" w:rsidRPr="008B1DDE" w:rsidRDefault="00D2420A" w:rsidP="008B1DDE">
      <w:pPr>
        <w:numPr>
          <w:ilvl w:val="0"/>
          <w:numId w:val="1"/>
        </w:numPr>
        <w:suppressAutoHyphens/>
        <w:spacing w:line="360" w:lineRule="auto"/>
        <w:ind w:firstLine="360"/>
        <w:contextualSpacing/>
        <w:jc w:val="both"/>
        <w:rPr>
          <w:rFonts w:cs="Arial"/>
          <w:bCs/>
          <w:lang w:eastAsia="zh-CN"/>
        </w:rPr>
      </w:pPr>
      <w:r w:rsidRPr="008B1DDE">
        <w:rPr>
          <w:rFonts w:cs="Arial"/>
          <w:bCs/>
          <w:lang w:eastAsia="zh-CN"/>
        </w:rPr>
        <w:t>Evalúa la presentación general, la estructura y  contenido de los estados, incluyendo las revelaciones y si los estados representan las transacciones y eventos subyacentes de un modo que se logre una representación fiel de los mismos.</w:t>
      </w:r>
    </w:p>
    <w:p w:rsidR="00D2420A" w:rsidRPr="008B1DDE" w:rsidRDefault="00D2420A" w:rsidP="008B1DDE">
      <w:pPr>
        <w:spacing w:line="360" w:lineRule="auto"/>
        <w:jc w:val="both"/>
        <w:rPr>
          <w:bCs/>
          <w:highlight w:val="yellow"/>
        </w:rPr>
      </w:pPr>
    </w:p>
    <w:p w:rsidR="00D2420A" w:rsidRPr="008B1DDE" w:rsidRDefault="00D2420A" w:rsidP="008B1DDE">
      <w:pPr>
        <w:spacing w:line="360" w:lineRule="auto"/>
        <w:jc w:val="both"/>
        <w:rPr>
          <w:bCs/>
        </w:rPr>
      </w:pPr>
      <w:r w:rsidRPr="008B1DDE">
        <w:rPr>
          <w:bCs/>
        </w:rPr>
        <w:t>El Tribunal de Cuentas se comunicó con la Junta Departamental en relación al alcance y oportunidad de los procedimientos de auditoría, y a los hallazgos significativos de auditoría incluidos.</w:t>
      </w:r>
    </w:p>
    <w:p w:rsidR="00D2420A" w:rsidRPr="008B1DDE" w:rsidRDefault="00D2420A" w:rsidP="008B1DDE">
      <w:pPr>
        <w:spacing w:line="360" w:lineRule="auto"/>
        <w:jc w:val="both"/>
        <w:rPr>
          <w:bCs/>
        </w:rPr>
      </w:pPr>
    </w:p>
    <w:p w:rsidR="00D2420A" w:rsidRPr="008B1DDE" w:rsidRDefault="00D2420A" w:rsidP="008B1DDE">
      <w:pPr>
        <w:spacing w:line="360" w:lineRule="auto"/>
        <w:jc w:val="both"/>
        <w:rPr>
          <w:b/>
          <w:bCs/>
        </w:rPr>
      </w:pPr>
      <w:r w:rsidRPr="008B1DDE">
        <w:rPr>
          <w:b/>
          <w:bCs/>
        </w:rPr>
        <w:t>Informe de cumplimiento de la normativa vigente</w:t>
      </w:r>
    </w:p>
    <w:p w:rsidR="00D2420A" w:rsidRPr="008B1DDE" w:rsidRDefault="00D2420A" w:rsidP="008B1DDE">
      <w:pPr>
        <w:spacing w:line="360" w:lineRule="auto"/>
        <w:jc w:val="both"/>
        <w:rPr>
          <w:bCs/>
          <w:highlight w:val="yellow"/>
        </w:rPr>
      </w:pPr>
      <w:r w:rsidRPr="008B1DDE">
        <w:rPr>
          <w:bCs/>
        </w:rPr>
        <w:t>Respecto a los incumplimientos mencionados en el párrafo Opinión respecto al cumplimiento de la normativa legal aplicable corresponde señalar lo siguiente:</w:t>
      </w:r>
    </w:p>
    <w:p w:rsidR="00D2420A" w:rsidRPr="008B1DDE" w:rsidRDefault="00D2420A" w:rsidP="008B1DDE">
      <w:pPr>
        <w:jc w:val="both"/>
        <w:rPr>
          <w:rFonts w:cs="Arial"/>
        </w:rPr>
      </w:pPr>
      <w:r w:rsidRPr="008B1DDE">
        <w:rPr>
          <w:rFonts w:cs="Arial"/>
        </w:rPr>
        <w:t xml:space="preserve"> </w:t>
      </w:r>
    </w:p>
    <w:p w:rsidR="00D2420A" w:rsidRDefault="00D2420A" w:rsidP="008B1DDE">
      <w:pPr>
        <w:spacing w:line="360" w:lineRule="auto"/>
        <w:jc w:val="both"/>
        <w:rPr>
          <w:rFonts w:cs="Arial"/>
          <w:snapToGrid w:val="0"/>
          <w:spacing w:val="-3"/>
          <w:lang w:val="es-ES_tradnl"/>
        </w:rPr>
      </w:pPr>
      <w:r w:rsidRPr="008B1DDE">
        <w:rPr>
          <w:rFonts w:cs="Arial"/>
          <w:b/>
        </w:rPr>
        <w:t xml:space="preserve">1.- Artículo 295 de la Constitución de la República y Resolución de fecha 22/12/10: </w:t>
      </w:r>
      <w:r w:rsidRPr="008B1DDE">
        <w:rPr>
          <w:rFonts w:cs="Arial"/>
          <w:snapToGrid w:val="0"/>
          <w:spacing w:val="-3"/>
          <w:lang w:val="es-ES_tradnl"/>
        </w:rPr>
        <w:t>En oportunidad de examinarse la Modificación Presupuestal para los Ejercicios 2017 – 2020 este Tribunal en resolución de fecha 25/05/2017, mantuvo la siguiente observación que se repite</w:t>
      </w:r>
      <w:r>
        <w:rPr>
          <w:rFonts w:cs="Arial"/>
          <w:snapToGrid w:val="0"/>
          <w:spacing w:val="-3"/>
          <w:lang w:val="es-ES_tradnl"/>
        </w:rPr>
        <w:t xml:space="preserve"> desde E</w:t>
      </w:r>
      <w:r w:rsidR="00AA364F">
        <w:rPr>
          <w:rFonts w:cs="Arial"/>
          <w:snapToGrid w:val="0"/>
          <w:spacing w:val="-3"/>
          <w:lang w:val="es-ES_tradnl"/>
        </w:rPr>
        <w:t>jercicios anteriores:</w:t>
      </w:r>
    </w:p>
    <w:p w:rsidR="00AA364F" w:rsidRPr="008B1DDE" w:rsidRDefault="00AA364F" w:rsidP="008B1DDE">
      <w:pPr>
        <w:spacing w:line="360" w:lineRule="auto"/>
        <w:jc w:val="both"/>
        <w:rPr>
          <w:rFonts w:cs="Arial"/>
          <w:snapToGrid w:val="0"/>
          <w:spacing w:val="-3"/>
          <w:lang w:val="es-ES_tradnl"/>
        </w:rPr>
      </w:pPr>
    </w:p>
    <w:p w:rsidR="00D2420A" w:rsidRPr="008B1DDE" w:rsidRDefault="00D2420A" w:rsidP="008B1DDE">
      <w:pPr>
        <w:spacing w:line="360" w:lineRule="auto"/>
        <w:jc w:val="both"/>
        <w:rPr>
          <w:rFonts w:cs="Arial"/>
          <w:snapToGrid w:val="0"/>
          <w:spacing w:val="-3"/>
          <w:lang w:val="es-ES_tradnl"/>
        </w:rPr>
      </w:pPr>
      <w:r w:rsidRPr="008B1DDE">
        <w:rPr>
          <w:rFonts w:cs="Arial"/>
          <w:snapToGrid w:val="0"/>
          <w:spacing w:val="-3"/>
          <w:lang w:val="es-ES_tradnl"/>
        </w:rPr>
        <w:t>- Las normas presupuestales que se mantienen vigentes respecto al reintegro del gasto de combustible previsto en los Artículos 13 y 14 (Modificación Presupuestal 2012-2015 y su Anexo I - Reglamento para el Reintegro de Gastos de Combustibles y Telefonía a Ediles), así como las modificaciones que se introducen en oportunidad del Presupuesto Quinquenal 2017-2020 en el Artículo 21, que fijan en $</w:t>
      </w:r>
      <w:r>
        <w:rPr>
          <w:rFonts w:cs="Arial"/>
          <w:snapToGrid w:val="0"/>
          <w:spacing w:val="-3"/>
          <w:lang w:val="es-ES_tradnl"/>
        </w:rPr>
        <w:t xml:space="preserve"> </w:t>
      </w:r>
      <w:r w:rsidRPr="008B1DDE">
        <w:rPr>
          <w:rFonts w:cs="Arial"/>
          <w:snapToGrid w:val="0"/>
          <w:spacing w:val="-3"/>
          <w:lang w:val="es-ES_tradnl"/>
        </w:rPr>
        <w:t>32.000 por banca, al estar previsto el mismo como partida mensual y no exigirse rendición de cuentas documentada, reviste naturaleza retributiva resultando violatoria de lo establecido por el Artículo 295 de la Constitución de la República y también contraviene lo establecido en la Resolución de este Tribunal de fecha 22/12/2010.</w:t>
      </w:r>
    </w:p>
    <w:p w:rsidR="00D2420A" w:rsidRPr="008B1DDE" w:rsidRDefault="00D2420A" w:rsidP="008B1DDE">
      <w:pPr>
        <w:spacing w:line="360" w:lineRule="auto"/>
        <w:jc w:val="both"/>
        <w:rPr>
          <w:rFonts w:cs="Arial"/>
          <w:snapToGrid w:val="0"/>
          <w:spacing w:val="-3"/>
          <w:lang w:val="es-ES_tradnl"/>
        </w:rPr>
      </w:pPr>
      <w:r w:rsidRPr="008B1DDE">
        <w:rPr>
          <w:rFonts w:cs="Arial"/>
          <w:snapToGrid w:val="0"/>
          <w:spacing w:val="-3"/>
          <w:lang w:val="es-ES_tradnl"/>
        </w:rPr>
        <w:t>Las observaciones efectuadas no fueron aceptadas por la Junta Departamental, remitiendo los antecedentes a la Asamblea General, conforme al procedimiento establecido en el Artículo 225 de la</w:t>
      </w:r>
      <w:r w:rsidR="00AA364F">
        <w:rPr>
          <w:rFonts w:cs="Arial"/>
          <w:snapToGrid w:val="0"/>
          <w:spacing w:val="-3"/>
          <w:lang w:val="es-ES_tradnl"/>
        </w:rPr>
        <w:t xml:space="preserve"> Constitución de la República.</w:t>
      </w:r>
    </w:p>
    <w:p w:rsidR="00D2420A" w:rsidRPr="008B1DDE" w:rsidRDefault="00D2420A" w:rsidP="008B1DDE">
      <w:pPr>
        <w:spacing w:line="360" w:lineRule="auto"/>
        <w:jc w:val="both"/>
        <w:rPr>
          <w:rFonts w:cs="Arial"/>
          <w:b/>
          <w:bCs/>
        </w:rPr>
      </w:pPr>
      <w:r w:rsidRPr="008B1DDE">
        <w:rPr>
          <w:rFonts w:cs="Arial"/>
          <w:b/>
          <w:bCs/>
        </w:rPr>
        <w:t>2.- Artículo 14 del TOCAF:</w:t>
      </w:r>
      <w:r w:rsidRPr="008B1DDE">
        <w:rPr>
          <w:rFonts w:cs="Arial"/>
        </w:rPr>
        <w:t xml:space="preserve"> No se cumple con la mencionada norma debido a que se efectúan adquisiciones a proveedores sin contar, oportunamente, con la orden de compra correspondiente.</w:t>
      </w:r>
    </w:p>
    <w:p w:rsidR="00D2420A" w:rsidRPr="008B1DDE" w:rsidRDefault="00D2420A" w:rsidP="008B1DDE">
      <w:pPr>
        <w:spacing w:line="360" w:lineRule="auto"/>
        <w:jc w:val="both"/>
        <w:rPr>
          <w:rFonts w:cs="Arial"/>
          <w:b/>
          <w:bCs/>
        </w:rPr>
      </w:pPr>
      <w:r w:rsidRPr="008B1DDE">
        <w:rPr>
          <w:rFonts w:cs="Arial"/>
          <w:b/>
          <w:bCs/>
        </w:rPr>
        <w:t>3.- Artículo 15 del TOCAF:</w:t>
      </w:r>
      <w:r w:rsidRPr="008B1DDE">
        <w:rPr>
          <w:rFonts w:cs="Arial"/>
        </w:rPr>
        <w:t xml:space="preserve"> En el Ejercicio 2017 se produjeron excesos de gastos en relación a los créditos presupuestales vigentes, los que fueron obser</w:t>
      </w:r>
      <w:r w:rsidR="00AA364F">
        <w:rPr>
          <w:rFonts w:cs="Arial"/>
        </w:rPr>
        <w:t>vados por el Contador Delegado.</w:t>
      </w:r>
    </w:p>
    <w:p w:rsidR="00D2420A" w:rsidRPr="008B1DDE" w:rsidRDefault="00D2420A" w:rsidP="008B1DDE">
      <w:pPr>
        <w:spacing w:line="360" w:lineRule="auto"/>
        <w:rPr>
          <w:b/>
        </w:rPr>
      </w:pPr>
      <w:r w:rsidRPr="008B1DDE">
        <w:rPr>
          <w:b/>
        </w:rPr>
        <w:t>4. Artículo 48 del TOCAF</w:t>
      </w:r>
    </w:p>
    <w:p w:rsidR="00D2420A" w:rsidRPr="008B1DDE" w:rsidRDefault="00D2420A" w:rsidP="008B1DDE">
      <w:pPr>
        <w:spacing w:line="360" w:lineRule="auto"/>
        <w:jc w:val="both"/>
      </w:pPr>
      <w:r w:rsidRPr="008B1DDE">
        <w:t>Se incumplió con la referida norma debido a que, se impone al oferente condiciones formales que no están vinculados directamente al objeto de la contratación y a la evaluación de la oferta, lo que deberá ser reservado sólo al oferente que resulte adjudicatario. Asimismo no se incluye en el pliego la ponderación de los principales factores que se tendrán en cuenta para evaluar las ofertas.</w:t>
      </w:r>
    </w:p>
    <w:p w:rsidR="00D2420A" w:rsidRPr="008B1DDE" w:rsidRDefault="00D2420A" w:rsidP="008B1DDE">
      <w:pPr>
        <w:tabs>
          <w:tab w:val="left" w:pos="360"/>
          <w:tab w:val="center" w:pos="4252"/>
          <w:tab w:val="right" w:pos="8504"/>
        </w:tabs>
        <w:suppressAutoHyphens/>
        <w:spacing w:line="360" w:lineRule="auto"/>
        <w:jc w:val="both"/>
        <w:rPr>
          <w:rFonts w:cs="Arial"/>
          <w:bCs/>
          <w:lang w:eastAsia="ar-SA"/>
        </w:rPr>
      </w:pPr>
      <w:r w:rsidRPr="008B1DDE">
        <w:rPr>
          <w:rFonts w:cs="Arial"/>
          <w:b/>
          <w:lang w:eastAsia="ar-SA"/>
        </w:rPr>
        <w:t xml:space="preserve">5.- Artículos </w:t>
      </w:r>
      <w:r w:rsidRPr="008B1DDE">
        <w:rPr>
          <w:b/>
          <w:lang w:eastAsia="ar-SA"/>
        </w:rPr>
        <w:t>84 y 97 del TOCAF</w:t>
      </w:r>
      <w:r w:rsidRPr="008B1DDE">
        <w:rPr>
          <w:rFonts w:cs="Arial"/>
          <w:b/>
          <w:bCs/>
          <w:lang w:eastAsia="ar-SA"/>
        </w:rPr>
        <w:t>:</w:t>
      </w:r>
      <w:r w:rsidRPr="008B1DDE">
        <w:rPr>
          <w:rFonts w:cs="Arial"/>
          <w:lang w:eastAsia="ar-SA"/>
        </w:rPr>
        <w:t xml:space="preserve"> la Junta no posee un inventario valuado de los bienes </w:t>
      </w:r>
      <w:r w:rsidRPr="008B1DDE">
        <w:rPr>
          <w:lang w:eastAsia="ar-SA"/>
        </w:rPr>
        <w:t>de uso que integran su patrimonio</w:t>
      </w:r>
      <w:r w:rsidRPr="008B1DDE">
        <w:rPr>
          <w:rFonts w:cs="Arial"/>
          <w:lang w:eastAsia="ar-SA"/>
        </w:rPr>
        <w:t>.</w:t>
      </w:r>
    </w:p>
    <w:p w:rsidR="00D2420A" w:rsidRPr="008B1DDE" w:rsidRDefault="00D2420A" w:rsidP="008B1DDE">
      <w:pPr>
        <w:spacing w:line="360" w:lineRule="auto"/>
        <w:jc w:val="both"/>
        <w:rPr>
          <w:rFonts w:cs="Arial"/>
          <w:b/>
        </w:rPr>
      </w:pPr>
    </w:p>
    <w:p w:rsidR="00D2420A" w:rsidRPr="008B1DDE" w:rsidRDefault="00D2420A" w:rsidP="008B1DDE">
      <w:pPr>
        <w:spacing w:line="360" w:lineRule="auto"/>
        <w:jc w:val="both"/>
        <w:rPr>
          <w:rFonts w:cs="Arial"/>
        </w:rPr>
      </w:pPr>
      <w:r w:rsidRPr="008B1DDE">
        <w:rPr>
          <w:rFonts w:cs="Arial"/>
          <w:b/>
        </w:rPr>
        <w:t>6.- Artículo 94 del TOCAF y Ordenanza N° 81 (modificada por la Ordenanza Nº 89) del Tribunal de Cuentas:</w:t>
      </w:r>
      <w:r w:rsidRPr="008B1DDE">
        <w:rPr>
          <w:rFonts w:cs="Arial"/>
          <w:b/>
          <w:bCs/>
        </w:rPr>
        <w:t xml:space="preserve"> </w:t>
      </w:r>
      <w:r w:rsidRPr="008B1DDE">
        <w:rPr>
          <w:rFonts w:cs="Arial"/>
        </w:rPr>
        <w:t>La Junta Departamental no utiliza un sistema contable que le permita cumplir con lo establecido por las mencionadas normas en lo referente a la gestión presupuestaria y patrimonial de la Corporación.</w:t>
      </w:r>
    </w:p>
    <w:p w:rsidR="00D2420A" w:rsidRPr="008B1DDE" w:rsidRDefault="00D2420A" w:rsidP="008B1DDE">
      <w:pPr>
        <w:tabs>
          <w:tab w:val="left" w:pos="360"/>
          <w:tab w:val="center" w:pos="4252"/>
          <w:tab w:val="right" w:pos="8504"/>
        </w:tabs>
        <w:suppressAutoHyphens/>
        <w:spacing w:line="360" w:lineRule="auto"/>
        <w:jc w:val="both"/>
        <w:rPr>
          <w:rFonts w:cs="Arial"/>
          <w:bCs/>
          <w:lang w:eastAsia="ar-SA"/>
        </w:rPr>
      </w:pPr>
      <w:bookmarkStart w:id="1" w:name="OLE_LINK1"/>
      <w:r w:rsidRPr="008B1DDE">
        <w:rPr>
          <w:rFonts w:cs="Arial"/>
          <w:b/>
          <w:bCs/>
          <w:lang w:eastAsia="ar-SA"/>
        </w:rPr>
        <w:t>7.- Artículo 71 de la Ley Nº 18.083</w:t>
      </w:r>
      <w:bookmarkEnd w:id="1"/>
      <w:r w:rsidRPr="008B1DDE">
        <w:rPr>
          <w:rFonts w:cs="Arial"/>
          <w:b/>
          <w:bCs/>
          <w:lang w:eastAsia="ar-SA"/>
        </w:rPr>
        <w:t xml:space="preserve">: </w:t>
      </w:r>
      <w:r w:rsidRPr="008B1DDE">
        <w:rPr>
          <w:rFonts w:cs="Arial"/>
          <w:bCs/>
          <w:lang w:eastAsia="ar-SA"/>
        </w:rPr>
        <w:t xml:space="preserve">La Junta realizó contrataciones con empresas </w:t>
      </w:r>
      <w:proofErr w:type="spellStart"/>
      <w:r w:rsidRPr="008B1DDE">
        <w:rPr>
          <w:rFonts w:cs="Arial"/>
          <w:bCs/>
          <w:lang w:eastAsia="ar-SA"/>
        </w:rPr>
        <w:t>monotributistas</w:t>
      </w:r>
      <w:proofErr w:type="spellEnd"/>
      <w:r w:rsidRPr="008B1DDE">
        <w:rPr>
          <w:rFonts w:cs="Arial"/>
          <w:bCs/>
          <w:lang w:eastAsia="ar-SA"/>
        </w:rPr>
        <w:t xml:space="preserve"> contraviniendo lo establecido en esta norma, las que fueron observadas por el Contador Delgado.</w:t>
      </w:r>
    </w:p>
    <w:p w:rsidR="00D2420A" w:rsidRPr="008B1DDE" w:rsidRDefault="00D2420A" w:rsidP="008B1DDE">
      <w:pPr>
        <w:tabs>
          <w:tab w:val="left" w:pos="360"/>
          <w:tab w:val="center" w:pos="4252"/>
          <w:tab w:val="right" w:pos="8504"/>
        </w:tabs>
        <w:suppressAutoHyphens/>
        <w:spacing w:line="360" w:lineRule="auto"/>
        <w:jc w:val="both"/>
        <w:rPr>
          <w:rFonts w:cs="Arial"/>
          <w:bCs/>
          <w:lang w:eastAsia="ar-SA"/>
        </w:rPr>
      </w:pPr>
      <w:r w:rsidRPr="008B1DDE">
        <w:rPr>
          <w:rFonts w:cs="Arial"/>
          <w:b/>
          <w:bCs/>
          <w:lang w:eastAsia="ar-SA"/>
        </w:rPr>
        <w:t xml:space="preserve">8.- Artículo 34 de la Ley Nº 19.210: </w:t>
      </w:r>
      <w:r w:rsidRPr="008B1DDE">
        <w:rPr>
          <w:rFonts w:cs="Arial"/>
          <w:bCs/>
          <w:lang w:eastAsia="ar-SA"/>
        </w:rPr>
        <w:t>La Junta excedió, en algunos casos, los descuentos a funcionarios el tope mínimo e</w:t>
      </w:r>
      <w:r>
        <w:rPr>
          <w:rFonts w:cs="Arial"/>
          <w:bCs/>
          <w:lang w:eastAsia="ar-SA"/>
        </w:rPr>
        <w:t>stablecido por el A</w:t>
      </w:r>
      <w:r w:rsidRPr="008B1DDE">
        <w:rPr>
          <w:rFonts w:cs="Arial"/>
          <w:bCs/>
          <w:lang w:eastAsia="ar-SA"/>
        </w:rPr>
        <w:t>rtículo 3º de la Ley 17.829 y modificado por la mencionada norma, para el sueldo líquido.</w:t>
      </w:r>
    </w:p>
    <w:p w:rsidR="00D2420A" w:rsidRPr="008B1DDE" w:rsidRDefault="00D2420A" w:rsidP="008B1DDE">
      <w:pPr>
        <w:spacing w:line="360" w:lineRule="auto"/>
        <w:rPr>
          <w:b/>
        </w:rPr>
      </w:pPr>
      <w:r w:rsidRPr="008B1DDE">
        <w:rPr>
          <w:b/>
        </w:rPr>
        <w:t>9.- Resolución del Tribunal de Cuentas de fecha 28/01/2004</w:t>
      </w:r>
    </w:p>
    <w:p w:rsidR="00D2420A" w:rsidRPr="008B1DDE" w:rsidRDefault="00D2420A" w:rsidP="0077357B">
      <w:pPr>
        <w:spacing w:line="360" w:lineRule="auto"/>
        <w:jc w:val="both"/>
        <w:rPr>
          <w:b/>
          <w:lang w:val="es-ES_tradnl"/>
        </w:rPr>
      </w:pPr>
      <w:r w:rsidRPr="008B1DDE">
        <w:t xml:space="preserve">El documento de la Rendición de Cuentas presentado no se ajustó en su totalidad a lo </w:t>
      </w:r>
      <w:r w:rsidRPr="008B1DDE">
        <w:rPr>
          <w:lang w:val="es-ES_tradnl"/>
        </w:rPr>
        <w:t>dispuesto por dicha Resolución.</w:t>
      </w:r>
    </w:p>
    <w:p w:rsidR="00D2420A" w:rsidRPr="008B1DDE" w:rsidRDefault="00D2420A" w:rsidP="008B1DDE">
      <w:pPr>
        <w:tabs>
          <w:tab w:val="left" w:pos="360"/>
          <w:tab w:val="center" w:pos="4252"/>
          <w:tab w:val="right" w:pos="8504"/>
        </w:tabs>
        <w:suppressAutoHyphens/>
        <w:spacing w:line="360" w:lineRule="auto"/>
        <w:jc w:val="both"/>
        <w:rPr>
          <w:rFonts w:cs="Arial"/>
          <w:bCs/>
          <w:lang w:val="es-ES_tradnl" w:eastAsia="ar-SA"/>
        </w:rPr>
      </w:pPr>
    </w:p>
    <w:p w:rsidR="00D2420A" w:rsidRPr="008B1DDE" w:rsidRDefault="00D2420A" w:rsidP="008B1DDE">
      <w:pPr>
        <w:spacing w:line="360" w:lineRule="auto"/>
        <w:jc w:val="both"/>
        <w:rPr>
          <w:snapToGrid w:val="0"/>
        </w:rPr>
      </w:pPr>
      <w:r>
        <w:rPr>
          <w:snapToGrid w:val="0"/>
        </w:rPr>
        <w:t>Asimismo, durante el E</w:t>
      </w:r>
      <w:r w:rsidRPr="008B1DDE">
        <w:rPr>
          <w:snapToGrid w:val="0"/>
        </w:rPr>
        <w:t>jercicio, el Contador Delegado observó gastos por incumplimiento del Artículo 71 de la Ley 18.083, y Artículo 1º del Decreto 342/992 los que fueron reiterados por el Ordenador y puestos en conocimiento de la Junta Departamental oportunamente.</w:t>
      </w:r>
    </w:p>
    <w:p w:rsidR="00D2420A" w:rsidRDefault="00D2420A" w:rsidP="00DB2ADE">
      <w:pPr>
        <w:ind w:left="4248" w:firstLine="708"/>
        <w:jc w:val="right"/>
        <w:rPr>
          <w:rFonts w:cs="Arial"/>
        </w:rPr>
      </w:pPr>
      <w:r w:rsidRPr="008B1DDE">
        <w:rPr>
          <w:rFonts w:cs="Arial"/>
        </w:rPr>
        <w:t>Montevideo, 5 de julio de 2017</w:t>
      </w:r>
    </w:p>
    <w:p w:rsidR="00D2420A" w:rsidRDefault="00D2420A" w:rsidP="0077357B">
      <w:pPr>
        <w:ind w:left="4248" w:firstLine="708"/>
        <w:jc w:val="both"/>
        <w:rPr>
          <w:rFonts w:cs="Arial"/>
        </w:rPr>
      </w:pPr>
    </w:p>
    <w:p w:rsidR="00D2420A" w:rsidRDefault="00D2420A" w:rsidP="0077357B">
      <w:pPr>
        <w:ind w:left="4248" w:firstLine="708"/>
        <w:jc w:val="both"/>
        <w:rPr>
          <w:rFonts w:cs="Arial"/>
        </w:rPr>
      </w:pPr>
    </w:p>
    <w:p w:rsidR="00D2420A" w:rsidRPr="008B1DDE" w:rsidRDefault="00D2420A" w:rsidP="0077357B">
      <w:pPr>
        <w:ind w:left="4248" w:hanging="4532"/>
        <w:rPr>
          <w:lang w:eastAsia="ar-SA"/>
        </w:rPr>
      </w:pPr>
      <w:proofErr w:type="gramStart"/>
      <w:r>
        <w:rPr>
          <w:rFonts w:cs="Arial"/>
        </w:rPr>
        <w:t>dc</w:t>
      </w:r>
      <w:proofErr w:type="gramEnd"/>
    </w:p>
    <w:p w:rsidR="00D2420A" w:rsidRDefault="00D2420A" w:rsidP="0022219A">
      <w:pPr>
        <w:spacing w:line="360" w:lineRule="auto"/>
        <w:ind w:hanging="426"/>
        <w:jc w:val="both"/>
      </w:pPr>
    </w:p>
    <w:p w:rsidR="00D2420A" w:rsidRDefault="00D2420A" w:rsidP="0022219A">
      <w:pPr>
        <w:spacing w:line="360" w:lineRule="auto"/>
        <w:ind w:hanging="426"/>
        <w:jc w:val="both"/>
      </w:pPr>
    </w:p>
    <w:p w:rsidR="00D2420A" w:rsidRDefault="00D2420A" w:rsidP="0022219A">
      <w:pPr>
        <w:spacing w:line="360" w:lineRule="auto"/>
        <w:ind w:hanging="426"/>
        <w:jc w:val="both"/>
      </w:pPr>
    </w:p>
    <w:p w:rsidR="00D2420A" w:rsidRDefault="00D2420A" w:rsidP="0022219A">
      <w:pPr>
        <w:spacing w:line="360" w:lineRule="auto"/>
        <w:ind w:hanging="426"/>
        <w:jc w:val="both"/>
      </w:pPr>
    </w:p>
    <w:p w:rsidR="00503E67" w:rsidRDefault="00503E67" w:rsidP="0022219A">
      <w:pPr>
        <w:spacing w:line="360" w:lineRule="auto"/>
        <w:ind w:hanging="426"/>
        <w:jc w:val="both"/>
      </w:pPr>
    </w:p>
    <w:p w:rsidR="00D2420A" w:rsidRDefault="00D2420A" w:rsidP="0022219A">
      <w:pPr>
        <w:spacing w:line="360" w:lineRule="auto"/>
        <w:ind w:hanging="426"/>
        <w:jc w:val="both"/>
      </w:pPr>
    </w:p>
    <w:p w:rsidR="00D2420A" w:rsidRPr="00700A4A" w:rsidRDefault="00D2420A" w:rsidP="00700A4A">
      <w:pPr>
        <w:keepNext/>
        <w:spacing w:line="360" w:lineRule="auto"/>
        <w:jc w:val="center"/>
        <w:outlineLvl w:val="0"/>
        <w:rPr>
          <w:rFonts w:cs="Arial"/>
          <w:b/>
          <w:bCs/>
          <w:color w:val="000000"/>
        </w:rPr>
      </w:pPr>
      <w:bookmarkStart w:id="2" w:name="_Toc390872931"/>
      <w:r w:rsidRPr="00700A4A">
        <w:rPr>
          <w:rFonts w:cs="Arial"/>
          <w:b/>
          <w:bCs/>
          <w:color w:val="000000"/>
        </w:rPr>
        <w:t>INFORME A LA ADMINISTRACIÓN</w:t>
      </w:r>
      <w:bookmarkEnd w:id="2"/>
    </w:p>
    <w:p w:rsidR="00D2420A" w:rsidRPr="00700A4A" w:rsidRDefault="00D2420A" w:rsidP="00700A4A">
      <w:pPr>
        <w:jc w:val="both"/>
      </w:pPr>
    </w:p>
    <w:p w:rsidR="00D2420A" w:rsidRPr="00700A4A" w:rsidRDefault="00D2420A" w:rsidP="00700A4A">
      <w:pPr>
        <w:spacing w:line="360" w:lineRule="auto"/>
        <w:jc w:val="both"/>
      </w:pPr>
      <w:r w:rsidRPr="00700A4A">
        <w:rPr>
          <w:rFonts w:cs="Arial"/>
        </w:rPr>
        <w:t xml:space="preserve">El Tribunal de Cuentas ha examinado la </w:t>
      </w:r>
      <w:r w:rsidRPr="00700A4A">
        <w:t xml:space="preserve">Rendición de Cuentas y Balance de Ejecución Presupuestal de la Junta Departamental de Rivera por el </w:t>
      </w:r>
      <w:r>
        <w:t>E</w:t>
      </w:r>
      <w:r w:rsidRPr="00700A4A">
        <w:t>jercicio finalizado al 31/12/2017 y ha emitido su correspondiente Dictamen.</w:t>
      </w:r>
    </w:p>
    <w:p w:rsidR="00D2420A" w:rsidRPr="00700A4A" w:rsidRDefault="00D2420A" w:rsidP="00700A4A">
      <w:pPr>
        <w:spacing w:line="360" w:lineRule="auto"/>
        <w:jc w:val="both"/>
        <w:rPr>
          <w:rFonts w:cs="Arial"/>
        </w:rPr>
      </w:pPr>
      <w:r w:rsidRPr="00700A4A">
        <w:rPr>
          <w:rFonts w:cs="Arial"/>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D2420A" w:rsidRPr="00700A4A" w:rsidRDefault="00D2420A" w:rsidP="00700A4A">
      <w:pPr>
        <w:spacing w:line="360" w:lineRule="auto"/>
        <w:jc w:val="both"/>
        <w:rPr>
          <w:rFonts w:cs="Arial"/>
        </w:rPr>
      </w:pPr>
      <w:r w:rsidRPr="00700A4A">
        <w:rPr>
          <w:rFonts w:cs="Arial"/>
        </w:rPr>
        <w:t xml:space="preserve">También se agregan las principales recomendaciones que </w:t>
      </w:r>
      <w:proofErr w:type="gramStart"/>
      <w:r w:rsidRPr="00700A4A">
        <w:rPr>
          <w:rFonts w:cs="Arial"/>
        </w:rPr>
        <w:t>deberá</w:t>
      </w:r>
      <w:proofErr w:type="gramEnd"/>
      <w:r w:rsidRPr="00700A4A">
        <w:rPr>
          <w:rFonts w:cs="Arial"/>
        </w:rPr>
        <w:t xml:space="preserve"> atender el Organismo y una evaluación del cumplimiento de las recomendaciones presentadas </w:t>
      </w:r>
      <w:r>
        <w:rPr>
          <w:rFonts w:cs="Arial"/>
        </w:rPr>
        <w:t>en el informe de auditoría del E</w:t>
      </w:r>
      <w:r w:rsidRPr="00700A4A">
        <w:rPr>
          <w:rFonts w:cs="Arial"/>
        </w:rPr>
        <w:t>jercicio anterior.</w:t>
      </w:r>
    </w:p>
    <w:p w:rsidR="00D2420A" w:rsidRPr="00700A4A" w:rsidRDefault="00D2420A" w:rsidP="00700A4A">
      <w:pPr>
        <w:spacing w:line="360" w:lineRule="auto"/>
        <w:rPr>
          <w:rFonts w:cs="Arial"/>
          <w:b/>
        </w:rPr>
      </w:pPr>
    </w:p>
    <w:p w:rsidR="00D2420A" w:rsidRPr="00700A4A" w:rsidRDefault="00AA364F" w:rsidP="00700A4A">
      <w:pPr>
        <w:spacing w:line="360" w:lineRule="auto"/>
        <w:rPr>
          <w:rFonts w:cs="Arial"/>
          <w:b/>
        </w:rPr>
      </w:pPr>
      <w:r>
        <w:rPr>
          <w:rFonts w:cs="Arial"/>
          <w:b/>
        </w:rPr>
        <w:t>Presentación de los Estados</w:t>
      </w:r>
    </w:p>
    <w:p w:rsidR="00D2420A" w:rsidRPr="00700A4A" w:rsidRDefault="00D2420A" w:rsidP="00700A4A">
      <w:pPr>
        <w:spacing w:line="360" w:lineRule="auto"/>
        <w:jc w:val="both"/>
        <w:rPr>
          <w:rFonts w:cs="Arial"/>
        </w:rPr>
      </w:pPr>
      <w:r w:rsidRPr="00700A4A">
        <w:rPr>
          <w:rFonts w:cs="Arial"/>
        </w:rPr>
        <w:t>La Rendición de Cuentas y Balance de Ejecución Presupuestal de la Junta Departamental de Rivera</w:t>
      </w:r>
      <w:r>
        <w:rPr>
          <w:rFonts w:cs="Arial"/>
        </w:rPr>
        <w:t xml:space="preserve"> correspondientes al E</w:t>
      </w:r>
      <w:r w:rsidRPr="00700A4A">
        <w:rPr>
          <w:rFonts w:cs="Arial"/>
        </w:rPr>
        <w:t xml:space="preserve">jercicio finalizado el 31/12/2017, fueron remitidos por </w:t>
      </w:r>
      <w:r>
        <w:rPr>
          <w:rFonts w:cs="Arial"/>
        </w:rPr>
        <w:t>Oficio N°</w:t>
      </w:r>
      <w:r w:rsidRPr="00700A4A">
        <w:rPr>
          <w:rFonts w:cs="Arial"/>
        </w:rPr>
        <w:t xml:space="preserve"> 471/2018 del 17/05/2018 para su examen a este Tribunal.</w:t>
      </w:r>
    </w:p>
    <w:p w:rsidR="00D2420A" w:rsidRPr="00700A4A" w:rsidRDefault="00D2420A" w:rsidP="00700A4A">
      <w:pPr>
        <w:spacing w:line="360" w:lineRule="auto"/>
        <w:jc w:val="both"/>
        <w:rPr>
          <w:rFonts w:cs="Arial"/>
        </w:rPr>
      </w:pPr>
      <w:r w:rsidRPr="00700A4A">
        <w:rPr>
          <w:rFonts w:cs="Arial"/>
        </w:rPr>
        <w:t>Dichos e</w:t>
      </w:r>
      <w:r>
        <w:rPr>
          <w:rFonts w:cs="Arial"/>
        </w:rPr>
        <w:t>stados se presentan de acuerdo con</w:t>
      </w:r>
      <w:r w:rsidRPr="00700A4A">
        <w:rPr>
          <w:rFonts w:cs="Arial"/>
        </w:rPr>
        <w:t xml:space="preserve"> la Resolución del Tribunal del 28/02/2004.</w:t>
      </w:r>
    </w:p>
    <w:p w:rsidR="00D2420A" w:rsidRPr="00700A4A" w:rsidRDefault="00D2420A" w:rsidP="00700A4A">
      <w:pPr>
        <w:spacing w:line="360" w:lineRule="auto"/>
        <w:jc w:val="both"/>
        <w:rPr>
          <w:rFonts w:cs="Arial"/>
        </w:rPr>
      </w:pPr>
      <w:r w:rsidRPr="00700A4A">
        <w:rPr>
          <w:rFonts w:cs="Arial"/>
        </w:rPr>
        <w:t>En base a los estados incluidos en la Rendición de Cuentas, se presenta el siguiente resumen de la situación en materia de fondos de la Junta Departa</w:t>
      </w:r>
      <w:r>
        <w:rPr>
          <w:rFonts w:cs="Arial"/>
        </w:rPr>
        <w:softHyphen/>
      </w:r>
      <w:r w:rsidRPr="00700A4A">
        <w:rPr>
          <w:rFonts w:cs="Arial"/>
        </w:rPr>
        <w:t>mental con relación a la Intendencia, en pesos uruguayos:</w:t>
      </w:r>
    </w:p>
    <w:p w:rsidR="00D2420A" w:rsidRPr="00700A4A" w:rsidRDefault="00D2420A" w:rsidP="00700A4A">
      <w:pPr>
        <w:jc w:val="both"/>
      </w:pPr>
    </w:p>
    <w:tbl>
      <w:tblPr>
        <w:tblW w:w="8460" w:type="dxa"/>
        <w:tblInd w:w="55" w:type="dxa"/>
        <w:tblCellMar>
          <w:left w:w="70" w:type="dxa"/>
          <w:right w:w="70" w:type="dxa"/>
        </w:tblCellMar>
        <w:tblLook w:val="04A0" w:firstRow="1" w:lastRow="0" w:firstColumn="1" w:lastColumn="0" w:noHBand="0" w:noVBand="1"/>
      </w:tblPr>
      <w:tblGrid>
        <w:gridCol w:w="4980"/>
        <w:gridCol w:w="1580"/>
        <w:gridCol w:w="1900"/>
      </w:tblGrid>
      <w:tr w:rsidR="00D2420A" w:rsidRPr="00700A4A" w:rsidTr="00047A04">
        <w:trPr>
          <w:trHeight w:val="300"/>
        </w:trPr>
        <w:tc>
          <w:tcPr>
            <w:tcW w:w="4980" w:type="dxa"/>
            <w:tcBorders>
              <w:top w:val="nil"/>
              <w:left w:val="nil"/>
              <w:bottom w:val="nil"/>
              <w:right w:val="nil"/>
            </w:tcBorders>
            <w:shd w:val="clear" w:color="000000" w:fill="FFFFFF"/>
            <w:vAlign w:val="center"/>
            <w:hideMark/>
          </w:tcPr>
          <w:p w:rsidR="00D2420A" w:rsidRPr="00700A4A" w:rsidRDefault="00D2420A" w:rsidP="00700A4A">
            <w:pPr>
              <w:jc w:val="both"/>
              <w:rPr>
                <w:rFonts w:cs="Arial"/>
                <w:color w:val="000000"/>
                <w:lang w:val="pt-BR" w:eastAsia="pt-BR"/>
              </w:rPr>
            </w:pPr>
            <w:bookmarkStart w:id="3" w:name="_Toc390872933"/>
            <w:r w:rsidRPr="00700A4A">
              <w:rPr>
                <w:rFonts w:cs="Arial"/>
                <w:color w:val="000000"/>
                <w:lang w:val="pt-BR" w:eastAsia="pt-BR"/>
              </w:rPr>
              <w:t>Disponibilidades</w:t>
            </w:r>
            <w:proofErr w:type="gramStart"/>
            <w:r w:rsidRPr="00700A4A">
              <w:rPr>
                <w:rFonts w:cs="Arial"/>
                <w:color w:val="000000"/>
                <w:lang w:val="pt-BR" w:eastAsia="pt-BR"/>
              </w:rPr>
              <w:t xml:space="preserve">  </w:t>
            </w:r>
          </w:p>
        </w:tc>
        <w:tc>
          <w:tcPr>
            <w:tcW w:w="1580" w:type="dxa"/>
            <w:tcBorders>
              <w:top w:val="nil"/>
              <w:left w:val="nil"/>
              <w:bottom w:val="nil"/>
              <w:right w:val="nil"/>
            </w:tcBorders>
            <w:shd w:val="clear" w:color="000000" w:fill="FFFFFF"/>
            <w:vAlign w:val="center"/>
            <w:hideMark/>
          </w:tcPr>
          <w:p w:rsidR="00D2420A" w:rsidRPr="00700A4A" w:rsidRDefault="00D2420A" w:rsidP="00700A4A">
            <w:pPr>
              <w:jc w:val="both"/>
              <w:rPr>
                <w:rFonts w:cs="Arial"/>
                <w:color w:val="000000"/>
                <w:lang w:val="pt-BR" w:eastAsia="pt-BR"/>
              </w:rPr>
            </w:pPr>
            <w:proofErr w:type="gramEnd"/>
            <w:r w:rsidRPr="00700A4A">
              <w:rPr>
                <w:rFonts w:cs="Arial"/>
                <w:color w:val="000000"/>
                <w:lang w:val="pt-BR" w:eastAsia="pt-BR"/>
              </w:rPr>
              <w:t> </w:t>
            </w:r>
          </w:p>
        </w:tc>
        <w:tc>
          <w:tcPr>
            <w:tcW w:w="1900" w:type="dxa"/>
            <w:tcBorders>
              <w:top w:val="nil"/>
              <w:left w:val="nil"/>
              <w:bottom w:val="nil"/>
              <w:right w:val="nil"/>
            </w:tcBorders>
            <w:shd w:val="clear" w:color="000000" w:fill="FFFFFF"/>
            <w:vAlign w:val="center"/>
            <w:hideMark/>
          </w:tcPr>
          <w:p w:rsidR="00D2420A" w:rsidRPr="00700A4A" w:rsidRDefault="00D2420A" w:rsidP="00700A4A">
            <w:pPr>
              <w:jc w:val="right"/>
              <w:rPr>
                <w:rFonts w:cs="Arial"/>
                <w:color w:val="000000"/>
                <w:lang w:val="pt-BR" w:eastAsia="pt-BR"/>
              </w:rPr>
            </w:pPr>
            <w:r w:rsidRPr="00700A4A">
              <w:rPr>
                <w:rFonts w:cs="Arial"/>
                <w:color w:val="000000"/>
                <w:lang w:val="pt-BR" w:eastAsia="pt-BR"/>
              </w:rPr>
              <w:t xml:space="preserve"> $ </w:t>
            </w:r>
            <w:proofErr w:type="gramStart"/>
            <w:r w:rsidRPr="00700A4A">
              <w:rPr>
                <w:rFonts w:cs="Arial"/>
                <w:color w:val="000000"/>
                <w:lang w:val="pt-BR" w:eastAsia="pt-BR"/>
              </w:rPr>
              <w:t>1:592</w:t>
            </w:r>
            <w:proofErr w:type="gramEnd"/>
            <w:r w:rsidRPr="00700A4A">
              <w:rPr>
                <w:rFonts w:cs="Arial"/>
                <w:color w:val="000000"/>
                <w:lang w:val="pt-BR" w:eastAsia="pt-BR"/>
              </w:rPr>
              <w:t xml:space="preserve">.833 </w:t>
            </w:r>
          </w:p>
        </w:tc>
      </w:tr>
      <w:tr w:rsidR="00D2420A" w:rsidRPr="00700A4A" w:rsidTr="00047A04">
        <w:trPr>
          <w:trHeight w:val="300"/>
        </w:trPr>
        <w:tc>
          <w:tcPr>
            <w:tcW w:w="4980" w:type="dxa"/>
            <w:tcBorders>
              <w:top w:val="nil"/>
              <w:left w:val="nil"/>
              <w:bottom w:val="nil"/>
              <w:right w:val="nil"/>
            </w:tcBorders>
            <w:shd w:val="clear" w:color="000000" w:fill="FFFFFF"/>
            <w:vAlign w:val="center"/>
            <w:hideMark/>
          </w:tcPr>
          <w:p w:rsidR="00D2420A" w:rsidRPr="00700A4A" w:rsidRDefault="00D2420A" w:rsidP="00700A4A">
            <w:pPr>
              <w:jc w:val="both"/>
              <w:rPr>
                <w:rFonts w:cs="Arial"/>
                <w:color w:val="000000"/>
                <w:lang w:val="pt-BR" w:eastAsia="pt-BR"/>
              </w:rPr>
            </w:pPr>
            <w:r w:rsidRPr="00700A4A">
              <w:rPr>
                <w:rFonts w:cs="Arial"/>
                <w:color w:val="000000"/>
                <w:lang w:val="pt-BR" w:eastAsia="pt-BR"/>
              </w:rPr>
              <w:t>Menos:</w:t>
            </w:r>
          </w:p>
        </w:tc>
        <w:tc>
          <w:tcPr>
            <w:tcW w:w="1580" w:type="dxa"/>
            <w:tcBorders>
              <w:top w:val="nil"/>
              <w:left w:val="nil"/>
              <w:bottom w:val="nil"/>
              <w:right w:val="nil"/>
            </w:tcBorders>
            <w:shd w:val="clear" w:color="000000" w:fill="FFFFFF"/>
            <w:vAlign w:val="center"/>
            <w:hideMark/>
          </w:tcPr>
          <w:p w:rsidR="00D2420A" w:rsidRPr="00700A4A" w:rsidRDefault="00D2420A" w:rsidP="00700A4A">
            <w:pPr>
              <w:jc w:val="both"/>
              <w:rPr>
                <w:rFonts w:cs="Arial"/>
                <w:color w:val="000000"/>
                <w:lang w:val="pt-BR" w:eastAsia="pt-BR"/>
              </w:rPr>
            </w:pPr>
            <w:r w:rsidRPr="00700A4A">
              <w:rPr>
                <w:rFonts w:cs="Arial"/>
                <w:color w:val="000000"/>
                <w:lang w:val="pt-BR" w:eastAsia="pt-BR"/>
              </w:rPr>
              <w:t> </w:t>
            </w:r>
          </w:p>
        </w:tc>
        <w:tc>
          <w:tcPr>
            <w:tcW w:w="1900" w:type="dxa"/>
            <w:tcBorders>
              <w:top w:val="nil"/>
              <w:left w:val="nil"/>
              <w:bottom w:val="nil"/>
              <w:right w:val="nil"/>
            </w:tcBorders>
            <w:shd w:val="clear" w:color="000000" w:fill="FFFFFF"/>
            <w:noWrap/>
            <w:vAlign w:val="bottom"/>
            <w:hideMark/>
          </w:tcPr>
          <w:p w:rsidR="00D2420A" w:rsidRPr="00700A4A" w:rsidRDefault="00D2420A" w:rsidP="00700A4A">
            <w:pPr>
              <w:rPr>
                <w:rFonts w:cs="Arial"/>
                <w:color w:val="000000"/>
                <w:lang w:val="pt-BR" w:eastAsia="pt-BR"/>
              </w:rPr>
            </w:pPr>
            <w:r w:rsidRPr="00700A4A">
              <w:rPr>
                <w:rFonts w:cs="Arial"/>
                <w:color w:val="000000"/>
                <w:lang w:val="pt-BR" w:eastAsia="pt-BR"/>
              </w:rPr>
              <w:t> </w:t>
            </w:r>
          </w:p>
        </w:tc>
      </w:tr>
      <w:tr w:rsidR="00D2420A" w:rsidRPr="00700A4A" w:rsidTr="00047A04">
        <w:trPr>
          <w:trHeight w:val="300"/>
        </w:trPr>
        <w:tc>
          <w:tcPr>
            <w:tcW w:w="4980" w:type="dxa"/>
            <w:tcBorders>
              <w:top w:val="nil"/>
              <w:left w:val="nil"/>
              <w:bottom w:val="nil"/>
              <w:right w:val="nil"/>
            </w:tcBorders>
            <w:shd w:val="clear" w:color="000000" w:fill="FFFFFF"/>
            <w:vAlign w:val="center"/>
            <w:hideMark/>
          </w:tcPr>
          <w:p w:rsidR="00D2420A" w:rsidRPr="00700A4A" w:rsidRDefault="00D2420A" w:rsidP="00700A4A">
            <w:pPr>
              <w:jc w:val="both"/>
              <w:rPr>
                <w:rFonts w:cs="Arial"/>
                <w:color w:val="000000"/>
                <w:lang w:val="pt-BR" w:eastAsia="pt-BR"/>
              </w:rPr>
            </w:pPr>
            <w:proofErr w:type="spellStart"/>
            <w:r w:rsidRPr="00700A4A">
              <w:rPr>
                <w:rFonts w:cs="Arial"/>
                <w:color w:val="000000"/>
                <w:lang w:val="pt-BR" w:eastAsia="pt-BR"/>
              </w:rPr>
              <w:t>Obligaciones</w:t>
            </w:r>
            <w:proofErr w:type="spellEnd"/>
            <w:r w:rsidRPr="00700A4A">
              <w:rPr>
                <w:rFonts w:cs="Arial"/>
                <w:color w:val="000000"/>
                <w:lang w:val="pt-BR" w:eastAsia="pt-BR"/>
              </w:rPr>
              <w:t xml:space="preserve"> </w:t>
            </w:r>
            <w:proofErr w:type="spellStart"/>
            <w:r w:rsidRPr="00700A4A">
              <w:rPr>
                <w:rFonts w:cs="Arial"/>
                <w:color w:val="000000"/>
                <w:lang w:val="pt-BR" w:eastAsia="pt-BR"/>
              </w:rPr>
              <w:t>Presupuestales</w:t>
            </w:r>
            <w:proofErr w:type="spellEnd"/>
            <w:r w:rsidRPr="00700A4A">
              <w:rPr>
                <w:rFonts w:cs="Arial"/>
                <w:color w:val="000000"/>
                <w:lang w:val="pt-BR" w:eastAsia="pt-BR"/>
              </w:rPr>
              <w:t xml:space="preserve"> </w:t>
            </w:r>
            <w:proofErr w:type="spellStart"/>
            <w:r w:rsidRPr="00700A4A">
              <w:rPr>
                <w:rFonts w:cs="Arial"/>
                <w:color w:val="000000"/>
                <w:lang w:val="pt-BR" w:eastAsia="pt-BR"/>
              </w:rPr>
              <w:t>Impagas</w:t>
            </w:r>
            <w:proofErr w:type="spellEnd"/>
          </w:p>
        </w:tc>
        <w:tc>
          <w:tcPr>
            <w:tcW w:w="1580" w:type="dxa"/>
            <w:tcBorders>
              <w:top w:val="nil"/>
              <w:left w:val="nil"/>
              <w:bottom w:val="nil"/>
              <w:right w:val="nil"/>
            </w:tcBorders>
            <w:shd w:val="clear" w:color="000000" w:fill="FFFFFF"/>
            <w:vAlign w:val="center"/>
            <w:hideMark/>
          </w:tcPr>
          <w:p w:rsidR="00D2420A" w:rsidRPr="00700A4A" w:rsidRDefault="00D2420A" w:rsidP="00700A4A">
            <w:pPr>
              <w:jc w:val="right"/>
              <w:rPr>
                <w:rFonts w:cs="Arial"/>
                <w:color w:val="000000"/>
                <w:lang w:val="pt-BR" w:eastAsia="pt-BR"/>
              </w:rPr>
            </w:pPr>
            <w:r w:rsidRPr="00700A4A">
              <w:rPr>
                <w:rFonts w:cs="Arial"/>
                <w:color w:val="000000"/>
                <w:lang w:val="pt-BR" w:eastAsia="pt-BR"/>
              </w:rPr>
              <w:t xml:space="preserve"> $</w:t>
            </w:r>
            <w:proofErr w:type="gramStart"/>
            <w:r w:rsidRPr="00700A4A">
              <w:rPr>
                <w:rFonts w:cs="Arial"/>
                <w:color w:val="000000"/>
                <w:lang w:val="pt-BR" w:eastAsia="pt-BR"/>
              </w:rPr>
              <w:t xml:space="preserve">  </w:t>
            </w:r>
            <w:proofErr w:type="gramEnd"/>
            <w:r w:rsidRPr="00700A4A">
              <w:rPr>
                <w:rFonts w:cs="Arial"/>
                <w:color w:val="000000"/>
                <w:lang w:val="pt-BR" w:eastAsia="pt-BR"/>
              </w:rPr>
              <w:t>1:415.221</w:t>
            </w:r>
          </w:p>
        </w:tc>
        <w:tc>
          <w:tcPr>
            <w:tcW w:w="1900" w:type="dxa"/>
            <w:tcBorders>
              <w:top w:val="nil"/>
              <w:left w:val="nil"/>
              <w:bottom w:val="nil"/>
              <w:right w:val="nil"/>
            </w:tcBorders>
            <w:shd w:val="clear" w:color="000000" w:fill="FFFFFF"/>
            <w:noWrap/>
            <w:vAlign w:val="bottom"/>
            <w:hideMark/>
          </w:tcPr>
          <w:p w:rsidR="00D2420A" w:rsidRPr="00700A4A" w:rsidRDefault="00D2420A" w:rsidP="00700A4A">
            <w:pPr>
              <w:rPr>
                <w:rFonts w:cs="Arial"/>
                <w:color w:val="000000"/>
                <w:lang w:val="pt-BR" w:eastAsia="pt-BR"/>
              </w:rPr>
            </w:pPr>
            <w:r w:rsidRPr="00700A4A">
              <w:rPr>
                <w:rFonts w:cs="Arial"/>
                <w:color w:val="000000"/>
                <w:lang w:val="pt-BR" w:eastAsia="pt-BR"/>
              </w:rPr>
              <w:t> </w:t>
            </w:r>
          </w:p>
        </w:tc>
      </w:tr>
      <w:tr w:rsidR="00D2420A" w:rsidRPr="00700A4A" w:rsidTr="00047A04">
        <w:trPr>
          <w:trHeight w:val="300"/>
        </w:trPr>
        <w:tc>
          <w:tcPr>
            <w:tcW w:w="4980" w:type="dxa"/>
            <w:tcBorders>
              <w:top w:val="nil"/>
              <w:left w:val="nil"/>
              <w:bottom w:val="nil"/>
              <w:right w:val="nil"/>
            </w:tcBorders>
            <w:shd w:val="clear" w:color="000000" w:fill="FFFFFF"/>
            <w:vAlign w:val="center"/>
            <w:hideMark/>
          </w:tcPr>
          <w:p w:rsidR="00D2420A" w:rsidRPr="00700A4A" w:rsidRDefault="00D2420A" w:rsidP="00700A4A">
            <w:pPr>
              <w:jc w:val="both"/>
              <w:rPr>
                <w:rFonts w:cs="Arial"/>
                <w:color w:val="000000"/>
                <w:lang w:val="pt-BR" w:eastAsia="pt-BR"/>
              </w:rPr>
            </w:pPr>
            <w:proofErr w:type="spellStart"/>
            <w:r w:rsidRPr="00700A4A">
              <w:rPr>
                <w:rFonts w:cs="Arial"/>
                <w:color w:val="000000"/>
                <w:lang w:val="pt-BR" w:eastAsia="pt-BR"/>
              </w:rPr>
              <w:t>Indisponibles</w:t>
            </w:r>
            <w:proofErr w:type="spellEnd"/>
            <w:proofErr w:type="gramStart"/>
            <w:r w:rsidRPr="00700A4A">
              <w:rPr>
                <w:rFonts w:cs="Arial"/>
                <w:color w:val="000000"/>
                <w:lang w:val="pt-BR" w:eastAsia="pt-BR"/>
              </w:rPr>
              <w:t xml:space="preserve">  </w:t>
            </w:r>
          </w:p>
        </w:tc>
        <w:tc>
          <w:tcPr>
            <w:tcW w:w="1580" w:type="dxa"/>
            <w:tcBorders>
              <w:top w:val="nil"/>
              <w:left w:val="nil"/>
              <w:bottom w:val="nil"/>
              <w:right w:val="nil"/>
            </w:tcBorders>
            <w:shd w:val="clear" w:color="000000" w:fill="FFFFFF"/>
            <w:vAlign w:val="center"/>
            <w:hideMark/>
          </w:tcPr>
          <w:p w:rsidR="00D2420A" w:rsidRPr="00700A4A" w:rsidRDefault="00D2420A" w:rsidP="00700A4A">
            <w:pPr>
              <w:jc w:val="right"/>
              <w:rPr>
                <w:rFonts w:cs="Arial"/>
                <w:color w:val="000000"/>
                <w:u w:val="single"/>
                <w:lang w:val="pt-BR" w:eastAsia="pt-BR"/>
              </w:rPr>
            </w:pPr>
            <w:proofErr w:type="gramEnd"/>
            <w:r w:rsidRPr="00700A4A">
              <w:rPr>
                <w:rFonts w:cs="Arial"/>
                <w:color w:val="000000"/>
                <w:u w:val="single"/>
                <w:lang w:val="pt-BR" w:eastAsia="pt-BR"/>
              </w:rPr>
              <w:t xml:space="preserve"> $</w:t>
            </w:r>
            <w:proofErr w:type="gramStart"/>
            <w:r w:rsidRPr="00700A4A">
              <w:rPr>
                <w:rFonts w:cs="Arial"/>
                <w:color w:val="000000"/>
                <w:u w:val="single"/>
                <w:lang w:val="pt-BR" w:eastAsia="pt-BR"/>
              </w:rPr>
              <w:t xml:space="preserve">  </w:t>
            </w:r>
            <w:proofErr w:type="gramEnd"/>
            <w:r w:rsidRPr="00700A4A">
              <w:rPr>
                <w:rFonts w:cs="Arial"/>
                <w:color w:val="000000"/>
                <w:u w:val="single"/>
                <w:lang w:val="pt-BR" w:eastAsia="pt-BR"/>
              </w:rPr>
              <w:t>1:033.529</w:t>
            </w:r>
          </w:p>
        </w:tc>
        <w:tc>
          <w:tcPr>
            <w:tcW w:w="1900" w:type="dxa"/>
            <w:tcBorders>
              <w:top w:val="nil"/>
              <w:left w:val="nil"/>
              <w:bottom w:val="nil"/>
              <w:right w:val="nil"/>
            </w:tcBorders>
            <w:shd w:val="clear" w:color="000000" w:fill="FFFFFF"/>
            <w:vAlign w:val="center"/>
            <w:hideMark/>
          </w:tcPr>
          <w:p w:rsidR="00D2420A" w:rsidRPr="00700A4A" w:rsidRDefault="00D2420A" w:rsidP="00700A4A">
            <w:pPr>
              <w:jc w:val="right"/>
              <w:rPr>
                <w:rFonts w:cs="Arial"/>
                <w:color w:val="000000"/>
                <w:u w:val="single"/>
                <w:lang w:val="pt-BR" w:eastAsia="pt-BR"/>
              </w:rPr>
            </w:pPr>
            <w:r w:rsidRPr="00700A4A">
              <w:rPr>
                <w:rFonts w:cs="Arial"/>
                <w:color w:val="000000"/>
                <w:u w:val="single"/>
                <w:lang w:val="pt-BR" w:eastAsia="pt-BR"/>
              </w:rPr>
              <w:t xml:space="preserve">      ($ </w:t>
            </w:r>
            <w:proofErr w:type="gramStart"/>
            <w:r w:rsidRPr="00700A4A">
              <w:rPr>
                <w:rFonts w:cs="Arial"/>
                <w:color w:val="000000"/>
                <w:u w:val="single"/>
                <w:lang w:val="pt-BR" w:eastAsia="pt-BR"/>
              </w:rPr>
              <w:t>2:448</w:t>
            </w:r>
            <w:proofErr w:type="gramEnd"/>
            <w:r w:rsidRPr="00700A4A">
              <w:rPr>
                <w:rFonts w:cs="Arial"/>
                <w:color w:val="000000"/>
                <w:u w:val="single"/>
                <w:lang w:val="pt-BR" w:eastAsia="pt-BR"/>
              </w:rPr>
              <w:t>.750)</w:t>
            </w:r>
          </w:p>
        </w:tc>
      </w:tr>
      <w:tr w:rsidR="00D2420A" w:rsidRPr="00700A4A" w:rsidTr="00047A04">
        <w:trPr>
          <w:trHeight w:val="300"/>
        </w:trPr>
        <w:tc>
          <w:tcPr>
            <w:tcW w:w="4980" w:type="dxa"/>
            <w:tcBorders>
              <w:top w:val="nil"/>
              <w:left w:val="nil"/>
              <w:bottom w:val="nil"/>
              <w:right w:val="nil"/>
            </w:tcBorders>
            <w:shd w:val="clear" w:color="000000" w:fill="FFFFFF"/>
            <w:vAlign w:val="center"/>
            <w:hideMark/>
          </w:tcPr>
          <w:p w:rsidR="00D2420A" w:rsidRPr="00700A4A" w:rsidRDefault="00D2420A" w:rsidP="00700A4A">
            <w:pPr>
              <w:jc w:val="both"/>
              <w:rPr>
                <w:rFonts w:cs="Arial"/>
                <w:color w:val="000000"/>
                <w:lang w:val="pt-BR" w:eastAsia="pt-BR"/>
              </w:rPr>
            </w:pPr>
            <w:r w:rsidRPr="00700A4A">
              <w:rPr>
                <w:rFonts w:cs="Arial"/>
                <w:color w:val="000000"/>
                <w:lang w:val="pt-BR" w:eastAsia="pt-BR"/>
              </w:rPr>
              <w:t> </w:t>
            </w:r>
          </w:p>
        </w:tc>
        <w:tc>
          <w:tcPr>
            <w:tcW w:w="1580" w:type="dxa"/>
            <w:tcBorders>
              <w:top w:val="nil"/>
              <w:left w:val="nil"/>
              <w:bottom w:val="nil"/>
              <w:right w:val="nil"/>
            </w:tcBorders>
            <w:shd w:val="clear" w:color="000000" w:fill="FFFFFF"/>
            <w:vAlign w:val="center"/>
            <w:hideMark/>
          </w:tcPr>
          <w:p w:rsidR="00D2420A" w:rsidRPr="00700A4A" w:rsidRDefault="00D2420A" w:rsidP="00700A4A">
            <w:pPr>
              <w:jc w:val="right"/>
              <w:rPr>
                <w:rFonts w:cs="Arial"/>
                <w:color w:val="000000"/>
                <w:lang w:val="pt-BR" w:eastAsia="pt-BR"/>
              </w:rPr>
            </w:pPr>
            <w:r w:rsidRPr="00700A4A">
              <w:rPr>
                <w:rFonts w:cs="Arial"/>
                <w:color w:val="000000"/>
                <w:lang w:val="pt-BR" w:eastAsia="pt-BR"/>
              </w:rPr>
              <w:t> </w:t>
            </w:r>
          </w:p>
        </w:tc>
        <w:tc>
          <w:tcPr>
            <w:tcW w:w="1900" w:type="dxa"/>
            <w:tcBorders>
              <w:top w:val="nil"/>
              <w:left w:val="nil"/>
              <w:bottom w:val="nil"/>
              <w:right w:val="nil"/>
            </w:tcBorders>
            <w:shd w:val="clear" w:color="000000" w:fill="FFFFFF"/>
            <w:noWrap/>
            <w:vAlign w:val="bottom"/>
            <w:hideMark/>
          </w:tcPr>
          <w:p w:rsidR="00D2420A" w:rsidRPr="00700A4A" w:rsidRDefault="00D2420A" w:rsidP="00700A4A">
            <w:pPr>
              <w:rPr>
                <w:rFonts w:cs="Arial"/>
                <w:color w:val="000000"/>
                <w:lang w:val="pt-BR" w:eastAsia="pt-BR"/>
              </w:rPr>
            </w:pPr>
            <w:r w:rsidRPr="00700A4A">
              <w:rPr>
                <w:rFonts w:cs="Arial"/>
                <w:color w:val="000000"/>
                <w:lang w:val="pt-BR" w:eastAsia="pt-BR"/>
              </w:rPr>
              <w:t> </w:t>
            </w:r>
          </w:p>
        </w:tc>
      </w:tr>
      <w:tr w:rsidR="00D2420A" w:rsidRPr="00700A4A" w:rsidTr="00047A04">
        <w:trPr>
          <w:trHeight w:val="300"/>
        </w:trPr>
        <w:tc>
          <w:tcPr>
            <w:tcW w:w="4980" w:type="dxa"/>
            <w:tcBorders>
              <w:top w:val="nil"/>
              <w:left w:val="nil"/>
              <w:bottom w:val="nil"/>
              <w:right w:val="nil"/>
            </w:tcBorders>
            <w:shd w:val="clear" w:color="000000" w:fill="FFFFFF"/>
            <w:vAlign w:val="center"/>
            <w:hideMark/>
          </w:tcPr>
          <w:p w:rsidR="00D2420A" w:rsidRPr="00700A4A" w:rsidRDefault="00D2420A" w:rsidP="00700A4A">
            <w:pPr>
              <w:jc w:val="both"/>
              <w:rPr>
                <w:rFonts w:cs="Arial"/>
                <w:b/>
                <w:bCs/>
                <w:color w:val="000000"/>
                <w:lang w:eastAsia="pt-BR"/>
              </w:rPr>
            </w:pPr>
            <w:r w:rsidRPr="00700A4A">
              <w:rPr>
                <w:rFonts w:cs="Arial"/>
                <w:b/>
                <w:bCs/>
                <w:color w:val="000000"/>
                <w:lang w:eastAsia="pt-BR"/>
              </w:rPr>
              <w:t xml:space="preserve">Saldo adeudado por la Intendencia a la Junta  </w:t>
            </w:r>
          </w:p>
        </w:tc>
        <w:tc>
          <w:tcPr>
            <w:tcW w:w="1580" w:type="dxa"/>
            <w:tcBorders>
              <w:top w:val="nil"/>
              <w:left w:val="nil"/>
              <w:bottom w:val="nil"/>
              <w:right w:val="nil"/>
            </w:tcBorders>
            <w:shd w:val="clear" w:color="000000" w:fill="FFFFFF"/>
            <w:vAlign w:val="center"/>
            <w:hideMark/>
          </w:tcPr>
          <w:p w:rsidR="00D2420A" w:rsidRPr="00700A4A" w:rsidRDefault="00D2420A" w:rsidP="00700A4A">
            <w:pPr>
              <w:jc w:val="both"/>
              <w:rPr>
                <w:rFonts w:cs="Arial"/>
                <w:color w:val="000000"/>
                <w:lang w:eastAsia="pt-BR"/>
              </w:rPr>
            </w:pPr>
            <w:r w:rsidRPr="00700A4A">
              <w:rPr>
                <w:rFonts w:cs="Arial"/>
                <w:color w:val="000000"/>
                <w:lang w:eastAsia="pt-BR"/>
              </w:rPr>
              <w:t> </w:t>
            </w:r>
          </w:p>
        </w:tc>
        <w:tc>
          <w:tcPr>
            <w:tcW w:w="1900" w:type="dxa"/>
            <w:tcBorders>
              <w:top w:val="nil"/>
              <w:left w:val="nil"/>
              <w:bottom w:val="nil"/>
              <w:right w:val="nil"/>
            </w:tcBorders>
            <w:shd w:val="clear" w:color="000000" w:fill="FFFFFF"/>
            <w:vAlign w:val="center"/>
            <w:hideMark/>
          </w:tcPr>
          <w:p w:rsidR="00D2420A" w:rsidRPr="00700A4A" w:rsidRDefault="00D2420A" w:rsidP="00700A4A">
            <w:pPr>
              <w:jc w:val="right"/>
              <w:rPr>
                <w:rFonts w:cs="Arial"/>
                <w:b/>
                <w:bCs/>
                <w:color w:val="000000"/>
                <w:lang w:val="pt-BR" w:eastAsia="pt-BR"/>
              </w:rPr>
            </w:pPr>
            <w:r w:rsidRPr="00700A4A">
              <w:rPr>
                <w:rFonts w:cs="Arial"/>
                <w:b/>
                <w:bCs/>
                <w:color w:val="000000"/>
                <w:lang w:eastAsia="pt-BR"/>
              </w:rPr>
              <w:t xml:space="preserve">        </w:t>
            </w:r>
            <w:r w:rsidRPr="00700A4A">
              <w:rPr>
                <w:rFonts w:cs="Arial"/>
                <w:b/>
                <w:bCs/>
                <w:color w:val="000000"/>
                <w:lang w:val="pt-BR" w:eastAsia="pt-BR"/>
              </w:rPr>
              <w:t>($ 855.917)</w:t>
            </w:r>
          </w:p>
        </w:tc>
      </w:tr>
    </w:tbl>
    <w:p w:rsidR="00D2420A" w:rsidRPr="00700A4A" w:rsidRDefault="00D2420A" w:rsidP="00700A4A">
      <w:pPr>
        <w:spacing w:line="360" w:lineRule="auto"/>
        <w:rPr>
          <w:rFonts w:cs="Arial"/>
          <w:b/>
        </w:rPr>
      </w:pPr>
      <w:r w:rsidRPr="00700A4A">
        <w:rPr>
          <w:rFonts w:cs="Arial"/>
          <w:b/>
        </w:rPr>
        <w:t>Evaluación del control interno</w:t>
      </w:r>
    </w:p>
    <w:p w:rsidR="00D2420A" w:rsidRPr="00700A4A" w:rsidRDefault="00D2420A" w:rsidP="00700A4A">
      <w:pPr>
        <w:spacing w:line="360" w:lineRule="auto"/>
        <w:jc w:val="both"/>
      </w:pPr>
      <w:r w:rsidRPr="00700A4A">
        <w:rPr>
          <w:rFonts w:cs="Arial"/>
          <w:bCs/>
        </w:rPr>
        <w:t xml:space="preserve">El examen de los aspectos de control interno relevantes para la preparación y presentación razonable de </w:t>
      </w:r>
      <w:r w:rsidRPr="00700A4A">
        <w:rPr>
          <w:rFonts w:cs="Arial"/>
        </w:rPr>
        <w:t xml:space="preserve">la </w:t>
      </w:r>
      <w:r w:rsidRPr="00700A4A">
        <w:t>Rendición de Cuentas y Balance de Ejecución Presupuestal permitió constatar la siguiente debilidad:</w:t>
      </w:r>
    </w:p>
    <w:p w:rsidR="00D2420A" w:rsidRPr="00700A4A" w:rsidRDefault="00D2420A" w:rsidP="00D2420A">
      <w:pPr>
        <w:numPr>
          <w:ilvl w:val="0"/>
          <w:numId w:val="2"/>
        </w:numPr>
        <w:spacing w:line="360" w:lineRule="auto"/>
        <w:jc w:val="both"/>
      </w:pPr>
      <w:r w:rsidRPr="00700A4A">
        <w:t>La Junta Departamental no cuenta con un software especialmente diseñado para contabilidad pública y utiliza un sistema contable comercial al que se le realizaron algunos ajustes a efectos de atender las necesidades básicas del balance de ejecución presupuestal con registración por partida doble.</w:t>
      </w:r>
    </w:p>
    <w:p w:rsidR="00D2420A" w:rsidRPr="00700A4A" w:rsidRDefault="00D2420A" w:rsidP="00700A4A">
      <w:pPr>
        <w:suppressAutoHyphens/>
        <w:rPr>
          <w:rFonts w:cs="Arial"/>
          <w:b/>
          <w:color w:val="000000"/>
          <w:lang w:eastAsia="zh-CN"/>
        </w:rPr>
      </w:pPr>
    </w:p>
    <w:p w:rsidR="00D2420A" w:rsidRPr="00700A4A" w:rsidRDefault="00D2420A" w:rsidP="005E0C2B">
      <w:pPr>
        <w:suppressAutoHyphens/>
        <w:spacing w:line="360" w:lineRule="auto"/>
        <w:rPr>
          <w:rFonts w:cs="Arial"/>
          <w:b/>
          <w:color w:val="000000"/>
          <w:lang w:eastAsia="zh-CN"/>
        </w:rPr>
      </w:pPr>
      <w:r w:rsidRPr="00700A4A">
        <w:rPr>
          <w:rFonts w:cs="Arial"/>
          <w:b/>
          <w:color w:val="000000"/>
          <w:lang w:eastAsia="zh-CN"/>
        </w:rPr>
        <w:t>Incumplimiento de disposiciones legales y reglamentarias</w:t>
      </w:r>
    </w:p>
    <w:bookmarkEnd w:id="3"/>
    <w:p w:rsidR="00D2420A" w:rsidRPr="00700A4A" w:rsidRDefault="00D2420A" w:rsidP="005E0C2B">
      <w:pPr>
        <w:keepNext/>
        <w:keepLines/>
        <w:spacing w:line="360" w:lineRule="auto"/>
        <w:jc w:val="both"/>
        <w:outlineLvl w:val="1"/>
        <w:rPr>
          <w:rFonts w:cs="Arial"/>
          <w:b/>
          <w:bCs/>
          <w:sz w:val="26"/>
          <w:szCs w:val="26"/>
        </w:rPr>
      </w:pPr>
      <w:r w:rsidRPr="00700A4A">
        <w:rPr>
          <w:rFonts w:cs="Arial"/>
          <w:b/>
          <w:bCs/>
          <w:sz w:val="26"/>
          <w:szCs w:val="26"/>
        </w:rPr>
        <w:t>Resolución del Tribunal de Cuentas de fecha 28/01/2004</w:t>
      </w:r>
    </w:p>
    <w:p w:rsidR="00D2420A" w:rsidRPr="00700A4A" w:rsidRDefault="00D2420A" w:rsidP="00700A4A">
      <w:pPr>
        <w:spacing w:line="360" w:lineRule="auto"/>
        <w:jc w:val="both"/>
        <w:rPr>
          <w:rFonts w:cs="Arial"/>
          <w:bCs/>
        </w:rPr>
      </w:pPr>
      <w:r w:rsidRPr="00700A4A">
        <w:rPr>
          <w:rFonts w:cs="Arial"/>
          <w:bCs/>
        </w:rPr>
        <w:t>El documento de la Rendición de Cuentas presentado no se ajustó, en su totalidad, a lo dispuesto por dicha Resolución por los siguientes motivos:</w:t>
      </w:r>
    </w:p>
    <w:p w:rsidR="00D2420A" w:rsidRPr="00700A4A" w:rsidRDefault="00D2420A" w:rsidP="00D2420A">
      <w:pPr>
        <w:numPr>
          <w:ilvl w:val="0"/>
          <w:numId w:val="2"/>
        </w:numPr>
        <w:spacing w:line="360" w:lineRule="auto"/>
        <w:jc w:val="both"/>
        <w:rPr>
          <w:rFonts w:cs="Arial"/>
        </w:rPr>
      </w:pPr>
      <w:r w:rsidRPr="00700A4A">
        <w:t>En el Estado Nº 15 no se incluyó copia del inventario de activos que integran el patrimo</w:t>
      </w:r>
      <w:r>
        <w:t>nio de la Junta al cierre del Ej</w:t>
      </w:r>
      <w:r w:rsidRPr="00700A4A">
        <w:t>ercicio.</w:t>
      </w:r>
    </w:p>
    <w:p w:rsidR="00D2420A" w:rsidRDefault="00D2420A" w:rsidP="005E0C2B">
      <w:pPr>
        <w:keepNext/>
        <w:keepLines/>
        <w:spacing w:line="360" w:lineRule="auto"/>
        <w:jc w:val="both"/>
        <w:outlineLvl w:val="1"/>
        <w:rPr>
          <w:rFonts w:cs="Arial"/>
          <w:b/>
          <w:bCs/>
          <w:sz w:val="26"/>
          <w:szCs w:val="26"/>
        </w:rPr>
      </w:pPr>
      <w:bookmarkStart w:id="4" w:name="_Toc390872943"/>
    </w:p>
    <w:p w:rsidR="00D2420A" w:rsidRPr="00700A4A" w:rsidRDefault="00D2420A" w:rsidP="005E0C2B">
      <w:pPr>
        <w:keepNext/>
        <w:keepLines/>
        <w:spacing w:line="360" w:lineRule="auto"/>
        <w:jc w:val="both"/>
        <w:outlineLvl w:val="1"/>
        <w:rPr>
          <w:rFonts w:cs="Arial"/>
          <w:b/>
          <w:bCs/>
          <w:sz w:val="26"/>
          <w:szCs w:val="26"/>
        </w:rPr>
      </w:pPr>
      <w:r w:rsidRPr="00700A4A">
        <w:rPr>
          <w:rFonts w:cs="Arial"/>
          <w:b/>
          <w:bCs/>
          <w:sz w:val="26"/>
          <w:szCs w:val="26"/>
        </w:rPr>
        <w:t>Recomendaciones</w:t>
      </w:r>
      <w:bookmarkEnd w:id="4"/>
    </w:p>
    <w:p w:rsidR="00D2420A" w:rsidRPr="00700A4A" w:rsidRDefault="00D2420A" w:rsidP="005E0C2B">
      <w:pPr>
        <w:keepNext/>
        <w:keepLines/>
        <w:spacing w:line="360" w:lineRule="auto"/>
        <w:jc w:val="both"/>
        <w:outlineLvl w:val="1"/>
        <w:rPr>
          <w:rFonts w:cs="Arial"/>
          <w:b/>
          <w:bCs/>
          <w:sz w:val="26"/>
          <w:szCs w:val="26"/>
        </w:rPr>
      </w:pPr>
      <w:r>
        <w:rPr>
          <w:rFonts w:cs="Arial"/>
          <w:b/>
          <w:bCs/>
          <w:sz w:val="26"/>
          <w:szCs w:val="26"/>
        </w:rPr>
        <w:t>Recomendaciones del E</w:t>
      </w:r>
      <w:r w:rsidRPr="00700A4A">
        <w:rPr>
          <w:rFonts w:cs="Arial"/>
          <w:b/>
          <w:bCs/>
          <w:sz w:val="26"/>
          <w:szCs w:val="26"/>
        </w:rPr>
        <w:t>jercicio anterior:</w:t>
      </w:r>
    </w:p>
    <w:p w:rsidR="00D2420A" w:rsidRPr="00700A4A" w:rsidRDefault="00D2420A" w:rsidP="005E0C2B">
      <w:pPr>
        <w:keepNext/>
        <w:keepLines/>
        <w:spacing w:line="360" w:lineRule="auto"/>
        <w:jc w:val="both"/>
        <w:outlineLvl w:val="1"/>
        <w:rPr>
          <w:rFonts w:cs="Arial"/>
          <w:b/>
          <w:bCs/>
          <w:sz w:val="26"/>
          <w:szCs w:val="26"/>
        </w:rPr>
      </w:pPr>
      <w:r w:rsidRPr="00700A4A">
        <w:rPr>
          <w:rFonts w:cs="Arial"/>
          <w:b/>
          <w:bCs/>
          <w:sz w:val="26"/>
          <w:szCs w:val="26"/>
        </w:rPr>
        <w:t>Cumplidas</w:t>
      </w:r>
    </w:p>
    <w:p w:rsidR="00D2420A" w:rsidRPr="00700A4A" w:rsidRDefault="00D2420A" w:rsidP="005E0C2B">
      <w:pPr>
        <w:spacing w:line="360" w:lineRule="auto"/>
        <w:rPr>
          <w:b/>
        </w:rPr>
      </w:pPr>
      <w:bookmarkStart w:id="5" w:name="_Toc390872950"/>
      <w:r w:rsidRPr="00700A4A">
        <w:rPr>
          <w:b/>
        </w:rPr>
        <w:t>Resolución del Tribunal de Cuentas de fecha 28/01/2004</w:t>
      </w:r>
    </w:p>
    <w:p w:rsidR="00D2420A" w:rsidRPr="00700A4A" w:rsidRDefault="00D2420A" w:rsidP="00700A4A">
      <w:pPr>
        <w:spacing w:line="360" w:lineRule="auto"/>
        <w:jc w:val="both"/>
      </w:pPr>
      <w:r w:rsidRPr="00700A4A">
        <w:t xml:space="preserve">La Junta ha mencionado el número de arqueos </w:t>
      </w:r>
      <w:r>
        <w:t>realizados durante el E</w:t>
      </w:r>
      <w:r w:rsidRPr="00700A4A">
        <w:t>jercicio, y dejado expresa constancia de que el Estado 3.6.2 comprende a la totalidad de las cuentas bancarias y cajas de la Junta.</w:t>
      </w:r>
    </w:p>
    <w:p w:rsidR="00D2420A" w:rsidRPr="00700A4A" w:rsidRDefault="00AA364F" w:rsidP="00700A4A">
      <w:pPr>
        <w:keepNext/>
        <w:keepLines/>
        <w:spacing w:line="360" w:lineRule="auto"/>
        <w:jc w:val="both"/>
        <w:outlineLvl w:val="1"/>
        <w:rPr>
          <w:rFonts w:cs="Arial"/>
          <w:b/>
          <w:bCs/>
        </w:rPr>
      </w:pPr>
      <w:r>
        <w:rPr>
          <w:rFonts w:cs="Arial"/>
          <w:b/>
          <w:bCs/>
        </w:rPr>
        <w:t>Declaración Jurada</w:t>
      </w:r>
    </w:p>
    <w:p w:rsidR="00D2420A" w:rsidRDefault="00D2420A" w:rsidP="00700A4A">
      <w:pPr>
        <w:spacing w:line="360" w:lineRule="auto"/>
        <w:jc w:val="both"/>
        <w:rPr>
          <w:rFonts w:cs="Arial"/>
          <w:lang w:val="es-MX"/>
        </w:rPr>
      </w:pPr>
      <w:r w:rsidRPr="00700A4A">
        <w:rPr>
          <w:rFonts w:cs="Arial"/>
          <w:lang w:val="es-MX"/>
        </w:rPr>
        <w:t>La Junta Departamental ha solicitado a los funcionarios, la firma de la Declaración Jurada donde indiquen que no les corresponde a su actual situación, la</w:t>
      </w:r>
      <w:r>
        <w:rPr>
          <w:rFonts w:cs="Arial"/>
          <w:lang w:val="es-MX"/>
        </w:rPr>
        <w:t xml:space="preserve"> prohibición establecida en el A</w:t>
      </w:r>
      <w:r w:rsidRPr="00700A4A">
        <w:rPr>
          <w:rFonts w:cs="Arial"/>
          <w:lang w:val="es-MX"/>
        </w:rPr>
        <w:t>rtículo 32 de la Ley 11.923.</w:t>
      </w:r>
    </w:p>
    <w:p w:rsidR="00FB0A16" w:rsidRPr="00700A4A" w:rsidRDefault="00FB0A16" w:rsidP="00700A4A">
      <w:pPr>
        <w:spacing w:line="360" w:lineRule="auto"/>
        <w:jc w:val="both"/>
        <w:rPr>
          <w:rFonts w:cs="Arial"/>
          <w:lang w:val="es-MX"/>
        </w:rPr>
      </w:pPr>
    </w:p>
    <w:p w:rsidR="00D2420A" w:rsidRPr="00700A4A" w:rsidRDefault="00AA364F" w:rsidP="00700A4A">
      <w:pPr>
        <w:spacing w:line="360" w:lineRule="auto"/>
        <w:jc w:val="both"/>
        <w:rPr>
          <w:rFonts w:cs="Arial"/>
          <w:b/>
          <w:bCs/>
        </w:rPr>
      </w:pPr>
      <w:r>
        <w:rPr>
          <w:rFonts w:cs="Arial"/>
          <w:b/>
          <w:bCs/>
        </w:rPr>
        <w:t>Artículo 33 del TOCAF</w:t>
      </w:r>
    </w:p>
    <w:p w:rsidR="00D2420A" w:rsidRPr="00700A4A" w:rsidRDefault="00D2420A" w:rsidP="00700A4A">
      <w:pPr>
        <w:spacing w:line="360" w:lineRule="auto"/>
        <w:jc w:val="both"/>
        <w:rPr>
          <w:rFonts w:cs="Arial"/>
        </w:rPr>
      </w:pPr>
      <w:r w:rsidRPr="00700A4A">
        <w:rPr>
          <w:rFonts w:cs="Arial"/>
        </w:rPr>
        <w:t>La Junta realizó las contrataciones, teniendo en cuenta los procedimientos establecidos</w:t>
      </w:r>
      <w:r>
        <w:rPr>
          <w:rFonts w:cs="Arial"/>
        </w:rPr>
        <w:t xml:space="preserve"> en este A</w:t>
      </w:r>
      <w:r w:rsidRPr="00700A4A">
        <w:rPr>
          <w:rFonts w:cs="Arial"/>
        </w:rPr>
        <w:t>rtículo.</w:t>
      </w:r>
    </w:p>
    <w:p w:rsidR="00D2420A" w:rsidRDefault="00D2420A" w:rsidP="005E0C2B">
      <w:pPr>
        <w:keepNext/>
        <w:keepLines/>
        <w:spacing w:line="360" w:lineRule="auto"/>
        <w:jc w:val="both"/>
        <w:outlineLvl w:val="1"/>
        <w:rPr>
          <w:rFonts w:cs="Arial"/>
          <w:b/>
          <w:bCs/>
          <w:sz w:val="26"/>
          <w:szCs w:val="26"/>
        </w:rPr>
      </w:pPr>
    </w:p>
    <w:p w:rsidR="00D2420A" w:rsidRPr="00700A4A" w:rsidRDefault="00D2420A" w:rsidP="005E0C2B">
      <w:pPr>
        <w:keepNext/>
        <w:keepLines/>
        <w:spacing w:line="360" w:lineRule="auto"/>
        <w:jc w:val="both"/>
        <w:outlineLvl w:val="1"/>
        <w:rPr>
          <w:rFonts w:cs="Arial"/>
          <w:b/>
          <w:bCs/>
          <w:sz w:val="26"/>
          <w:szCs w:val="26"/>
        </w:rPr>
      </w:pPr>
      <w:r w:rsidRPr="00700A4A">
        <w:rPr>
          <w:rFonts w:cs="Arial"/>
          <w:b/>
          <w:bCs/>
          <w:sz w:val="26"/>
          <w:szCs w:val="26"/>
        </w:rPr>
        <w:t>Artículo 86 de la Constitución de la República</w:t>
      </w:r>
    </w:p>
    <w:p w:rsidR="00D2420A" w:rsidRPr="00700A4A" w:rsidRDefault="00D2420A" w:rsidP="005E0C2B">
      <w:pPr>
        <w:spacing w:line="360" w:lineRule="auto"/>
        <w:jc w:val="both"/>
      </w:pPr>
      <w:r w:rsidRPr="00700A4A">
        <w:t>La Junta no ha realizado gastos que no estén previ</w:t>
      </w:r>
      <w:r w:rsidR="00AA364F">
        <w:t>stos en el Presupuesto vigente.</w:t>
      </w:r>
    </w:p>
    <w:p w:rsidR="00D2420A" w:rsidRPr="00AA364F" w:rsidRDefault="00D2420A" w:rsidP="00700A4A">
      <w:pPr>
        <w:suppressAutoHyphens/>
        <w:rPr>
          <w:rFonts w:eastAsia="Arial Unicode MS" w:cs="Arial"/>
          <w:b/>
          <w:bCs/>
          <w:noProof/>
          <w:color w:val="000000"/>
          <w:lang w:eastAsia="zh-CN"/>
        </w:rPr>
      </w:pPr>
    </w:p>
    <w:p w:rsidR="00D2420A" w:rsidRPr="00700A4A" w:rsidRDefault="00D2420A" w:rsidP="005E0C2B">
      <w:pPr>
        <w:suppressAutoHyphens/>
        <w:spacing w:line="360" w:lineRule="auto"/>
        <w:rPr>
          <w:rFonts w:eastAsia="Arial Unicode MS" w:cs="Arial"/>
          <w:b/>
          <w:bCs/>
          <w:noProof/>
          <w:color w:val="000000"/>
          <w:lang w:val="es-MX" w:eastAsia="zh-CN"/>
        </w:rPr>
      </w:pPr>
      <w:bookmarkStart w:id="6" w:name="_Toc267318802"/>
      <w:r w:rsidRPr="00700A4A">
        <w:rPr>
          <w:rFonts w:eastAsia="Arial Unicode MS" w:cs="Arial"/>
          <w:b/>
          <w:bCs/>
          <w:noProof/>
          <w:color w:val="000000"/>
          <w:lang w:val="es-MX" w:eastAsia="zh-CN"/>
        </w:rPr>
        <w:t>No cumplidas</w:t>
      </w:r>
      <w:bookmarkEnd w:id="6"/>
    </w:p>
    <w:p w:rsidR="00D2420A" w:rsidRPr="00700A4A" w:rsidRDefault="00D2420A" w:rsidP="005E0C2B">
      <w:pPr>
        <w:spacing w:line="360" w:lineRule="auto"/>
        <w:jc w:val="both"/>
      </w:pPr>
      <w:bookmarkStart w:id="7" w:name="_Toc390872945"/>
      <w:bookmarkEnd w:id="5"/>
      <w:r w:rsidRPr="00700A4A">
        <w:t>La Junta no ha implementado medidas correctivas respecto a los siguientes     aspectos:</w:t>
      </w:r>
    </w:p>
    <w:p w:rsidR="00D2420A" w:rsidRDefault="00D2420A" w:rsidP="005E0C2B">
      <w:pPr>
        <w:keepNext/>
        <w:keepLines/>
        <w:spacing w:line="360" w:lineRule="auto"/>
        <w:jc w:val="both"/>
        <w:outlineLvl w:val="1"/>
        <w:rPr>
          <w:rFonts w:cs="Arial"/>
          <w:b/>
          <w:bCs/>
          <w:sz w:val="26"/>
          <w:szCs w:val="26"/>
        </w:rPr>
      </w:pPr>
    </w:p>
    <w:p w:rsidR="00D2420A" w:rsidRPr="00700A4A" w:rsidRDefault="00D2420A" w:rsidP="005E0C2B">
      <w:pPr>
        <w:keepNext/>
        <w:keepLines/>
        <w:spacing w:line="360" w:lineRule="auto"/>
        <w:jc w:val="both"/>
        <w:outlineLvl w:val="1"/>
        <w:rPr>
          <w:rFonts w:cs="Arial"/>
          <w:b/>
          <w:bCs/>
          <w:sz w:val="26"/>
          <w:szCs w:val="26"/>
        </w:rPr>
      </w:pPr>
      <w:r w:rsidRPr="00700A4A">
        <w:rPr>
          <w:rFonts w:cs="Arial"/>
          <w:b/>
          <w:bCs/>
          <w:sz w:val="26"/>
          <w:szCs w:val="26"/>
        </w:rPr>
        <w:t>Artículo 295 de la Constitución de la República y Resolución de 22 de diciembre de 2010 del Tribunal de Cuentas</w:t>
      </w:r>
      <w:bookmarkEnd w:id="7"/>
    </w:p>
    <w:p w:rsidR="00D2420A" w:rsidRPr="00700A4A" w:rsidRDefault="00D2420A" w:rsidP="00700A4A">
      <w:pPr>
        <w:spacing w:line="360" w:lineRule="auto"/>
        <w:jc w:val="both"/>
      </w:pPr>
      <w:r w:rsidRPr="00700A4A">
        <w:t>La entrega de partidas a los Señores Ediles para resarcir los gastos en que deban incurrir en cumplimiento de sus funciones, deberá reglamentarse y ejecutarse conforme con lo dispuesto en la norma constitucional y en la Resolución de fecha 22 de diciembre de 2010.</w:t>
      </w:r>
    </w:p>
    <w:p w:rsidR="00D2420A" w:rsidRPr="00700A4A" w:rsidRDefault="00D2420A" w:rsidP="00700A4A">
      <w:pPr>
        <w:keepNext/>
        <w:keepLines/>
        <w:spacing w:before="200" w:line="360" w:lineRule="auto"/>
        <w:jc w:val="both"/>
        <w:outlineLvl w:val="1"/>
        <w:rPr>
          <w:rFonts w:cs="Arial"/>
          <w:b/>
          <w:bCs/>
          <w:sz w:val="26"/>
          <w:szCs w:val="26"/>
        </w:rPr>
      </w:pPr>
      <w:bookmarkStart w:id="8" w:name="_Toc390872952"/>
      <w:r w:rsidRPr="00700A4A">
        <w:rPr>
          <w:rFonts w:cs="Arial"/>
          <w:b/>
          <w:bCs/>
          <w:sz w:val="26"/>
          <w:szCs w:val="26"/>
        </w:rPr>
        <w:t>Artículo 71 de la Ley Nº 18.083</w:t>
      </w:r>
      <w:bookmarkEnd w:id="8"/>
    </w:p>
    <w:p w:rsidR="00D2420A" w:rsidRPr="00700A4A" w:rsidRDefault="00D2420A" w:rsidP="00700A4A">
      <w:pPr>
        <w:spacing w:line="360" w:lineRule="auto"/>
        <w:jc w:val="both"/>
      </w:pPr>
      <w:r w:rsidRPr="00700A4A">
        <w:t xml:space="preserve">La Junta no deberá contratar con empresas </w:t>
      </w:r>
      <w:proofErr w:type="spellStart"/>
      <w:r w:rsidRPr="00700A4A">
        <w:t>monotributistas</w:t>
      </w:r>
      <w:proofErr w:type="spellEnd"/>
      <w:r w:rsidRPr="00700A4A">
        <w:t xml:space="preserve"> a efectos de dar </w:t>
      </w:r>
      <w:r>
        <w:t>cumplimiento con</w:t>
      </w:r>
      <w:r w:rsidRPr="00700A4A">
        <w:t xml:space="preserve"> lo establecido en esta norma.</w:t>
      </w:r>
    </w:p>
    <w:p w:rsidR="00D2420A" w:rsidRPr="00700A4A" w:rsidRDefault="00D2420A" w:rsidP="00700A4A">
      <w:pPr>
        <w:jc w:val="both"/>
      </w:pPr>
    </w:p>
    <w:p w:rsidR="00D2420A" w:rsidRPr="00700A4A" w:rsidRDefault="00D2420A" w:rsidP="00700A4A">
      <w:pPr>
        <w:keepNext/>
        <w:keepLines/>
        <w:spacing w:before="200" w:line="360" w:lineRule="auto"/>
        <w:jc w:val="both"/>
        <w:outlineLvl w:val="1"/>
        <w:rPr>
          <w:rFonts w:cs="Arial"/>
          <w:b/>
          <w:bCs/>
          <w:sz w:val="26"/>
          <w:szCs w:val="26"/>
        </w:rPr>
      </w:pPr>
      <w:bookmarkStart w:id="9" w:name="_Toc390872949"/>
      <w:r w:rsidRPr="00700A4A">
        <w:rPr>
          <w:rFonts w:cs="Arial"/>
          <w:b/>
          <w:bCs/>
          <w:sz w:val="26"/>
          <w:szCs w:val="26"/>
        </w:rPr>
        <w:t>Sistema contable</w:t>
      </w:r>
      <w:bookmarkEnd w:id="9"/>
    </w:p>
    <w:p w:rsidR="00D2420A" w:rsidRPr="00700A4A" w:rsidRDefault="00D2420A" w:rsidP="00700A4A">
      <w:pPr>
        <w:spacing w:line="360" w:lineRule="auto"/>
        <w:jc w:val="both"/>
      </w:pPr>
      <w:r w:rsidRPr="00700A4A">
        <w:t>La Junta Departamental deberá implementar un sistema contable que sea una herramienta adecuada a los requerimientos de su especialidad, permitiendo la obtención permanente de información actualizada a efectos de la toma de decisiones  relativas a la ejecución presupuestal.</w:t>
      </w:r>
    </w:p>
    <w:p w:rsidR="00D2420A" w:rsidRPr="00700A4A" w:rsidRDefault="00D2420A" w:rsidP="00700A4A">
      <w:pPr>
        <w:rPr>
          <w:rFonts w:cs="Arial"/>
          <w:b/>
          <w:bCs/>
        </w:rPr>
      </w:pPr>
    </w:p>
    <w:p w:rsidR="00D2420A" w:rsidRPr="00700A4A" w:rsidRDefault="00D2420A" w:rsidP="005E0C2B">
      <w:pPr>
        <w:spacing w:line="360" w:lineRule="auto"/>
        <w:rPr>
          <w:rFonts w:cs="Arial"/>
          <w:b/>
          <w:bCs/>
        </w:rPr>
      </w:pPr>
      <w:r>
        <w:rPr>
          <w:rFonts w:cs="Arial"/>
          <w:b/>
          <w:bCs/>
        </w:rPr>
        <w:t>Recomendaciones del presente E</w:t>
      </w:r>
      <w:r w:rsidRPr="00700A4A">
        <w:rPr>
          <w:rFonts w:cs="Arial"/>
          <w:b/>
          <w:bCs/>
        </w:rPr>
        <w:t>jercicio.</w:t>
      </w:r>
    </w:p>
    <w:p w:rsidR="00D2420A" w:rsidRPr="00700A4A" w:rsidRDefault="00D2420A" w:rsidP="005E0C2B">
      <w:pPr>
        <w:suppressAutoHyphens/>
        <w:spacing w:line="360" w:lineRule="auto"/>
        <w:jc w:val="both"/>
        <w:rPr>
          <w:rFonts w:cs="Arial"/>
          <w:color w:val="000000"/>
          <w:lang w:eastAsia="zh-CN"/>
        </w:rPr>
      </w:pPr>
      <w:r w:rsidRPr="00700A4A">
        <w:rPr>
          <w:rFonts w:cs="Arial"/>
          <w:color w:val="000000"/>
          <w:lang w:eastAsia="zh-CN"/>
        </w:rPr>
        <w:t xml:space="preserve">Se reiteran las recomendaciones </w:t>
      </w:r>
      <w:r w:rsidRPr="00700A4A">
        <w:rPr>
          <w:rFonts w:cs="Arial"/>
        </w:rPr>
        <w:t>no cumplidas</w:t>
      </w:r>
      <w:r>
        <w:rPr>
          <w:rFonts w:cs="Arial"/>
        </w:rPr>
        <w:t xml:space="preserve"> de E</w:t>
      </w:r>
      <w:r w:rsidRPr="00700A4A">
        <w:rPr>
          <w:rFonts w:cs="Arial"/>
        </w:rPr>
        <w:t xml:space="preserve">jercicios anteriores, a las que se agrega </w:t>
      </w:r>
      <w:r w:rsidR="00AA364F">
        <w:rPr>
          <w:rFonts w:cs="Arial"/>
          <w:color w:val="000000"/>
          <w:lang w:eastAsia="zh-CN"/>
        </w:rPr>
        <w:t xml:space="preserve"> la siguiente:</w:t>
      </w:r>
    </w:p>
    <w:p w:rsidR="00D2420A" w:rsidRPr="00700A4A" w:rsidRDefault="00D2420A" w:rsidP="00700A4A">
      <w:pPr>
        <w:spacing w:line="360" w:lineRule="auto"/>
        <w:rPr>
          <w:b/>
          <w:highlight w:val="lightGray"/>
        </w:rPr>
      </w:pPr>
    </w:p>
    <w:p w:rsidR="00D2420A" w:rsidRPr="00700A4A" w:rsidRDefault="00D2420A" w:rsidP="00700A4A">
      <w:pPr>
        <w:spacing w:line="360" w:lineRule="auto"/>
        <w:rPr>
          <w:b/>
        </w:rPr>
      </w:pPr>
      <w:r w:rsidRPr="00700A4A">
        <w:rPr>
          <w:b/>
        </w:rPr>
        <w:t>Resolución del Tribunal de Cuentas de fecha 28/01/2004</w:t>
      </w:r>
    </w:p>
    <w:p w:rsidR="00D2420A" w:rsidRPr="00700A4A" w:rsidRDefault="00D2420A" w:rsidP="00700A4A">
      <w:pPr>
        <w:spacing w:line="360" w:lineRule="auto"/>
        <w:jc w:val="both"/>
      </w:pPr>
      <w:r w:rsidRPr="00700A4A">
        <w:t>En el Estado Nº 15 debe incluirse la copia del inventario de activos que integran el patrim</w:t>
      </w:r>
      <w:r>
        <w:t>onio de la Junta al cierre del E</w:t>
      </w:r>
      <w:r w:rsidRPr="00700A4A">
        <w:t>jercicio.</w:t>
      </w:r>
    </w:p>
    <w:p w:rsidR="00D2420A" w:rsidRDefault="00D2420A" w:rsidP="00DB2ADE">
      <w:pPr>
        <w:spacing w:line="360" w:lineRule="auto"/>
        <w:ind w:left="4248" w:firstLine="708"/>
        <w:jc w:val="right"/>
        <w:rPr>
          <w:lang w:val="pt-BR"/>
        </w:rPr>
      </w:pPr>
      <w:r w:rsidRPr="00700A4A">
        <w:rPr>
          <w:lang w:val="pt-BR"/>
        </w:rPr>
        <w:t xml:space="preserve">Montevideo, </w:t>
      </w:r>
      <w:proofErr w:type="gramStart"/>
      <w:r w:rsidRPr="00700A4A">
        <w:rPr>
          <w:lang w:val="pt-BR"/>
        </w:rPr>
        <w:t>5</w:t>
      </w:r>
      <w:proofErr w:type="gramEnd"/>
      <w:r w:rsidRPr="00700A4A">
        <w:rPr>
          <w:lang w:val="pt-BR"/>
        </w:rPr>
        <w:t xml:space="preserve"> de </w:t>
      </w:r>
      <w:proofErr w:type="spellStart"/>
      <w:r w:rsidRPr="00700A4A">
        <w:rPr>
          <w:lang w:val="pt-BR"/>
        </w:rPr>
        <w:t>julio</w:t>
      </w:r>
      <w:proofErr w:type="spellEnd"/>
      <w:r w:rsidRPr="00700A4A">
        <w:rPr>
          <w:lang w:val="pt-BR"/>
        </w:rPr>
        <w:t xml:space="preserve"> de 2018</w:t>
      </w:r>
    </w:p>
    <w:p w:rsidR="00D2420A" w:rsidRDefault="00D2420A" w:rsidP="005E0C2B">
      <w:pPr>
        <w:spacing w:line="360" w:lineRule="auto"/>
        <w:ind w:left="4248" w:firstLine="708"/>
        <w:jc w:val="right"/>
        <w:rPr>
          <w:lang w:val="pt-BR"/>
        </w:rPr>
      </w:pPr>
    </w:p>
    <w:p w:rsidR="00D2420A" w:rsidRDefault="00D2420A" w:rsidP="005E0C2B">
      <w:pPr>
        <w:spacing w:line="360" w:lineRule="auto"/>
        <w:ind w:left="4248" w:firstLine="708"/>
        <w:jc w:val="right"/>
        <w:rPr>
          <w:lang w:val="pt-BR"/>
        </w:rPr>
      </w:pPr>
    </w:p>
    <w:p w:rsidR="00D2420A" w:rsidRPr="0022219A" w:rsidRDefault="00D2420A" w:rsidP="00D2420A">
      <w:pPr>
        <w:spacing w:line="360" w:lineRule="auto"/>
        <w:ind w:left="4248" w:hanging="4532"/>
      </w:pPr>
      <w:proofErr w:type="spellStart"/>
      <w:r>
        <w:rPr>
          <w:lang w:val="pt-BR"/>
        </w:rPr>
        <w:t>dc</w:t>
      </w:r>
      <w:proofErr w:type="spellEnd"/>
    </w:p>
    <w:sectPr w:rsidR="00D2420A" w:rsidRPr="0022219A" w:rsidSect="00B319E6">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748"/>
    <w:multiLevelType w:val="hybridMultilevel"/>
    <w:tmpl w:val="FA92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9D015F"/>
    <w:multiLevelType w:val="hybridMultilevel"/>
    <w:tmpl w:val="1D12859C"/>
    <w:lvl w:ilvl="0" w:tplc="A8BA89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F2461CE"/>
    <w:multiLevelType w:val="hybridMultilevel"/>
    <w:tmpl w:val="83B42D0C"/>
    <w:lvl w:ilvl="0" w:tplc="0416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4A84019"/>
    <w:multiLevelType w:val="hybridMultilevel"/>
    <w:tmpl w:val="030EA332"/>
    <w:lvl w:ilvl="0" w:tplc="1DE41DD6">
      <w:start w:val="1"/>
      <w:numFmt w:val="decimal"/>
      <w:lvlText w:val="%1)"/>
      <w:lvlJc w:val="left"/>
      <w:pPr>
        <w:ind w:left="720" w:hanging="360"/>
      </w:pPr>
      <w:rPr>
        <w:rFonts w:hint="default"/>
        <w:b/>
        <w:sz w:val="24"/>
        <w:szCs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D0"/>
    <w:rsid w:val="0007229A"/>
    <w:rsid w:val="000C0E56"/>
    <w:rsid w:val="000F5423"/>
    <w:rsid w:val="0022219A"/>
    <w:rsid w:val="00254B11"/>
    <w:rsid w:val="002F162E"/>
    <w:rsid w:val="00474D5E"/>
    <w:rsid w:val="00503E67"/>
    <w:rsid w:val="005D6C94"/>
    <w:rsid w:val="00684213"/>
    <w:rsid w:val="007305F2"/>
    <w:rsid w:val="0079486F"/>
    <w:rsid w:val="00824BB8"/>
    <w:rsid w:val="00883F00"/>
    <w:rsid w:val="00973DD2"/>
    <w:rsid w:val="00AA364F"/>
    <w:rsid w:val="00AB4EA0"/>
    <w:rsid w:val="00AC6BE4"/>
    <w:rsid w:val="00B319E6"/>
    <w:rsid w:val="00B47104"/>
    <w:rsid w:val="00B678B4"/>
    <w:rsid w:val="00BE6E57"/>
    <w:rsid w:val="00C171BE"/>
    <w:rsid w:val="00C45CCA"/>
    <w:rsid w:val="00C73658"/>
    <w:rsid w:val="00CB3277"/>
    <w:rsid w:val="00CF37D0"/>
    <w:rsid w:val="00D2420A"/>
    <w:rsid w:val="00D3205B"/>
    <w:rsid w:val="00D3453E"/>
    <w:rsid w:val="00DB2ADE"/>
    <w:rsid w:val="00DC373A"/>
    <w:rsid w:val="00E23BD2"/>
    <w:rsid w:val="00ED4DA5"/>
    <w:rsid w:val="00F1195F"/>
    <w:rsid w:val="00F14E89"/>
    <w:rsid w:val="00F40A65"/>
    <w:rsid w:val="00F54C30"/>
    <w:rsid w:val="00FB0A16"/>
    <w:rsid w:val="00FB5C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E5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E6E57"/>
    <w:pPr>
      <w:keepNext/>
      <w:spacing w:line="360" w:lineRule="auto"/>
      <w:outlineLvl w:val="0"/>
    </w:pPr>
    <w:rPr>
      <w:rFonts w:cs="Arial"/>
      <w:b/>
      <w:bCs/>
      <w:color w:val="000000"/>
    </w:rPr>
  </w:style>
  <w:style w:type="paragraph" w:styleId="Ttulo2">
    <w:name w:val="heading 2"/>
    <w:basedOn w:val="Normal"/>
    <w:next w:val="Normal"/>
    <w:link w:val="Ttulo2Car"/>
    <w:uiPriority w:val="9"/>
    <w:unhideWhenUsed/>
    <w:qFormat/>
    <w:rsid w:val="00BE6E57"/>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BE6E57"/>
    <w:pPr>
      <w:suppressAutoHyphens/>
      <w:spacing w:line="360" w:lineRule="auto"/>
      <w:jc w:val="center"/>
    </w:pPr>
    <w:rPr>
      <w:b/>
      <w:caps/>
      <w:kern w:val="1"/>
      <w:sz w:val="28"/>
      <w:szCs w:val="20"/>
      <w:lang w:eastAsia="ar-SA"/>
    </w:rPr>
  </w:style>
  <w:style w:type="character" w:customStyle="1" w:styleId="TtuloCar">
    <w:name w:val="Título Car"/>
    <w:basedOn w:val="Fuentedeprrafopredeter"/>
    <w:link w:val="Ttulo"/>
    <w:rsid w:val="00BE6E57"/>
    <w:rPr>
      <w:rFonts w:ascii="Arial" w:eastAsia="Times New Roman" w:hAnsi="Arial" w:cs="Times New Roman"/>
      <w:b/>
      <w:caps/>
      <w:kern w:val="1"/>
      <w:sz w:val="28"/>
      <w:szCs w:val="20"/>
      <w:lang w:val="es-ES" w:eastAsia="ar-SA"/>
    </w:rPr>
  </w:style>
  <w:style w:type="paragraph" w:styleId="Encabezado">
    <w:name w:val="header"/>
    <w:basedOn w:val="Normal"/>
    <w:link w:val="EncabezadoCar"/>
    <w:semiHidden/>
    <w:rsid w:val="00BE6E57"/>
    <w:pPr>
      <w:tabs>
        <w:tab w:val="center" w:pos="4252"/>
        <w:tab w:val="right" w:pos="8504"/>
      </w:tabs>
      <w:suppressAutoHyphens/>
    </w:pPr>
    <w:rPr>
      <w:lang w:eastAsia="ar-SA"/>
    </w:rPr>
  </w:style>
  <w:style w:type="character" w:customStyle="1" w:styleId="EncabezadoCar">
    <w:name w:val="Encabezado Car"/>
    <w:basedOn w:val="Fuentedeprrafopredeter"/>
    <w:link w:val="Encabezado"/>
    <w:semiHidden/>
    <w:rsid w:val="00BE6E57"/>
    <w:rPr>
      <w:rFonts w:ascii="Arial" w:eastAsia="Times New Roman" w:hAnsi="Arial" w:cs="Times New Roman"/>
      <w:sz w:val="24"/>
      <w:szCs w:val="24"/>
      <w:lang w:val="es-ES" w:eastAsia="ar-SA"/>
    </w:rPr>
  </w:style>
  <w:style w:type="paragraph" w:styleId="Prrafodelista">
    <w:name w:val="List Paragraph"/>
    <w:basedOn w:val="Normal"/>
    <w:uiPriority w:val="34"/>
    <w:qFormat/>
    <w:rsid w:val="00BE6E57"/>
    <w:pPr>
      <w:suppressAutoHyphens/>
      <w:ind w:left="720"/>
      <w:contextualSpacing/>
    </w:pPr>
    <w:rPr>
      <w:rFonts w:cs="Arial"/>
      <w:lang w:eastAsia="zh-CN"/>
    </w:rPr>
  </w:style>
  <w:style w:type="character" w:customStyle="1" w:styleId="Ttulo1Car">
    <w:name w:val="Título 1 Car"/>
    <w:basedOn w:val="Fuentedeprrafopredeter"/>
    <w:link w:val="Ttulo1"/>
    <w:rsid w:val="00BE6E57"/>
    <w:rPr>
      <w:rFonts w:ascii="Arial" w:eastAsia="Times New Roman" w:hAnsi="Arial" w:cs="Arial"/>
      <w:b/>
      <w:bCs/>
      <w:color w:val="000000"/>
      <w:sz w:val="24"/>
      <w:szCs w:val="24"/>
      <w:lang w:val="es-ES" w:eastAsia="es-ES"/>
    </w:rPr>
  </w:style>
  <w:style w:type="character" w:customStyle="1" w:styleId="Ttulo2Car">
    <w:name w:val="Título 2 Car"/>
    <w:basedOn w:val="Fuentedeprrafopredeter"/>
    <w:link w:val="Ttulo2"/>
    <w:uiPriority w:val="9"/>
    <w:rsid w:val="00BE6E57"/>
    <w:rPr>
      <w:rFonts w:ascii="Cambria" w:eastAsia="Times New Roman" w:hAnsi="Cambria" w:cs="Times New Roman"/>
      <w:b/>
      <w:bCs/>
      <w:color w:val="4F81BD"/>
      <w:sz w:val="26"/>
      <w:szCs w:val="26"/>
      <w:lang w:val="es-ES" w:eastAsia="es-ES"/>
    </w:rPr>
  </w:style>
  <w:style w:type="paragraph" w:styleId="Textoindependiente">
    <w:name w:val="Body Text"/>
    <w:basedOn w:val="Normal"/>
    <w:link w:val="TextoindependienteCar"/>
    <w:semiHidden/>
    <w:rsid w:val="00BE6E57"/>
    <w:pPr>
      <w:spacing w:line="360" w:lineRule="auto"/>
      <w:jc w:val="both"/>
    </w:pPr>
  </w:style>
  <w:style w:type="character" w:customStyle="1" w:styleId="TextoindependienteCar">
    <w:name w:val="Texto independiente Car"/>
    <w:basedOn w:val="Fuentedeprrafopredeter"/>
    <w:link w:val="Textoindependiente"/>
    <w:semiHidden/>
    <w:rsid w:val="00BE6E57"/>
    <w:rPr>
      <w:rFonts w:ascii="Arial" w:eastAsia="Times New Roman" w:hAnsi="Arial" w:cs="Times New Roman"/>
      <w:sz w:val="24"/>
      <w:szCs w:val="24"/>
      <w:lang w:val="es-ES" w:eastAsia="es-ES"/>
    </w:rPr>
  </w:style>
  <w:style w:type="paragraph" w:customStyle="1" w:styleId="Textoindependiente21">
    <w:name w:val="Texto independiente 21"/>
    <w:basedOn w:val="Normal"/>
    <w:rsid w:val="00BE6E57"/>
    <w:pPr>
      <w:suppressAutoHyphens/>
      <w:spacing w:line="360" w:lineRule="auto"/>
    </w:pPr>
    <w:rPr>
      <w:rFonts w:ascii="Bookman Old Style" w:hAnsi="Bookman Old Style"/>
      <w:kern w:val="1"/>
      <w:szCs w:val="20"/>
      <w:lang w:eastAsia="ar-SA"/>
    </w:rPr>
  </w:style>
  <w:style w:type="paragraph" w:styleId="Textodeglobo">
    <w:name w:val="Balloon Text"/>
    <w:basedOn w:val="Normal"/>
    <w:link w:val="TextodegloboCar"/>
    <w:uiPriority w:val="99"/>
    <w:semiHidden/>
    <w:unhideWhenUsed/>
    <w:rsid w:val="00C171BE"/>
    <w:rPr>
      <w:rFonts w:ascii="Tahoma" w:hAnsi="Tahoma" w:cs="Tahoma"/>
      <w:sz w:val="16"/>
      <w:szCs w:val="16"/>
    </w:rPr>
  </w:style>
  <w:style w:type="character" w:customStyle="1" w:styleId="TextodegloboCar">
    <w:name w:val="Texto de globo Car"/>
    <w:basedOn w:val="Fuentedeprrafopredeter"/>
    <w:link w:val="Textodeglobo"/>
    <w:uiPriority w:val="99"/>
    <w:semiHidden/>
    <w:rsid w:val="00C171BE"/>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24BB8"/>
    <w:rPr>
      <w:sz w:val="16"/>
      <w:szCs w:val="16"/>
    </w:rPr>
  </w:style>
  <w:style w:type="paragraph" w:styleId="Textocomentario">
    <w:name w:val="annotation text"/>
    <w:basedOn w:val="Normal"/>
    <w:link w:val="TextocomentarioCar"/>
    <w:uiPriority w:val="99"/>
    <w:semiHidden/>
    <w:unhideWhenUsed/>
    <w:rsid w:val="00824BB8"/>
    <w:rPr>
      <w:sz w:val="20"/>
      <w:szCs w:val="20"/>
    </w:rPr>
  </w:style>
  <w:style w:type="character" w:customStyle="1" w:styleId="TextocomentarioCar">
    <w:name w:val="Texto comentario Car"/>
    <w:basedOn w:val="Fuentedeprrafopredeter"/>
    <w:link w:val="Textocomentario"/>
    <w:uiPriority w:val="99"/>
    <w:semiHidden/>
    <w:rsid w:val="00824BB8"/>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24BB8"/>
    <w:rPr>
      <w:b/>
      <w:bCs/>
    </w:rPr>
  </w:style>
  <w:style w:type="character" w:customStyle="1" w:styleId="AsuntodelcomentarioCar">
    <w:name w:val="Asunto del comentario Car"/>
    <w:basedOn w:val="TextocomentarioCar"/>
    <w:link w:val="Asuntodelcomentario"/>
    <w:uiPriority w:val="99"/>
    <w:semiHidden/>
    <w:rsid w:val="00824BB8"/>
    <w:rPr>
      <w:rFonts w:ascii="Arial" w:eastAsia="Times New Roman" w:hAnsi="Arial"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E5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E6E57"/>
    <w:pPr>
      <w:keepNext/>
      <w:spacing w:line="360" w:lineRule="auto"/>
      <w:outlineLvl w:val="0"/>
    </w:pPr>
    <w:rPr>
      <w:rFonts w:cs="Arial"/>
      <w:b/>
      <w:bCs/>
      <w:color w:val="000000"/>
    </w:rPr>
  </w:style>
  <w:style w:type="paragraph" w:styleId="Ttulo2">
    <w:name w:val="heading 2"/>
    <w:basedOn w:val="Normal"/>
    <w:next w:val="Normal"/>
    <w:link w:val="Ttulo2Car"/>
    <w:uiPriority w:val="9"/>
    <w:unhideWhenUsed/>
    <w:qFormat/>
    <w:rsid w:val="00BE6E57"/>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BE6E57"/>
    <w:pPr>
      <w:suppressAutoHyphens/>
      <w:spacing w:line="360" w:lineRule="auto"/>
      <w:jc w:val="center"/>
    </w:pPr>
    <w:rPr>
      <w:b/>
      <w:caps/>
      <w:kern w:val="1"/>
      <w:sz w:val="28"/>
      <w:szCs w:val="20"/>
      <w:lang w:eastAsia="ar-SA"/>
    </w:rPr>
  </w:style>
  <w:style w:type="character" w:customStyle="1" w:styleId="TtuloCar">
    <w:name w:val="Título Car"/>
    <w:basedOn w:val="Fuentedeprrafopredeter"/>
    <w:link w:val="Ttulo"/>
    <w:rsid w:val="00BE6E57"/>
    <w:rPr>
      <w:rFonts w:ascii="Arial" w:eastAsia="Times New Roman" w:hAnsi="Arial" w:cs="Times New Roman"/>
      <w:b/>
      <w:caps/>
      <w:kern w:val="1"/>
      <w:sz w:val="28"/>
      <w:szCs w:val="20"/>
      <w:lang w:val="es-ES" w:eastAsia="ar-SA"/>
    </w:rPr>
  </w:style>
  <w:style w:type="paragraph" w:styleId="Encabezado">
    <w:name w:val="header"/>
    <w:basedOn w:val="Normal"/>
    <w:link w:val="EncabezadoCar"/>
    <w:semiHidden/>
    <w:rsid w:val="00BE6E57"/>
    <w:pPr>
      <w:tabs>
        <w:tab w:val="center" w:pos="4252"/>
        <w:tab w:val="right" w:pos="8504"/>
      </w:tabs>
      <w:suppressAutoHyphens/>
    </w:pPr>
    <w:rPr>
      <w:lang w:eastAsia="ar-SA"/>
    </w:rPr>
  </w:style>
  <w:style w:type="character" w:customStyle="1" w:styleId="EncabezadoCar">
    <w:name w:val="Encabezado Car"/>
    <w:basedOn w:val="Fuentedeprrafopredeter"/>
    <w:link w:val="Encabezado"/>
    <w:semiHidden/>
    <w:rsid w:val="00BE6E57"/>
    <w:rPr>
      <w:rFonts w:ascii="Arial" w:eastAsia="Times New Roman" w:hAnsi="Arial" w:cs="Times New Roman"/>
      <w:sz w:val="24"/>
      <w:szCs w:val="24"/>
      <w:lang w:val="es-ES" w:eastAsia="ar-SA"/>
    </w:rPr>
  </w:style>
  <w:style w:type="paragraph" w:styleId="Prrafodelista">
    <w:name w:val="List Paragraph"/>
    <w:basedOn w:val="Normal"/>
    <w:uiPriority w:val="34"/>
    <w:qFormat/>
    <w:rsid w:val="00BE6E57"/>
    <w:pPr>
      <w:suppressAutoHyphens/>
      <w:ind w:left="720"/>
      <w:contextualSpacing/>
    </w:pPr>
    <w:rPr>
      <w:rFonts w:cs="Arial"/>
      <w:lang w:eastAsia="zh-CN"/>
    </w:rPr>
  </w:style>
  <w:style w:type="character" w:customStyle="1" w:styleId="Ttulo1Car">
    <w:name w:val="Título 1 Car"/>
    <w:basedOn w:val="Fuentedeprrafopredeter"/>
    <w:link w:val="Ttulo1"/>
    <w:rsid w:val="00BE6E57"/>
    <w:rPr>
      <w:rFonts w:ascii="Arial" w:eastAsia="Times New Roman" w:hAnsi="Arial" w:cs="Arial"/>
      <w:b/>
      <w:bCs/>
      <w:color w:val="000000"/>
      <w:sz w:val="24"/>
      <w:szCs w:val="24"/>
      <w:lang w:val="es-ES" w:eastAsia="es-ES"/>
    </w:rPr>
  </w:style>
  <w:style w:type="character" w:customStyle="1" w:styleId="Ttulo2Car">
    <w:name w:val="Título 2 Car"/>
    <w:basedOn w:val="Fuentedeprrafopredeter"/>
    <w:link w:val="Ttulo2"/>
    <w:uiPriority w:val="9"/>
    <w:rsid w:val="00BE6E57"/>
    <w:rPr>
      <w:rFonts w:ascii="Cambria" w:eastAsia="Times New Roman" w:hAnsi="Cambria" w:cs="Times New Roman"/>
      <w:b/>
      <w:bCs/>
      <w:color w:val="4F81BD"/>
      <w:sz w:val="26"/>
      <w:szCs w:val="26"/>
      <w:lang w:val="es-ES" w:eastAsia="es-ES"/>
    </w:rPr>
  </w:style>
  <w:style w:type="paragraph" w:styleId="Textoindependiente">
    <w:name w:val="Body Text"/>
    <w:basedOn w:val="Normal"/>
    <w:link w:val="TextoindependienteCar"/>
    <w:semiHidden/>
    <w:rsid w:val="00BE6E57"/>
    <w:pPr>
      <w:spacing w:line="360" w:lineRule="auto"/>
      <w:jc w:val="both"/>
    </w:pPr>
  </w:style>
  <w:style w:type="character" w:customStyle="1" w:styleId="TextoindependienteCar">
    <w:name w:val="Texto independiente Car"/>
    <w:basedOn w:val="Fuentedeprrafopredeter"/>
    <w:link w:val="Textoindependiente"/>
    <w:semiHidden/>
    <w:rsid w:val="00BE6E57"/>
    <w:rPr>
      <w:rFonts w:ascii="Arial" w:eastAsia="Times New Roman" w:hAnsi="Arial" w:cs="Times New Roman"/>
      <w:sz w:val="24"/>
      <w:szCs w:val="24"/>
      <w:lang w:val="es-ES" w:eastAsia="es-ES"/>
    </w:rPr>
  </w:style>
  <w:style w:type="paragraph" w:customStyle="1" w:styleId="Textoindependiente21">
    <w:name w:val="Texto independiente 21"/>
    <w:basedOn w:val="Normal"/>
    <w:rsid w:val="00BE6E57"/>
    <w:pPr>
      <w:suppressAutoHyphens/>
      <w:spacing w:line="360" w:lineRule="auto"/>
    </w:pPr>
    <w:rPr>
      <w:rFonts w:ascii="Bookman Old Style" w:hAnsi="Bookman Old Style"/>
      <w:kern w:val="1"/>
      <w:szCs w:val="20"/>
      <w:lang w:eastAsia="ar-SA"/>
    </w:rPr>
  </w:style>
  <w:style w:type="paragraph" w:styleId="Textodeglobo">
    <w:name w:val="Balloon Text"/>
    <w:basedOn w:val="Normal"/>
    <w:link w:val="TextodegloboCar"/>
    <w:uiPriority w:val="99"/>
    <w:semiHidden/>
    <w:unhideWhenUsed/>
    <w:rsid w:val="00C171BE"/>
    <w:rPr>
      <w:rFonts w:ascii="Tahoma" w:hAnsi="Tahoma" w:cs="Tahoma"/>
      <w:sz w:val="16"/>
      <w:szCs w:val="16"/>
    </w:rPr>
  </w:style>
  <w:style w:type="character" w:customStyle="1" w:styleId="TextodegloboCar">
    <w:name w:val="Texto de globo Car"/>
    <w:basedOn w:val="Fuentedeprrafopredeter"/>
    <w:link w:val="Textodeglobo"/>
    <w:uiPriority w:val="99"/>
    <w:semiHidden/>
    <w:rsid w:val="00C171BE"/>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24BB8"/>
    <w:rPr>
      <w:sz w:val="16"/>
      <w:szCs w:val="16"/>
    </w:rPr>
  </w:style>
  <w:style w:type="paragraph" w:styleId="Textocomentario">
    <w:name w:val="annotation text"/>
    <w:basedOn w:val="Normal"/>
    <w:link w:val="TextocomentarioCar"/>
    <w:uiPriority w:val="99"/>
    <w:semiHidden/>
    <w:unhideWhenUsed/>
    <w:rsid w:val="00824BB8"/>
    <w:rPr>
      <w:sz w:val="20"/>
      <w:szCs w:val="20"/>
    </w:rPr>
  </w:style>
  <w:style w:type="character" w:customStyle="1" w:styleId="TextocomentarioCar">
    <w:name w:val="Texto comentario Car"/>
    <w:basedOn w:val="Fuentedeprrafopredeter"/>
    <w:link w:val="Textocomentario"/>
    <w:uiPriority w:val="99"/>
    <w:semiHidden/>
    <w:rsid w:val="00824BB8"/>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24BB8"/>
    <w:rPr>
      <w:b/>
      <w:bCs/>
    </w:rPr>
  </w:style>
  <w:style w:type="character" w:customStyle="1" w:styleId="AsuntodelcomentarioCar">
    <w:name w:val="Asunto del comentario Car"/>
    <w:basedOn w:val="TextocomentarioCar"/>
    <w:link w:val="Asuntodelcomentario"/>
    <w:uiPriority w:val="99"/>
    <w:semiHidden/>
    <w:rsid w:val="00824BB8"/>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E409B-A494-4798-9173-5DBD8BED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2186</Words>
  <Characters>12023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Patricio Young</dc:creator>
  <cp:lastModifiedBy>Tribunal1</cp:lastModifiedBy>
  <cp:revision>8</cp:revision>
  <cp:lastPrinted>2018-08-09T16:36:00Z</cp:lastPrinted>
  <dcterms:created xsi:type="dcterms:W3CDTF">2018-08-09T16:36:00Z</dcterms:created>
  <dcterms:modified xsi:type="dcterms:W3CDTF">2018-09-26T15:54:00Z</dcterms:modified>
</cp:coreProperties>
</file>