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212BE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AB652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1078</w:t>
      </w:r>
      <w:r w:rsidRPr="00212BE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E3282D" w:rsidRPr="00212BEE" w:rsidRDefault="00E3282D" w:rsidP="00E3282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E3282D" w:rsidRPr="00212BEE" w:rsidRDefault="00E3282D" w:rsidP="00E3282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21</w:t>
      </w:r>
      <w:r w:rsidRPr="00212BE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MARZO </w:t>
      </w:r>
      <w:r w:rsidRPr="00212BE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E3282D" w:rsidRPr="00212BE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3282D" w:rsidRPr="006C79A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</w:t>
      </w:r>
      <w:r w:rsidR="006C79AE"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7</w:t>
      </w:r>
      <w:r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-17-1-000</w:t>
      </w:r>
      <w:r w:rsidR="006C79AE"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1862</w:t>
      </w:r>
      <w:r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AB6527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.</w:t>
      </w:r>
      <w:r w:rsidRPr="006C79A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 N° </w:t>
      </w:r>
      <w:r w:rsidR="006C79A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1270</w:t>
      </w:r>
      <w:r w:rsidRPr="006C79A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/</w:t>
      </w:r>
      <w:r w:rsidR="006C79A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18</w:t>
      </w:r>
      <w:r w:rsidRPr="006C79AE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)</w:t>
      </w:r>
    </w:p>
    <w:p w:rsidR="00E3282D" w:rsidRPr="006C79AE" w:rsidRDefault="00E3282D" w:rsidP="00E328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E3282D" w:rsidRDefault="00E3282D" w:rsidP="00FC4A9F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</w:p>
    <w:p w:rsidR="00FC4A9F" w:rsidRPr="00FC4A9F" w:rsidRDefault="00FC4A9F" w:rsidP="00AB652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VISTO: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estos nuevos antecedentes remitidos por el Ministerio de Transporte y Obras Públicas, relativos a la renovación del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onvenio de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ooperación para el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d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esarrollo del Programa “Expropiaciones para obras viales y trabajos topográficos” suscrito el 11 de agosto de 1997, con el Ejército Nacional;</w:t>
      </w:r>
    </w:p>
    <w:p w:rsidR="00FC4A9F" w:rsidRPr="00FC4A9F" w:rsidRDefault="00FC4A9F" w:rsidP="00242F2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yellow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1)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el Convenio original comenzó a ejecutarse con fecha 11 de agosto de 1997, con plazo de un año, prorrogable automáticamente por períodos semestrales y ha sido renovado sucesivamente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habiéndose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sometido a la intervención preventiva de este Tribunal;</w:t>
      </w:r>
    </w:p>
    <w:p w:rsidR="00FC4A9F" w:rsidRPr="00FC4A9F" w:rsidRDefault="00FC4A9F" w:rsidP="00242F2D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2)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el Director General de Topografía 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por nota d</w:t>
      </w:r>
      <w:r w:rsidR="00242F2D">
        <w:rPr>
          <w:rFonts w:ascii="Arial" w:eastAsia="Times New Roman" w:hAnsi="Arial" w:cs="Arial"/>
          <w:sz w:val="24"/>
          <w:szCs w:val="24"/>
          <w:lang w:val="es-MX" w:eastAsia="es-ES"/>
        </w:rPr>
        <w:t>e fecha 14 de julio de 2017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solicito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pr</w:t>
      </w:r>
      <w:r w:rsidR="00A85C5A">
        <w:rPr>
          <w:rFonts w:ascii="Arial" w:eastAsia="Times New Roman" w:hAnsi="Arial" w:cs="Arial"/>
          <w:sz w:val="24"/>
          <w:szCs w:val="24"/>
          <w:lang w:val="es-MX" w:eastAsia="es-ES"/>
        </w:rPr>
        <w:t>ó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rroga del Convenio relacionado ut supra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por el período de 6 meses del 1o de agosto del 2017 al 31 de enero de 2018, al amparo de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lo establecido en la cláusula tercera del convenio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establece que el plazo de cooperación se prorrogará automáticamente, “previa imputación de la respectiva Contaduría Central e intervención del Tribunal de Cuentas de la República po</w:t>
      </w:r>
      <w:r w:rsidR="00106CC1">
        <w:rPr>
          <w:rFonts w:ascii="Arial" w:eastAsia="Times New Roman" w:hAnsi="Arial" w:cs="Arial"/>
          <w:sz w:val="24"/>
          <w:szCs w:val="24"/>
          <w:lang w:val="es-MX" w:eastAsia="es-ES"/>
        </w:rPr>
        <w:t>r períodos semestrales”;</w:t>
      </w:r>
    </w:p>
    <w:p w:rsidR="00FC4A9F" w:rsidRPr="00FC4A9F" w:rsidRDefault="00FC4A9F" w:rsidP="00242F2D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este Tribunal por Resolución N° 2574/17 de fecha 16 de agosto de 201</w:t>
      </w:r>
      <w:r w:rsidR="00F734BC">
        <w:rPr>
          <w:rFonts w:ascii="Arial" w:eastAsia="Times New Roman" w:hAnsi="Arial" w:cs="Arial"/>
          <w:sz w:val="24"/>
          <w:szCs w:val="24"/>
          <w:lang w:val="es-MX" w:eastAsia="es-ES"/>
        </w:rPr>
        <w:t>7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acordó cometer al Contador Auditor la intervención del gasto de hasta $ 117.315 correspondiente al período </w:t>
      </w:r>
      <w:r w:rsidR="00242F2D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         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agosto-diciembre de 2017, una vez dictada la resolución por el </w:t>
      </w:r>
      <w:r w:rsidR="00242F2D">
        <w:rPr>
          <w:rFonts w:ascii="Arial" w:eastAsia="Times New Roman" w:hAnsi="Arial" w:cs="Arial"/>
          <w:sz w:val="24"/>
          <w:szCs w:val="24"/>
          <w:lang w:val="es-MX" w:eastAsia="es-ES"/>
        </w:rPr>
        <w:t>O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rdenador competente;</w:t>
      </w:r>
    </w:p>
    <w:p w:rsidR="00FC4A9F" w:rsidRPr="00FC4A9F" w:rsidRDefault="00FC4A9F" w:rsidP="00334F7A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 xml:space="preserve">4)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que en esta oportunidad, se remite Documento de Afectación N° 04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>7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fecha 06.03.18, </w:t>
      </w:r>
      <w:r w:rsidR="00A0479C" w:rsidRPr="00FC4A9F">
        <w:rPr>
          <w:rFonts w:ascii="Arial" w:eastAsia="Times New Roman" w:hAnsi="Arial" w:cs="Arial"/>
          <w:sz w:val="24"/>
          <w:szCs w:val="24"/>
          <w:lang w:val="es-MX" w:eastAsia="es-ES"/>
        </w:rPr>
        <w:t>imputándo</w:t>
      </w:r>
      <w:r w:rsidR="00A0479C">
        <w:rPr>
          <w:rFonts w:ascii="Arial" w:eastAsia="Times New Roman" w:hAnsi="Arial" w:cs="Arial"/>
          <w:sz w:val="24"/>
          <w:szCs w:val="24"/>
          <w:lang w:val="es-MX" w:eastAsia="es-ES"/>
        </w:rPr>
        <w:t>se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el gasto por 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el período febrero a julio de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2018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 la suma de $ 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>1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5</w:t>
      </w:r>
      <w:r w:rsidR="00D22455">
        <w:rPr>
          <w:rFonts w:ascii="Arial" w:eastAsia="Times New Roman" w:hAnsi="Arial" w:cs="Arial"/>
          <w:sz w:val="24"/>
          <w:szCs w:val="24"/>
          <w:lang w:val="es-MX" w:eastAsia="es-ES"/>
        </w:rPr>
        <w:t>0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.000, con cargo al </w:t>
      </w:r>
      <w:proofErr w:type="spellStart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Progr</w:t>
      </w:r>
      <w:proofErr w:type="spellEnd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362, </w:t>
      </w:r>
      <w:proofErr w:type="spellStart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Proy</w:t>
      </w:r>
      <w:proofErr w:type="spellEnd"/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. 858, Objeto de gasto </w:t>
      </w:r>
      <w:r w:rsidR="00331FB1">
        <w:rPr>
          <w:rFonts w:ascii="Arial" w:eastAsia="Times New Roman" w:hAnsi="Arial" w:cs="Arial"/>
          <w:sz w:val="24"/>
          <w:szCs w:val="24"/>
          <w:lang w:val="es-MX" w:eastAsia="es-ES"/>
        </w:rPr>
        <w:t>282 “Profesionales y Técnicos”;</w:t>
      </w:r>
    </w:p>
    <w:p w:rsidR="00784917" w:rsidRDefault="00FC4A9F" w:rsidP="00334F7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>CONSIDERANDO:</w:t>
      </w:r>
      <w:r w:rsidRPr="00FC4A9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r w:rsidR="00CE128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presente prórroga se enmarca en el Convenio </w:t>
      </w:r>
      <w:r w:rsidR="00A5553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E1289">
        <w:rPr>
          <w:rFonts w:ascii="Arial" w:eastAsia="Times New Roman" w:hAnsi="Arial" w:cs="Arial"/>
          <w:sz w:val="24"/>
          <w:szCs w:val="24"/>
          <w:lang w:val="es-ES" w:eastAsia="es-ES"/>
        </w:rPr>
        <w:t>de Cooperación para el Desarrollo del Programa “Expropiaciones para obras viales y trabajos topográficos”;</w:t>
      </w:r>
    </w:p>
    <w:p w:rsidR="00FC4A9F" w:rsidRPr="00FC4A9F" w:rsidRDefault="00FC4A9F" w:rsidP="00334F7A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ATENTO: 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 lo precedentemente expuesto, y a lo previsto en el </w:t>
      </w:r>
      <w:r w:rsidR="00334F7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Artículo 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 xml:space="preserve">211 </w:t>
      </w:r>
      <w:r w:rsidR="00334F7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>it</w:t>
      </w:r>
      <w:r w:rsidR="00334F7A">
        <w:rPr>
          <w:rFonts w:ascii="Arial" w:eastAsia="Times New Roman" w:hAnsi="Arial" w:cs="Arial"/>
          <w:sz w:val="24"/>
          <w:szCs w:val="24"/>
          <w:lang w:eastAsia="es-ES"/>
        </w:rPr>
        <w:t>eral</w:t>
      </w:r>
      <w:r w:rsidRPr="00FC4A9F">
        <w:rPr>
          <w:rFonts w:ascii="Arial" w:eastAsia="Times New Roman" w:hAnsi="Arial" w:cs="Arial"/>
          <w:sz w:val="24"/>
          <w:szCs w:val="24"/>
          <w:lang w:eastAsia="es-ES"/>
        </w:rPr>
        <w:t xml:space="preserve"> B) de la Constitución de la República</w:t>
      </w:r>
      <w:r w:rsidRPr="00FC4A9F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5068F8" w:rsidRPr="00FC4A9F" w:rsidRDefault="005068F8" w:rsidP="005068F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FC4A9F">
        <w:rPr>
          <w:rFonts w:ascii="Arial" w:eastAsia="Times New Roman" w:hAnsi="Arial" w:cs="Arial"/>
          <w:b/>
          <w:sz w:val="24"/>
          <w:szCs w:val="20"/>
          <w:lang w:val="es-MX" w:eastAsia="es-ES"/>
        </w:rPr>
        <w:t>EL TRIBUNAL ACUERDA</w:t>
      </w:r>
    </w:p>
    <w:p w:rsidR="005068F8" w:rsidRPr="00784917" w:rsidRDefault="005068F8" w:rsidP="005068F8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E19D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Cuando el Ordenador competente disponga el gasto de $ 150.000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>cométese</w:t>
      </w:r>
      <w:proofErr w:type="spellEnd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Contador Auditor, la intervención del mismo, previa verificación </w:t>
      </w:r>
      <w:r w:rsidRPr="00784917">
        <w:rPr>
          <w:rFonts w:ascii="Arial" w:hAnsi="Arial" w:cs="Arial"/>
          <w:sz w:val="24"/>
          <w:szCs w:val="24"/>
        </w:rPr>
        <w:t>de su imputación con cargo a grupo adecuado con disponibilidad suficiente;</w:t>
      </w:r>
    </w:p>
    <w:p w:rsidR="005068F8" w:rsidRPr="00FC4A9F" w:rsidRDefault="005068F8" w:rsidP="005068F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E19D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2)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Comunicar al Contador;</w:t>
      </w:r>
    </w:p>
    <w:p w:rsidR="005068F8" w:rsidRDefault="005068F8" w:rsidP="005068F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E19D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FC4A9F">
        <w:rPr>
          <w:rFonts w:ascii="Arial" w:eastAsia="Times New Roman" w:hAnsi="Arial" w:cs="Times New Roman"/>
          <w:sz w:val="24"/>
          <w:szCs w:val="24"/>
          <w:lang w:val="es-ES" w:eastAsia="es-ES"/>
        </w:rPr>
        <w:t>Devolver las actuaciones.</w:t>
      </w:r>
    </w:p>
    <w:p w:rsidR="005068F8" w:rsidRPr="00FC4A9F" w:rsidRDefault="005068F8" w:rsidP="005068F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FC4A9F" w:rsidRPr="00FC4A9F" w:rsidRDefault="00FC4A9F" w:rsidP="00FC4A9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4F6533" w:rsidRPr="00106CC1" w:rsidRDefault="00B8251C" w:rsidP="00106CC1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MX" w:eastAsia="es-ES"/>
        </w:rPr>
        <w:t>ag</w:t>
      </w:r>
      <w:proofErr w:type="spellEnd"/>
      <w:proofErr w:type="gramEnd"/>
    </w:p>
    <w:sectPr w:rsidR="004F6533" w:rsidRPr="00106CC1" w:rsidSect="0059270B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9F"/>
    <w:rsid w:val="00106CC1"/>
    <w:rsid w:val="00242F2D"/>
    <w:rsid w:val="00330FF6"/>
    <w:rsid w:val="00331FB1"/>
    <w:rsid w:val="00334F7A"/>
    <w:rsid w:val="005068F8"/>
    <w:rsid w:val="0059270B"/>
    <w:rsid w:val="00627A0E"/>
    <w:rsid w:val="006C79AE"/>
    <w:rsid w:val="006F6578"/>
    <w:rsid w:val="00784917"/>
    <w:rsid w:val="008634B3"/>
    <w:rsid w:val="00950341"/>
    <w:rsid w:val="00A0479C"/>
    <w:rsid w:val="00A55530"/>
    <w:rsid w:val="00A85C5A"/>
    <w:rsid w:val="00AB6527"/>
    <w:rsid w:val="00B8251C"/>
    <w:rsid w:val="00CE1289"/>
    <w:rsid w:val="00CF2950"/>
    <w:rsid w:val="00D22455"/>
    <w:rsid w:val="00E3282D"/>
    <w:rsid w:val="00F734BC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19</cp:revision>
  <cp:lastPrinted>2018-04-02T16:46:00Z</cp:lastPrinted>
  <dcterms:created xsi:type="dcterms:W3CDTF">2018-04-02T14:33:00Z</dcterms:created>
  <dcterms:modified xsi:type="dcterms:W3CDTF">2018-09-25T20:45:00Z</dcterms:modified>
</cp:coreProperties>
</file>