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42D" w:rsidRPr="00786EEB" w:rsidRDefault="0083342D" w:rsidP="0083342D">
      <w:pPr>
        <w:tabs>
          <w:tab w:val="center" w:pos="4253"/>
        </w:tabs>
        <w:spacing w:line="360" w:lineRule="auto"/>
        <w:jc w:val="right"/>
        <w:rPr>
          <w:b/>
          <w:sz w:val="28"/>
          <w:szCs w:val="28"/>
          <w:lang w:val="es-ES_tradnl"/>
        </w:rPr>
      </w:pPr>
      <w:bookmarkStart w:id="0" w:name="_GoBack"/>
      <w:bookmarkEnd w:id="0"/>
      <w:r>
        <w:rPr>
          <w:b/>
          <w:sz w:val="28"/>
          <w:szCs w:val="28"/>
          <w:lang w:val="es-ES_tradnl"/>
        </w:rPr>
        <w:t>RES. 2460/18</w:t>
      </w:r>
    </w:p>
    <w:p w:rsidR="0083342D" w:rsidRDefault="0083342D" w:rsidP="0083342D">
      <w:pPr>
        <w:tabs>
          <w:tab w:val="center" w:pos="4253"/>
        </w:tabs>
        <w:spacing w:line="360" w:lineRule="auto"/>
        <w:jc w:val="right"/>
        <w:rPr>
          <w:b/>
          <w:lang w:val="es-ES_tradnl"/>
        </w:rPr>
      </w:pPr>
    </w:p>
    <w:p w:rsidR="0083342D" w:rsidRPr="00762B34" w:rsidRDefault="0083342D" w:rsidP="0083342D">
      <w:pPr>
        <w:tabs>
          <w:tab w:val="center" w:pos="4253"/>
        </w:tabs>
        <w:jc w:val="center"/>
        <w:rPr>
          <w:b/>
          <w:lang w:val="es-ES_tradnl"/>
        </w:rPr>
      </w:pPr>
      <w:r w:rsidRPr="00762B34">
        <w:rPr>
          <w:b/>
          <w:lang w:val="es-ES_tradnl"/>
        </w:rPr>
        <w:t>RESOLUCION ADOPTADA POR EL</w:t>
      </w:r>
    </w:p>
    <w:p w:rsidR="0083342D" w:rsidRPr="00762B34" w:rsidRDefault="0083342D" w:rsidP="0083342D">
      <w:pPr>
        <w:tabs>
          <w:tab w:val="left" w:pos="-720"/>
        </w:tabs>
        <w:jc w:val="center"/>
        <w:rPr>
          <w:b/>
          <w:lang w:val="es-ES_tradnl"/>
        </w:rPr>
      </w:pPr>
    </w:p>
    <w:p w:rsidR="0083342D" w:rsidRPr="00762B34" w:rsidRDefault="0083342D" w:rsidP="0083342D">
      <w:pPr>
        <w:tabs>
          <w:tab w:val="center" w:pos="4253"/>
        </w:tabs>
        <w:jc w:val="center"/>
        <w:rPr>
          <w:b/>
          <w:lang w:val="es-ES_tradnl"/>
        </w:rPr>
      </w:pPr>
      <w:r w:rsidRPr="00762B34">
        <w:rPr>
          <w:b/>
          <w:lang w:val="es-ES_tradnl"/>
        </w:rPr>
        <w:t>TRIBUNAL DE CUENTAS</w:t>
      </w:r>
    </w:p>
    <w:p w:rsidR="0083342D" w:rsidRPr="00762B34" w:rsidRDefault="0083342D" w:rsidP="0083342D">
      <w:pPr>
        <w:tabs>
          <w:tab w:val="left" w:pos="-720"/>
        </w:tabs>
        <w:jc w:val="center"/>
        <w:rPr>
          <w:b/>
          <w:lang w:val="es-ES_tradnl"/>
        </w:rPr>
      </w:pPr>
    </w:p>
    <w:p w:rsidR="0083342D" w:rsidRPr="00762B34" w:rsidRDefault="0083342D" w:rsidP="0083342D">
      <w:pPr>
        <w:tabs>
          <w:tab w:val="center" w:pos="4253"/>
        </w:tabs>
        <w:jc w:val="center"/>
        <w:rPr>
          <w:b/>
          <w:lang w:val="es-ES_tradnl"/>
        </w:rPr>
      </w:pPr>
      <w:r w:rsidRPr="00762B34">
        <w:rPr>
          <w:b/>
          <w:lang w:val="es-ES_tradnl"/>
        </w:rPr>
        <w:t xml:space="preserve">EN SESION DE FECHA </w:t>
      </w:r>
      <w:r>
        <w:rPr>
          <w:b/>
          <w:lang w:val="es-ES_tradnl"/>
        </w:rPr>
        <w:t xml:space="preserve">25 DE JULIO </w:t>
      </w:r>
      <w:r>
        <w:rPr>
          <w:rFonts w:ascii="Helvetica" w:hAnsi="Helvetica"/>
          <w:b/>
          <w:lang w:val="es-ES_tradnl"/>
        </w:rPr>
        <w:t>DE 2018</w:t>
      </w:r>
    </w:p>
    <w:p w:rsidR="0083342D" w:rsidRPr="00762B34" w:rsidRDefault="0083342D" w:rsidP="0083342D">
      <w:pPr>
        <w:tabs>
          <w:tab w:val="center" w:pos="4253"/>
        </w:tabs>
        <w:jc w:val="center"/>
        <w:rPr>
          <w:b/>
          <w:lang w:val="es-ES_tradnl"/>
        </w:rPr>
      </w:pPr>
    </w:p>
    <w:p w:rsidR="0083342D" w:rsidRPr="002C6F7C" w:rsidRDefault="0083342D" w:rsidP="0083342D">
      <w:pPr>
        <w:tabs>
          <w:tab w:val="center" w:pos="4253"/>
        </w:tabs>
        <w:jc w:val="center"/>
        <w:rPr>
          <w:b/>
          <w:lang w:val="es-UY"/>
        </w:rPr>
      </w:pPr>
      <w:r w:rsidRPr="002C6F7C">
        <w:rPr>
          <w:b/>
          <w:lang w:val="es-UY"/>
        </w:rPr>
        <w:t xml:space="preserve">(E. E. Nº 2018-17-1-0004059, </w:t>
      </w:r>
      <w:proofErr w:type="spellStart"/>
      <w:r w:rsidRPr="002C6F7C">
        <w:rPr>
          <w:b/>
          <w:lang w:val="es-UY"/>
        </w:rPr>
        <w:t>Ent</w:t>
      </w:r>
      <w:proofErr w:type="spellEnd"/>
      <w:r w:rsidRPr="002C6F7C">
        <w:rPr>
          <w:b/>
          <w:lang w:val="es-UY"/>
        </w:rPr>
        <w:t>. N° 3102/18)</w:t>
      </w:r>
    </w:p>
    <w:p w:rsidR="0083342D" w:rsidRPr="002C6F7C" w:rsidRDefault="0083342D" w:rsidP="0083342D">
      <w:pPr>
        <w:tabs>
          <w:tab w:val="center" w:pos="4253"/>
        </w:tabs>
        <w:spacing w:line="360" w:lineRule="auto"/>
        <w:jc w:val="center"/>
        <w:rPr>
          <w:b/>
          <w:lang w:val="es-UY"/>
        </w:rPr>
      </w:pPr>
    </w:p>
    <w:p w:rsidR="0083342D" w:rsidRDefault="0083342D" w:rsidP="0083342D">
      <w:pPr>
        <w:tabs>
          <w:tab w:val="center" w:pos="4253"/>
        </w:tabs>
        <w:spacing w:line="360" w:lineRule="auto"/>
        <w:ind w:firstLine="851"/>
        <w:jc w:val="center"/>
      </w:pPr>
      <w:r>
        <w:rPr>
          <w:b/>
        </w:rPr>
        <w:t>VISTO:</w:t>
      </w:r>
      <w:r>
        <w:t xml:space="preserve"> la Rendición de Cuentas y Balance de Ejecución Presupuestal de la Junta Departamental de Artigas correspondiente al Ejercicio 2017;</w:t>
      </w:r>
    </w:p>
    <w:p w:rsidR="0083342D" w:rsidRDefault="0083342D" w:rsidP="0083342D">
      <w:pPr>
        <w:tabs>
          <w:tab w:val="center" w:pos="4253"/>
        </w:tabs>
        <w:spacing w:line="360" w:lineRule="auto"/>
        <w:ind w:firstLine="851"/>
        <w:jc w:val="both"/>
      </w:pPr>
      <w:r>
        <w:rPr>
          <w:b/>
        </w:rPr>
        <w:t xml:space="preserve">RESULTANDO: </w:t>
      </w:r>
      <w:r>
        <w:t>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83342D" w:rsidRDefault="0083342D" w:rsidP="0083342D">
      <w:pPr>
        <w:tabs>
          <w:tab w:val="center" w:pos="4253"/>
        </w:tabs>
        <w:spacing w:line="360" w:lineRule="auto"/>
        <w:ind w:firstLine="851"/>
        <w:jc w:val="both"/>
      </w:pPr>
      <w:r>
        <w:rPr>
          <w:b/>
        </w:rPr>
        <w:t xml:space="preserve">CONSIDERANDO: </w:t>
      </w:r>
      <w:r>
        <w:t>que las conclusiones y evidencias obtenidas son las que se expresan en el Informe de Auditoría, que incluye Dictamen e Informe a la Administración;</w:t>
      </w:r>
    </w:p>
    <w:p w:rsidR="0083342D" w:rsidRDefault="0083342D" w:rsidP="0083342D">
      <w:pPr>
        <w:tabs>
          <w:tab w:val="center" w:pos="4253"/>
        </w:tabs>
        <w:spacing w:line="360" w:lineRule="auto"/>
        <w:ind w:firstLine="851"/>
        <w:jc w:val="both"/>
      </w:pPr>
      <w:r>
        <w:rPr>
          <w:b/>
        </w:rPr>
        <w:t xml:space="preserve">ATENTO: </w:t>
      </w:r>
      <w:r>
        <w:t>a lo dispuesto por el Artículo 211 Literal C) de la Constitución de la República;</w:t>
      </w:r>
    </w:p>
    <w:p w:rsidR="0083342D" w:rsidRDefault="0083342D" w:rsidP="0083342D">
      <w:pPr>
        <w:tabs>
          <w:tab w:val="center" w:pos="4253"/>
        </w:tabs>
        <w:spacing w:line="360" w:lineRule="auto"/>
        <w:ind w:firstLine="851"/>
        <w:jc w:val="center"/>
        <w:rPr>
          <w:b/>
          <w:bCs/>
        </w:rPr>
      </w:pPr>
      <w:r>
        <w:rPr>
          <w:b/>
          <w:bCs/>
        </w:rPr>
        <w:t>EL TRIBUNAL ACUERDA</w:t>
      </w:r>
    </w:p>
    <w:p w:rsidR="0083342D" w:rsidRDefault="0083342D" w:rsidP="0083342D">
      <w:pPr>
        <w:pStyle w:val="Prrafodelista"/>
        <w:numPr>
          <w:ilvl w:val="0"/>
          <w:numId w:val="2"/>
        </w:numPr>
        <w:tabs>
          <w:tab w:val="center" w:pos="4253"/>
        </w:tabs>
        <w:spacing w:line="360" w:lineRule="auto"/>
        <w:ind w:left="284" w:hanging="284"/>
        <w:jc w:val="both"/>
      </w:pPr>
      <w:r>
        <w:t>Expedirse en los términos del Informe de Auditoría que se adjunta;</w:t>
      </w:r>
    </w:p>
    <w:p w:rsidR="0083342D" w:rsidRDefault="0083342D" w:rsidP="0083342D">
      <w:pPr>
        <w:pStyle w:val="Prrafodelista"/>
        <w:numPr>
          <w:ilvl w:val="0"/>
          <w:numId w:val="2"/>
        </w:numPr>
        <w:tabs>
          <w:tab w:val="center" w:pos="4253"/>
        </w:tabs>
        <w:spacing w:line="360" w:lineRule="auto"/>
        <w:ind w:left="284" w:hanging="284"/>
        <w:jc w:val="both"/>
      </w:pPr>
      <w:r>
        <w:t>Comunicar la presente Resolución a la Intendencia de Artigas y al Contador Delegado en la Junta Departamental;</w:t>
      </w:r>
    </w:p>
    <w:p w:rsidR="0083342D" w:rsidRDefault="0083342D" w:rsidP="0083342D">
      <w:pPr>
        <w:pStyle w:val="Prrafodelista"/>
        <w:numPr>
          <w:ilvl w:val="0"/>
          <w:numId w:val="2"/>
        </w:numPr>
        <w:tabs>
          <w:tab w:val="center" w:pos="4253"/>
        </w:tabs>
        <w:spacing w:line="360" w:lineRule="auto"/>
        <w:ind w:left="284" w:hanging="284"/>
        <w:jc w:val="both"/>
      </w:pPr>
      <w:r w:rsidRPr="00CB780A">
        <w:t>Dar cuenta a la Asamblea General</w:t>
      </w:r>
      <w:r>
        <w:t>;</w:t>
      </w:r>
    </w:p>
    <w:p w:rsidR="0083342D" w:rsidRDefault="0083342D" w:rsidP="0083342D">
      <w:pPr>
        <w:pStyle w:val="Prrafodelista"/>
        <w:numPr>
          <w:ilvl w:val="0"/>
          <w:numId w:val="2"/>
        </w:numPr>
        <w:tabs>
          <w:tab w:val="center" w:pos="4253"/>
        </w:tabs>
        <w:spacing w:line="360" w:lineRule="auto"/>
        <w:ind w:left="284" w:hanging="284"/>
        <w:jc w:val="both"/>
      </w:pPr>
      <w:r>
        <w:t>Devolver los antecedentes a la Junta Departamental de Artigas.</w:t>
      </w:r>
    </w:p>
    <w:p w:rsidR="0083342D" w:rsidRDefault="0083342D" w:rsidP="0083342D">
      <w:pPr>
        <w:pStyle w:val="Prrafodelista"/>
        <w:tabs>
          <w:tab w:val="center" w:pos="4253"/>
        </w:tabs>
        <w:spacing w:line="360" w:lineRule="auto"/>
        <w:ind w:left="284"/>
        <w:jc w:val="both"/>
      </w:pPr>
    </w:p>
    <w:p w:rsidR="0083342D" w:rsidRDefault="0083342D" w:rsidP="0083342D">
      <w:pPr>
        <w:pStyle w:val="Prrafodelista"/>
        <w:tabs>
          <w:tab w:val="center" w:pos="4253"/>
        </w:tabs>
        <w:spacing w:line="360" w:lineRule="auto"/>
        <w:ind w:left="284" w:hanging="568"/>
        <w:jc w:val="both"/>
      </w:pPr>
      <w:proofErr w:type="gramStart"/>
      <w:r>
        <w:t>dc</w:t>
      </w:r>
      <w:proofErr w:type="gramEnd"/>
    </w:p>
    <w:p w:rsidR="00CE77F1" w:rsidRDefault="00CE77F1"/>
    <w:p w:rsidR="002C6F7C" w:rsidRDefault="002C6F7C" w:rsidP="00C52F14">
      <w:pPr>
        <w:spacing w:line="360" w:lineRule="auto"/>
        <w:jc w:val="center"/>
        <w:rPr>
          <w:b/>
        </w:rPr>
      </w:pPr>
      <w:r>
        <w:rPr>
          <w:b/>
        </w:rPr>
        <w:lastRenderedPageBreak/>
        <w:t>DICTAMEN</w:t>
      </w:r>
    </w:p>
    <w:p w:rsidR="00FC7111" w:rsidRDefault="00FC7111" w:rsidP="00C52F14">
      <w:pPr>
        <w:spacing w:line="360" w:lineRule="auto"/>
        <w:jc w:val="center"/>
      </w:pPr>
    </w:p>
    <w:p w:rsidR="002C6F7C" w:rsidRDefault="002C6F7C" w:rsidP="00C52F14">
      <w:pPr>
        <w:keepNext/>
        <w:widowControl w:val="0"/>
        <w:suppressAutoHyphens w:val="0"/>
        <w:spacing w:line="360" w:lineRule="auto"/>
        <w:jc w:val="both"/>
      </w:pPr>
    </w:p>
    <w:p w:rsidR="002C6F7C" w:rsidRPr="00BB2234" w:rsidRDefault="002C6F7C" w:rsidP="00C52F14">
      <w:pPr>
        <w:keepNext/>
        <w:widowControl w:val="0"/>
        <w:suppressAutoHyphens w:val="0"/>
        <w:spacing w:line="360" w:lineRule="auto"/>
        <w:jc w:val="both"/>
        <w:rPr>
          <w:b/>
        </w:rPr>
      </w:pPr>
      <w:r w:rsidRPr="00BB2234">
        <w:rPr>
          <w:b/>
        </w:rPr>
        <w:t>Opinión</w:t>
      </w:r>
      <w:r>
        <w:rPr>
          <w:b/>
        </w:rPr>
        <w:t xml:space="preserve"> sin salvedades</w:t>
      </w:r>
    </w:p>
    <w:p w:rsidR="002C6F7C" w:rsidRDefault="002C6F7C" w:rsidP="00C52F14">
      <w:pPr>
        <w:spacing w:line="360" w:lineRule="auto"/>
        <w:jc w:val="both"/>
      </w:pPr>
      <w:r w:rsidRPr="001C76CE">
        <w:t xml:space="preserve">El Tribunal de Cuentas ha auditado </w:t>
      </w:r>
      <w:r w:rsidRPr="00807111">
        <w:t xml:space="preserve">la </w:t>
      </w:r>
      <w:r w:rsidRPr="004C0AD5">
        <w:t xml:space="preserve">Rendición de Cuentas </w:t>
      </w:r>
      <w:r w:rsidRPr="001C76CE">
        <w:rPr>
          <w:i/>
        </w:rPr>
        <w:t>y</w:t>
      </w:r>
      <w:r w:rsidRPr="001C76CE">
        <w:t xml:space="preserve"> el Balance de Ejecución Presupuestal de</w:t>
      </w:r>
      <w:r>
        <w:t xml:space="preserve"> </w:t>
      </w:r>
      <w:r w:rsidRPr="001C76CE">
        <w:t>l</w:t>
      </w:r>
      <w:r>
        <w:t>a Junta Departamental de Artigas,</w:t>
      </w:r>
      <w:r w:rsidRPr="001C76CE">
        <w:t xml:space="preserve"> que comprende</w:t>
      </w:r>
      <w:r>
        <w:t xml:space="preserve"> los</w:t>
      </w:r>
      <w:r w:rsidRPr="001C76CE">
        <w:t xml:space="preserve"> </w:t>
      </w:r>
      <w:r w:rsidRPr="004C0AD5">
        <w:t>estados de ejecución presupuestal con relación a los créditos, de evolución de las obligaciones presupuestales impagas, de fondos indisponibles y otros estados complementarios,</w:t>
      </w:r>
      <w:r>
        <w:rPr>
          <w:b/>
        </w:rPr>
        <w:t xml:space="preserve"> </w:t>
      </w:r>
      <w:r>
        <w:t>por el E</w:t>
      </w:r>
      <w:r w:rsidRPr="001C76CE">
        <w:t xml:space="preserve">jercicio finalizado el </w:t>
      </w:r>
      <w:r>
        <w:t>31/12/2017.</w:t>
      </w:r>
    </w:p>
    <w:p w:rsidR="002C6F7C" w:rsidRPr="00807111" w:rsidRDefault="002C6F7C" w:rsidP="00C52F14">
      <w:pPr>
        <w:spacing w:line="360" w:lineRule="auto"/>
        <w:jc w:val="both"/>
        <w:rPr>
          <w:kern w:val="18"/>
          <w:szCs w:val="20"/>
          <w:lang w:val="es-ES_tradnl" w:eastAsia="es-ES"/>
        </w:rPr>
      </w:pPr>
      <w:r w:rsidRPr="00807111">
        <w:rPr>
          <w:kern w:val="18"/>
          <w:szCs w:val="20"/>
          <w:lang w:val="es-ES_tradnl" w:eastAsia="es-ES"/>
        </w:rPr>
        <w:t>En opinión del Tribunal de Cuentas, los estados mencionados presentan razonablemente, en todos sus aspectos significativos,</w:t>
      </w:r>
      <w:r>
        <w:rPr>
          <w:kern w:val="18"/>
          <w:szCs w:val="20"/>
          <w:lang w:val="es-ES_tradnl" w:eastAsia="es-ES"/>
        </w:rPr>
        <w:t xml:space="preserve"> la ejecución presupuestal del E</w:t>
      </w:r>
      <w:r w:rsidRPr="00807111">
        <w:rPr>
          <w:kern w:val="18"/>
          <w:szCs w:val="20"/>
          <w:lang w:val="es-ES_tradnl" w:eastAsia="es-ES"/>
        </w:rPr>
        <w:t xml:space="preserve">jercicio 2017, </w:t>
      </w:r>
      <w:r w:rsidRPr="0076759F">
        <w:t>la evolución de las obligaciones presupuestales impagas y de los fondos indisponibles</w:t>
      </w:r>
      <w:r>
        <w:rPr>
          <w:kern w:val="18"/>
          <w:szCs w:val="20"/>
          <w:lang w:val="es-ES_tradnl" w:eastAsia="es-ES"/>
        </w:rPr>
        <w:t xml:space="preserve"> </w:t>
      </w:r>
      <w:r w:rsidRPr="00807111">
        <w:rPr>
          <w:kern w:val="18"/>
          <w:szCs w:val="20"/>
          <w:lang w:val="es-ES_tradnl" w:eastAsia="es-ES"/>
        </w:rPr>
        <w:t>de acuerdo con las normas establecidas en el TOCAF y el instructivo vigente a la fecha de presentación de los mismos.</w:t>
      </w:r>
    </w:p>
    <w:p w:rsidR="002C6F7C" w:rsidRPr="00807111" w:rsidRDefault="002C6F7C" w:rsidP="00C52F14">
      <w:pPr>
        <w:spacing w:line="360" w:lineRule="auto"/>
        <w:jc w:val="both"/>
        <w:rPr>
          <w:b/>
          <w:highlight w:val="yellow"/>
          <w:lang w:val="es-ES_tradnl"/>
        </w:rPr>
      </w:pPr>
    </w:p>
    <w:p w:rsidR="002C6F7C" w:rsidRPr="001C76CE" w:rsidRDefault="002C6F7C" w:rsidP="00C52F14">
      <w:pPr>
        <w:spacing w:line="360" w:lineRule="auto"/>
        <w:jc w:val="both"/>
        <w:rPr>
          <w:b/>
        </w:rPr>
      </w:pPr>
      <w:r w:rsidRPr="001C76CE">
        <w:rPr>
          <w:b/>
        </w:rPr>
        <w:t>Opinión respecto al cumplimiento de la normativa legal aplicable</w:t>
      </w:r>
    </w:p>
    <w:p w:rsidR="002C6F7C" w:rsidRPr="00807111" w:rsidRDefault="002C6F7C" w:rsidP="00C52F14">
      <w:pPr>
        <w:spacing w:line="360" w:lineRule="auto"/>
        <w:jc w:val="both"/>
        <w:rPr>
          <w:kern w:val="18"/>
          <w:szCs w:val="20"/>
          <w:lang w:val="es-ES_tradnl" w:eastAsia="es-ES"/>
        </w:rPr>
      </w:pPr>
      <w:r w:rsidRPr="00807111">
        <w:rPr>
          <w:kern w:val="18"/>
          <w:szCs w:val="20"/>
          <w:lang w:val="es-ES_tradnl" w:eastAsia="es-ES"/>
        </w:rPr>
        <w:t xml:space="preserve">En el curso de la auditoría se han constatado </w:t>
      </w:r>
      <w:r w:rsidR="00B56834">
        <w:rPr>
          <w:kern w:val="18"/>
          <w:szCs w:val="20"/>
          <w:lang w:val="es-ES_tradnl" w:eastAsia="es-ES"/>
        </w:rPr>
        <w:t>los siguientes incumplimientos:</w:t>
      </w:r>
    </w:p>
    <w:p w:rsidR="002C6F7C" w:rsidRDefault="002C6F7C" w:rsidP="00C52F14">
      <w:pPr>
        <w:spacing w:line="360" w:lineRule="auto"/>
        <w:jc w:val="both"/>
        <w:rPr>
          <w:kern w:val="18"/>
          <w:szCs w:val="20"/>
          <w:lang w:val="es-ES_tradnl" w:eastAsia="es-ES"/>
        </w:rPr>
      </w:pPr>
      <w:r w:rsidRPr="00807111">
        <w:rPr>
          <w:kern w:val="18"/>
          <w:szCs w:val="20"/>
          <w:lang w:val="es-ES_tradnl" w:eastAsia="es-ES"/>
        </w:rPr>
        <w:t>Artículo 295 de la Constitución de la República, Artículo</w:t>
      </w:r>
      <w:r>
        <w:rPr>
          <w:kern w:val="18"/>
          <w:szCs w:val="20"/>
          <w:lang w:val="es-ES_tradnl" w:eastAsia="es-ES"/>
        </w:rPr>
        <w:t>s 46 N</w:t>
      </w:r>
      <w:r w:rsidRPr="00807111">
        <w:rPr>
          <w:kern w:val="18"/>
          <w:szCs w:val="20"/>
          <w:lang w:val="es-ES_tradnl" w:eastAsia="es-ES"/>
        </w:rPr>
        <w:t>umeral 3)</w:t>
      </w:r>
      <w:r>
        <w:rPr>
          <w:kern w:val="18"/>
          <w:szCs w:val="20"/>
          <w:lang w:val="es-ES_tradnl" w:eastAsia="es-ES"/>
        </w:rPr>
        <w:t xml:space="preserve">, </w:t>
      </w:r>
      <w:r w:rsidRPr="00807111">
        <w:rPr>
          <w:kern w:val="18"/>
          <w:szCs w:val="20"/>
          <w:lang w:val="es-ES_tradnl" w:eastAsia="es-ES"/>
        </w:rPr>
        <w:t>84</w:t>
      </w:r>
      <w:r>
        <w:rPr>
          <w:kern w:val="18"/>
          <w:szCs w:val="20"/>
          <w:lang w:val="es-ES_tradnl" w:eastAsia="es-ES"/>
        </w:rPr>
        <w:t>, 94 y</w:t>
      </w:r>
      <w:r w:rsidRPr="00807111">
        <w:rPr>
          <w:kern w:val="18"/>
          <w:szCs w:val="20"/>
          <w:lang w:val="es-ES_tradnl" w:eastAsia="es-ES"/>
        </w:rPr>
        <w:t xml:space="preserve"> 97 del TOCAF</w:t>
      </w:r>
      <w:r>
        <w:rPr>
          <w:kern w:val="18"/>
          <w:szCs w:val="20"/>
          <w:lang w:val="es-ES_tradnl" w:eastAsia="es-ES"/>
        </w:rPr>
        <w:t xml:space="preserve">, Artículo 23 de la Ordenanza Nº 64, Ordenanza Nº 89 y </w:t>
      </w:r>
      <w:r w:rsidRPr="00807111">
        <w:rPr>
          <w:kern w:val="18"/>
          <w:szCs w:val="20"/>
          <w:lang w:val="es-ES_tradnl" w:eastAsia="es-ES"/>
        </w:rPr>
        <w:t>Resolución</w:t>
      </w:r>
      <w:r>
        <w:rPr>
          <w:kern w:val="18"/>
          <w:szCs w:val="20"/>
          <w:lang w:val="es-ES_tradnl" w:eastAsia="es-ES"/>
        </w:rPr>
        <w:t xml:space="preserve"> </w:t>
      </w:r>
      <w:r w:rsidRPr="00807111">
        <w:rPr>
          <w:kern w:val="18"/>
          <w:szCs w:val="20"/>
          <w:lang w:val="es-ES_tradnl" w:eastAsia="es-ES"/>
        </w:rPr>
        <w:t>de 22/12/</w:t>
      </w:r>
      <w:r>
        <w:rPr>
          <w:kern w:val="18"/>
          <w:szCs w:val="20"/>
          <w:lang w:val="es-ES_tradnl" w:eastAsia="es-ES"/>
        </w:rPr>
        <w:t>20</w:t>
      </w:r>
      <w:r w:rsidRPr="00807111">
        <w:rPr>
          <w:kern w:val="18"/>
          <w:szCs w:val="20"/>
          <w:lang w:val="es-ES_tradnl" w:eastAsia="es-ES"/>
        </w:rPr>
        <w:t>10 del Tribunal de Cuentas</w:t>
      </w:r>
      <w:r>
        <w:rPr>
          <w:kern w:val="18"/>
          <w:szCs w:val="20"/>
          <w:lang w:val="es-ES_tradnl" w:eastAsia="es-ES"/>
        </w:rPr>
        <w:t>.</w:t>
      </w:r>
    </w:p>
    <w:p w:rsidR="002C6F7C" w:rsidRDefault="002C6F7C" w:rsidP="00C52F14">
      <w:pPr>
        <w:spacing w:line="360" w:lineRule="auto"/>
        <w:jc w:val="both"/>
        <w:rPr>
          <w:i/>
        </w:rPr>
      </w:pPr>
    </w:p>
    <w:p w:rsidR="002C6F7C" w:rsidRPr="001C76CE" w:rsidRDefault="002C6F7C" w:rsidP="00C52F14">
      <w:pPr>
        <w:spacing w:line="360" w:lineRule="auto"/>
        <w:jc w:val="both"/>
        <w:rPr>
          <w:b/>
        </w:rPr>
      </w:pPr>
      <w:r w:rsidRPr="001C76CE">
        <w:rPr>
          <w:b/>
        </w:rPr>
        <w:t xml:space="preserve">Bases para la Opinión </w:t>
      </w:r>
      <w:r w:rsidRPr="00BD5257">
        <w:rPr>
          <w:b/>
        </w:rPr>
        <w:t>sin salvedades</w:t>
      </w:r>
    </w:p>
    <w:p w:rsidR="002C6F7C" w:rsidRDefault="002C6F7C" w:rsidP="00C52F14">
      <w:pPr>
        <w:spacing w:line="360" w:lineRule="auto"/>
        <w:jc w:val="both"/>
      </w:pPr>
      <w:r w:rsidRPr="001C76CE">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w:t>
      </w:r>
      <w:r w:rsidRPr="001C76CE">
        <w:rPr>
          <w:i/>
        </w:rPr>
        <w:t>Responsabilidad del Tribunal de Cuentas por la auditoría de los estados</w:t>
      </w:r>
      <w:r w:rsidRPr="001C76CE">
        <w:t>. Este Tribunal</w:t>
      </w:r>
      <w:r w:rsidRPr="00BD5257">
        <w:t xml:space="preserve"> es independiente de la Junta Departamental de Artigas</w:t>
      </w:r>
      <w:r w:rsidRPr="001C76CE">
        <w:t xml:space="preserve"> y ha cumplido con las disposiciones de su Código de Ética, elaborado en concordancia con el Código de Ética de la INTOSAI. Se considera que la evidencia de auditoría obtenida es suficiente y adecuada para proporcionar una base razon</w:t>
      </w:r>
      <w:r w:rsidR="003B450D">
        <w:t>able para sustentar la opinión.</w:t>
      </w:r>
    </w:p>
    <w:p w:rsidR="00FC7111" w:rsidRDefault="00FC7111" w:rsidP="00C52F14">
      <w:pPr>
        <w:spacing w:line="360" w:lineRule="auto"/>
        <w:jc w:val="both"/>
      </w:pPr>
    </w:p>
    <w:p w:rsidR="002C6F7C" w:rsidRPr="001C76CE" w:rsidRDefault="002C6F7C" w:rsidP="00C52F14">
      <w:pPr>
        <w:spacing w:line="360" w:lineRule="auto"/>
        <w:jc w:val="both"/>
        <w:rPr>
          <w:b/>
        </w:rPr>
      </w:pPr>
      <w:r w:rsidRPr="001C76CE">
        <w:rPr>
          <w:b/>
        </w:rPr>
        <w:t>Responsabilidad de</w:t>
      </w:r>
      <w:r>
        <w:rPr>
          <w:b/>
        </w:rPr>
        <w:t xml:space="preserve"> </w:t>
      </w:r>
      <w:r w:rsidRPr="001C76CE">
        <w:rPr>
          <w:b/>
        </w:rPr>
        <w:t>l</w:t>
      </w:r>
      <w:r>
        <w:rPr>
          <w:b/>
        </w:rPr>
        <w:t>a Junta Departamental de Artigas</w:t>
      </w:r>
      <w:r w:rsidRPr="001C76CE">
        <w:rPr>
          <w:b/>
        </w:rPr>
        <w:t xml:space="preserve"> en rela</w:t>
      </w:r>
      <w:r>
        <w:rPr>
          <w:b/>
        </w:rPr>
        <w:t>ción con el documento de Rendición de Cuentas y Balance de ejecución presupuestal</w:t>
      </w:r>
    </w:p>
    <w:p w:rsidR="002C6F7C" w:rsidRPr="001C76CE" w:rsidRDefault="002C6F7C" w:rsidP="00C52F14">
      <w:pPr>
        <w:spacing w:line="360" w:lineRule="auto"/>
        <w:jc w:val="both"/>
      </w:pPr>
      <w:r w:rsidRPr="0072790A">
        <w:t>La Junta Departamental</w:t>
      </w:r>
      <w:r w:rsidRPr="001C76CE">
        <w:t xml:space="preserve"> de </w:t>
      </w:r>
      <w:r>
        <w:t>Artigas</w:t>
      </w:r>
      <w:r w:rsidRPr="001C76CE">
        <w:t xml:space="preserve"> es responsable por la preparación y presentación razonable </w:t>
      </w:r>
      <w:r w:rsidRPr="00AC5B7F">
        <w:t xml:space="preserve">de </w:t>
      </w:r>
      <w:r>
        <w:t xml:space="preserve">su </w:t>
      </w:r>
      <w:r w:rsidRPr="0076759F">
        <w:t xml:space="preserve">Rendición de Cuentas y Balance de Ejecución Presupuestal </w:t>
      </w:r>
      <w:r w:rsidRPr="001C76CE">
        <w:t xml:space="preserve">de acuerdo con </w:t>
      </w:r>
      <w:r>
        <w:t>el instructivo</w:t>
      </w:r>
      <w:r w:rsidRPr="00053204">
        <w:t xml:space="preserve"> </w:t>
      </w:r>
      <w:r>
        <w:t xml:space="preserve">del Tribunal de Cuentas vigente a la fecha de presentación de la misma, </w:t>
      </w:r>
      <w:r w:rsidRPr="001C76CE">
        <w:t xml:space="preserve">y del control interno que la </w:t>
      </w:r>
      <w:r>
        <w:t>A</w:t>
      </w:r>
      <w:r w:rsidRPr="001C76CE">
        <w:t xml:space="preserve">dministración de la </w:t>
      </w:r>
      <w:r>
        <w:t>Junta Departamental</w:t>
      </w:r>
      <w:r w:rsidRPr="001C76CE">
        <w:t xml:space="preserve"> consideró necesario para permitir la preparación de </w:t>
      </w:r>
      <w:r w:rsidRPr="009430B5">
        <w:t xml:space="preserve">Rendición de Cuentas y Balance de Ejecución </w:t>
      </w:r>
      <w:r>
        <w:t>Presupues</w:t>
      </w:r>
      <w:r w:rsidRPr="009430B5">
        <w:t>tal</w:t>
      </w:r>
      <w:r>
        <w:t xml:space="preserve"> </w:t>
      </w:r>
      <w:r w:rsidRPr="001C76CE">
        <w:t>libres de errores significativos ya sea debido a fraude o error.</w:t>
      </w:r>
    </w:p>
    <w:p w:rsidR="002C6F7C" w:rsidRPr="001C76CE" w:rsidRDefault="002C6F7C" w:rsidP="00C52F14">
      <w:pPr>
        <w:spacing w:line="360" w:lineRule="auto"/>
        <w:jc w:val="both"/>
        <w:rPr>
          <w:i/>
        </w:rPr>
      </w:pPr>
      <w:r>
        <w:t>L</w:t>
      </w:r>
      <w:r w:rsidRPr="00E434A5">
        <w:t>a Junta Departamental de Artigas es</w:t>
      </w:r>
      <w:r w:rsidRPr="001C76CE">
        <w:t xml:space="preserve"> responsable de supervisar </w:t>
      </w:r>
      <w:r>
        <w:t xml:space="preserve">el proceso de preparación de </w:t>
      </w:r>
      <w:r w:rsidRPr="00AC5B7F">
        <w:t>l</w:t>
      </w:r>
      <w:r>
        <w:t xml:space="preserve">a </w:t>
      </w:r>
      <w:r w:rsidRPr="0076759F">
        <w:t>Rendición de Cuentas y Balance de Ejecución Presupuestal</w:t>
      </w:r>
      <w:r>
        <w:t>.</w:t>
      </w:r>
    </w:p>
    <w:p w:rsidR="002C6F7C" w:rsidRPr="001C76CE" w:rsidRDefault="002C6F7C" w:rsidP="00C52F14">
      <w:pPr>
        <w:spacing w:line="360" w:lineRule="auto"/>
        <w:jc w:val="both"/>
        <w:rPr>
          <w:b/>
        </w:rPr>
      </w:pPr>
    </w:p>
    <w:p w:rsidR="002C6F7C" w:rsidRPr="001C76CE" w:rsidRDefault="002C6F7C" w:rsidP="00C52F14">
      <w:pPr>
        <w:spacing w:line="360" w:lineRule="auto"/>
        <w:jc w:val="both"/>
        <w:rPr>
          <w:b/>
        </w:rPr>
      </w:pPr>
      <w:r w:rsidRPr="001C76CE">
        <w:rPr>
          <w:b/>
        </w:rPr>
        <w:t>Responsabilidad del Tribunal de Cuentas por la auditoría de los estados financieros</w:t>
      </w:r>
    </w:p>
    <w:p w:rsidR="002C6F7C" w:rsidRPr="001C76CE" w:rsidRDefault="002C6F7C" w:rsidP="00C52F14">
      <w:pPr>
        <w:spacing w:line="360" w:lineRule="auto"/>
        <w:jc w:val="both"/>
      </w:pPr>
      <w:r w:rsidRPr="001C76CE">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2C6F7C" w:rsidRPr="001C76CE" w:rsidRDefault="002C6F7C" w:rsidP="00C52F14">
      <w:pPr>
        <w:spacing w:line="360" w:lineRule="auto"/>
        <w:jc w:val="both"/>
      </w:pPr>
      <w:r w:rsidRPr="001C76CE">
        <w:t xml:space="preserve">Como parte de una auditoría de acuerdo con las ISSAI referidas en la sección </w:t>
      </w:r>
      <w:r w:rsidRPr="001C76CE">
        <w:rPr>
          <w:i/>
        </w:rPr>
        <w:t>Bases para la Opinión</w:t>
      </w:r>
      <w:r w:rsidRPr="001C76CE">
        <w:t>, el Tribunal de Cuentas aplica su juicio profesional y mantiene el escepticismo profesional durante el proceso de auditoría. Asimismo:</w:t>
      </w:r>
    </w:p>
    <w:p w:rsidR="002C6F7C" w:rsidRPr="001C76CE" w:rsidRDefault="002C6F7C" w:rsidP="002C6F7C">
      <w:pPr>
        <w:numPr>
          <w:ilvl w:val="0"/>
          <w:numId w:val="3"/>
        </w:numPr>
        <w:suppressAutoHyphens w:val="0"/>
        <w:spacing w:line="360" w:lineRule="auto"/>
        <w:contextualSpacing/>
        <w:jc w:val="both"/>
      </w:pPr>
      <w:r w:rsidRPr="001C76CE">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w:t>
      </w:r>
      <w:r w:rsidR="00FC7111">
        <w:t>ientos de control interno.</w:t>
      </w:r>
    </w:p>
    <w:p w:rsidR="002C6F7C" w:rsidRPr="001C76CE" w:rsidRDefault="002C6F7C" w:rsidP="002C6F7C">
      <w:pPr>
        <w:numPr>
          <w:ilvl w:val="0"/>
          <w:numId w:val="3"/>
        </w:numPr>
        <w:suppressAutoHyphens w:val="0"/>
        <w:spacing w:line="360" w:lineRule="auto"/>
        <w:contextualSpacing/>
        <w:jc w:val="both"/>
      </w:pPr>
      <w:r w:rsidRPr="001C76CE">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2C6F7C" w:rsidRPr="001C76CE" w:rsidRDefault="002C6F7C" w:rsidP="002C6F7C">
      <w:pPr>
        <w:numPr>
          <w:ilvl w:val="0"/>
          <w:numId w:val="3"/>
        </w:numPr>
        <w:suppressAutoHyphens w:val="0"/>
        <w:spacing w:line="360" w:lineRule="auto"/>
        <w:contextualSpacing/>
        <w:jc w:val="both"/>
      </w:pPr>
      <w:r w:rsidRPr="001C76CE">
        <w:t>Evalúa la presentación general, la estructura y contenido de los estados, incluyendo las revelaciones y si los estados representan las transacciones y eventos subyacentes de un modo que se logre una representación fiel de los mismos.</w:t>
      </w:r>
    </w:p>
    <w:p w:rsidR="002C6F7C" w:rsidRPr="001C76CE" w:rsidRDefault="002C6F7C" w:rsidP="00C52F14">
      <w:pPr>
        <w:spacing w:line="360" w:lineRule="auto"/>
        <w:contextualSpacing/>
        <w:jc w:val="both"/>
      </w:pPr>
    </w:p>
    <w:p w:rsidR="002C6F7C" w:rsidRPr="001C76CE" w:rsidRDefault="002C6F7C" w:rsidP="00C52F14">
      <w:pPr>
        <w:spacing w:line="360" w:lineRule="auto"/>
        <w:contextualSpacing/>
        <w:jc w:val="both"/>
      </w:pPr>
      <w:r w:rsidRPr="001C76CE">
        <w:t>El Tribuna</w:t>
      </w:r>
      <w:r>
        <w:t xml:space="preserve">l de Cuentas se comunicó con </w:t>
      </w:r>
      <w:r w:rsidRPr="001C76CE">
        <w:t>la Junta Departamental</w:t>
      </w:r>
      <w:r w:rsidRPr="001C76CE">
        <w:rPr>
          <w:sz w:val="18"/>
          <w:szCs w:val="18"/>
        </w:rPr>
        <w:t>,</w:t>
      </w:r>
      <w:r w:rsidRPr="001C76CE">
        <w:t xml:space="preserve">  en relación, entre otros asuntos, al alcance y la oportunidad de los procedimientos de auditoría, los hallazgos significativos de </w:t>
      </w:r>
      <w:proofErr w:type="gramStart"/>
      <w:r w:rsidRPr="001C76CE">
        <w:t>auditoría incluid</w:t>
      </w:r>
      <w:r>
        <w:t>os</w:t>
      </w:r>
      <w:proofErr w:type="gramEnd"/>
      <w:r w:rsidRPr="001C76CE">
        <w:t xml:space="preserve">, y las deficiencias significativas en el control interno que se identificaron en </w:t>
      </w:r>
      <w:r w:rsidR="00FC7111">
        <w:t>el transcurso de la auditoría.</w:t>
      </w:r>
    </w:p>
    <w:p w:rsidR="002C6F7C" w:rsidRDefault="002C6F7C" w:rsidP="00C52F14">
      <w:pPr>
        <w:spacing w:line="360" w:lineRule="auto"/>
        <w:contextualSpacing/>
        <w:jc w:val="both"/>
      </w:pPr>
    </w:p>
    <w:p w:rsidR="00FC7111" w:rsidRPr="00FC7111" w:rsidRDefault="00FC7111" w:rsidP="00C52F14">
      <w:pPr>
        <w:spacing w:line="360" w:lineRule="auto"/>
        <w:contextualSpacing/>
        <w:jc w:val="both"/>
      </w:pPr>
    </w:p>
    <w:p w:rsidR="002C6F7C" w:rsidRPr="001C76CE" w:rsidRDefault="002C6F7C" w:rsidP="00C52F14">
      <w:pPr>
        <w:spacing w:line="360" w:lineRule="auto"/>
        <w:jc w:val="both"/>
        <w:rPr>
          <w:b/>
        </w:rPr>
      </w:pPr>
      <w:r w:rsidRPr="001C76CE">
        <w:rPr>
          <w:b/>
        </w:rPr>
        <w:t>Informe de cumplimiento de la normativa vigente</w:t>
      </w:r>
    </w:p>
    <w:p w:rsidR="002C6F7C" w:rsidRPr="001C76CE" w:rsidRDefault="002C6F7C" w:rsidP="00C52F14">
      <w:pPr>
        <w:spacing w:line="360" w:lineRule="auto"/>
        <w:jc w:val="both"/>
        <w:rPr>
          <w:sz w:val="18"/>
          <w:szCs w:val="18"/>
        </w:rPr>
      </w:pPr>
      <w:r w:rsidRPr="001C76CE">
        <w:t xml:space="preserve">Respecto a los incumplimientos mencionados en el párrafo </w:t>
      </w:r>
      <w:r w:rsidRPr="001C76CE">
        <w:rPr>
          <w:i/>
        </w:rPr>
        <w:t>Opinión respecto al cumplimiento de la normativa legal aplicable</w:t>
      </w:r>
      <w:r>
        <w:rPr>
          <w:i/>
        </w:rPr>
        <w:t>,</w:t>
      </w:r>
      <w:r w:rsidRPr="001C76CE">
        <w:rPr>
          <w:i/>
        </w:rPr>
        <w:t xml:space="preserve"> </w:t>
      </w:r>
      <w:r w:rsidRPr="001C76CE">
        <w:t>co</w:t>
      </w:r>
      <w:r w:rsidR="00FC7111">
        <w:t>rresponde señalar lo siguiente:</w:t>
      </w:r>
    </w:p>
    <w:p w:rsidR="002C6F7C" w:rsidRPr="00045E76" w:rsidRDefault="002C6F7C" w:rsidP="00C52F14">
      <w:pPr>
        <w:suppressAutoHyphens w:val="0"/>
        <w:spacing w:line="360" w:lineRule="auto"/>
        <w:jc w:val="both"/>
        <w:rPr>
          <w:lang w:eastAsia="es-ES"/>
        </w:rPr>
      </w:pPr>
      <w:bookmarkStart w:id="1" w:name="_Toc300668446"/>
      <w:r w:rsidRPr="009767F5">
        <w:rPr>
          <w:b/>
          <w:kern w:val="18"/>
          <w:lang w:val="es-ES_tradnl" w:eastAsia="es-ES"/>
        </w:rPr>
        <w:t>1</w:t>
      </w:r>
      <w:r>
        <w:rPr>
          <w:b/>
          <w:kern w:val="18"/>
          <w:lang w:val="es-ES_tradnl" w:eastAsia="es-ES"/>
        </w:rPr>
        <w:t xml:space="preserve"> </w:t>
      </w:r>
      <w:r w:rsidRPr="009767F5">
        <w:rPr>
          <w:b/>
          <w:kern w:val="18"/>
          <w:lang w:val="es-ES_tradnl" w:eastAsia="es-ES"/>
        </w:rPr>
        <w:t xml:space="preserve">- </w:t>
      </w:r>
      <w:r w:rsidRPr="009767F5">
        <w:rPr>
          <w:b/>
          <w:bCs/>
          <w:color w:val="000000"/>
        </w:rPr>
        <w:t>Artículo 295 de la Constitución de la República y Resolución del Tribunal de Cuentas de 22/12/10</w:t>
      </w:r>
      <w:r w:rsidRPr="009767F5">
        <w:rPr>
          <w:b/>
          <w:color w:val="000000"/>
        </w:rPr>
        <w:t>:</w:t>
      </w:r>
      <w:r w:rsidRPr="009767F5">
        <w:rPr>
          <w:color w:val="000000"/>
        </w:rPr>
        <w:t xml:space="preserve"> </w:t>
      </w:r>
      <w:bookmarkEnd w:id="1"/>
      <w:r>
        <w:rPr>
          <w:lang w:eastAsia="es-ES"/>
        </w:rPr>
        <w:t>En el E</w:t>
      </w:r>
      <w:r w:rsidRPr="00045E76">
        <w:rPr>
          <w:lang w:eastAsia="es-ES"/>
        </w:rPr>
        <w:t>jercicio 2017 se abonaron partidas a los Señores Ediles, en concepto de gastos de traslado, viáticos, teléfono, periódicos y libros, papelería y escritorio, al amparo de los Artículos 10, 11 y 12 de la Resolución N° 3.413 de la Junta Departamental (Presupuesto Quinquenal 2016-2020) y del Artículo 13 del Decreto Nº 2598 literal C) Presupuesto 2006-2010, y normas modificativas, que f</w:t>
      </w:r>
      <w:r>
        <w:rPr>
          <w:lang w:eastAsia="es-ES"/>
        </w:rPr>
        <w:t>ueron observados por este Tribunal</w:t>
      </w:r>
      <w:r w:rsidRPr="00045E76">
        <w:rPr>
          <w:lang w:eastAsia="es-ES"/>
        </w:rPr>
        <w:t xml:space="preserve"> en el dictamen correspondiente al Presupuesto Quinquenal 2016-2020. </w:t>
      </w:r>
      <w:r w:rsidRPr="00045E76">
        <w:rPr>
          <w:rFonts w:eastAsia="Calibri"/>
          <w:lang w:val="es-ES_tradnl" w:eastAsia="en-US"/>
        </w:rPr>
        <w:t xml:space="preserve">Asimismo, se abonaron gastos de representación al Sr. Presidente, los que también resultaron observados en el dictamen correspondiente al Presupuesto 2016-2020. </w:t>
      </w:r>
      <w:r w:rsidRPr="00045E76">
        <w:rPr>
          <w:lang w:eastAsia="es-ES"/>
        </w:rPr>
        <w:t>Las observaciones no fueron aceptadas por la Junta Departamental, disponiéndose el envío de los antecedentes a la Asamblea General (Artículo 225 de la Constitución de la República), la que no se expidió en el plazo establecido, por lo que aquellas quedaron vigentes.</w:t>
      </w:r>
      <w:r w:rsidRPr="00045E76">
        <w:rPr>
          <w:rFonts w:eastAsia="Calibri"/>
          <w:lang w:val="es-ES_tradnl" w:eastAsia="en-US"/>
        </w:rPr>
        <w:t xml:space="preserve"> </w:t>
      </w:r>
      <w:r w:rsidRPr="00045E76">
        <w:rPr>
          <w:lang w:eastAsia="es-ES"/>
        </w:rPr>
        <w:t xml:space="preserve">Los montos ejecutados de dichas partidas </w:t>
      </w:r>
      <w:r w:rsidRPr="00045E76">
        <w:rPr>
          <w:snapToGrid w:val="0"/>
          <w:lang w:eastAsia="es-ES"/>
        </w:rPr>
        <w:t>no se ajustaron a lo dispuesto en la Resolución de este Tribunal de fecha 22/12/10, contraviniendo lo preceptuado en el Artículo 295 de la Constitución de la República.</w:t>
      </w:r>
    </w:p>
    <w:p w:rsidR="002C6F7C" w:rsidRPr="009767F5" w:rsidRDefault="002C6F7C" w:rsidP="00C52F14">
      <w:pPr>
        <w:keepNext/>
        <w:widowControl w:val="0"/>
        <w:suppressAutoHyphens w:val="0"/>
        <w:spacing w:line="360" w:lineRule="auto"/>
        <w:jc w:val="both"/>
        <w:rPr>
          <w:rFonts w:eastAsia="Calibri"/>
          <w:b/>
          <w:lang w:val="es-ES_tradnl"/>
        </w:rPr>
      </w:pPr>
      <w:r>
        <w:rPr>
          <w:rFonts w:eastAsia="Calibri"/>
          <w:b/>
        </w:rPr>
        <w:t>2</w:t>
      </w:r>
      <w:r>
        <w:rPr>
          <w:rFonts w:eastAsia="Calibri"/>
          <w:b/>
          <w:lang w:val="es-ES_tradnl"/>
        </w:rPr>
        <w:t xml:space="preserve"> -  Artículo 46 N</w:t>
      </w:r>
      <w:r w:rsidRPr="009767F5">
        <w:rPr>
          <w:rFonts w:eastAsia="Calibri"/>
          <w:b/>
          <w:lang w:val="es-ES_tradnl"/>
        </w:rPr>
        <w:t xml:space="preserve">umeral 3) del TOCAF: </w:t>
      </w:r>
      <w:r w:rsidRPr="009767F5">
        <w:rPr>
          <w:rFonts w:eastAsia="Calibri"/>
          <w:lang w:val="es-ES_tradnl"/>
        </w:rPr>
        <w:t>La Junta Departamental contrató con proveedores que no se encontraban inscriptos en el Registro Único de Proveedores del Estado.</w:t>
      </w:r>
    </w:p>
    <w:p w:rsidR="002C6F7C" w:rsidRPr="00A14A01" w:rsidRDefault="002C6F7C" w:rsidP="00C52F14">
      <w:pPr>
        <w:suppressAutoHyphens w:val="0"/>
        <w:spacing w:line="360" w:lineRule="auto"/>
        <w:jc w:val="both"/>
        <w:rPr>
          <w:lang w:eastAsia="es-ES"/>
        </w:rPr>
      </w:pPr>
      <w:r>
        <w:rPr>
          <w:b/>
          <w:lang w:eastAsia="es-ES"/>
        </w:rPr>
        <w:t>3</w:t>
      </w:r>
      <w:r w:rsidRPr="009767F5">
        <w:rPr>
          <w:b/>
          <w:lang w:eastAsia="es-ES"/>
        </w:rPr>
        <w:t xml:space="preserve"> -  Artículos 84 y 97 del TOCAF: </w:t>
      </w:r>
      <w:r w:rsidRPr="00A14A01">
        <w:rPr>
          <w:rFonts w:eastAsia="Lucida Sans Unicode"/>
          <w:kern w:val="1"/>
          <w:lang w:val="es-UY" w:eastAsia="es-ES"/>
        </w:rPr>
        <w:t>Si bien la Junta Departamental dispone de un inventario de los bienes que integran su patrimonio, el mismo no se encuentra valuado.</w:t>
      </w:r>
    </w:p>
    <w:p w:rsidR="002C6F7C" w:rsidRDefault="002C6F7C" w:rsidP="00C52F14">
      <w:pPr>
        <w:keepNext/>
        <w:widowControl w:val="0"/>
        <w:suppressAutoHyphens w:val="0"/>
        <w:spacing w:line="360" w:lineRule="auto"/>
        <w:jc w:val="both"/>
        <w:rPr>
          <w:lang w:eastAsia="es-ES"/>
        </w:rPr>
      </w:pPr>
      <w:r>
        <w:rPr>
          <w:b/>
          <w:lang w:eastAsia="es-ES"/>
        </w:rPr>
        <w:t>4</w:t>
      </w:r>
      <w:r w:rsidRPr="009767F5">
        <w:rPr>
          <w:b/>
          <w:lang w:eastAsia="es-ES"/>
        </w:rPr>
        <w:t xml:space="preserve"> -  Artícul</w:t>
      </w:r>
      <w:r>
        <w:rPr>
          <w:b/>
          <w:lang w:eastAsia="es-ES"/>
        </w:rPr>
        <w:t>o 94 del TOCAF y Ordenanza Nº 89</w:t>
      </w:r>
      <w:r w:rsidRPr="009767F5">
        <w:rPr>
          <w:b/>
          <w:lang w:eastAsia="es-ES"/>
        </w:rPr>
        <w:t xml:space="preserve"> del Tribunal de Cuentas: </w:t>
      </w:r>
      <w:r w:rsidRPr="009767F5">
        <w:rPr>
          <w:lang w:eastAsia="es-ES"/>
        </w:rPr>
        <w:t>La Junta Departamental no dispone de un sistema de contabilidad patrimonial, que le permita cumplir con lo establecido por las mencionadas normas.</w:t>
      </w:r>
    </w:p>
    <w:p w:rsidR="002C6F7C" w:rsidRPr="00030B65" w:rsidRDefault="002C6F7C" w:rsidP="00C52F14">
      <w:pPr>
        <w:suppressAutoHyphens w:val="0"/>
        <w:spacing w:line="360" w:lineRule="auto"/>
        <w:jc w:val="both"/>
        <w:rPr>
          <w:b/>
          <w:lang w:eastAsia="es-ES"/>
        </w:rPr>
      </w:pPr>
      <w:r>
        <w:rPr>
          <w:b/>
          <w:lang w:eastAsia="es-ES"/>
        </w:rPr>
        <w:t xml:space="preserve">5- </w:t>
      </w:r>
      <w:r w:rsidRPr="00030B65">
        <w:rPr>
          <w:b/>
          <w:lang w:eastAsia="es-ES"/>
        </w:rPr>
        <w:t>Artículo 23 de la Ordenanz</w:t>
      </w:r>
      <w:r>
        <w:rPr>
          <w:b/>
          <w:lang w:eastAsia="es-ES"/>
        </w:rPr>
        <w:t xml:space="preserve">a N° 64 del Tribunal de Cuentas: </w:t>
      </w:r>
      <w:r w:rsidRPr="00030B65">
        <w:rPr>
          <w:lang w:eastAsia="es-ES"/>
        </w:rPr>
        <w:t xml:space="preserve">En la documentación, no consta la fecha de la intervención del gasto, no dándose cumplimiento con la totalidad de las exigencias contenidas en la </w:t>
      </w:r>
      <w:r>
        <w:rPr>
          <w:lang w:eastAsia="es-ES"/>
        </w:rPr>
        <w:t xml:space="preserve">citada </w:t>
      </w:r>
      <w:r w:rsidR="00FC7111">
        <w:rPr>
          <w:lang w:eastAsia="es-ES"/>
        </w:rPr>
        <w:t>norma.</w:t>
      </w:r>
    </w:p>
    <w:p w:rsidR="002C6F7C" w:rsidRDefault="002C6F7C" w:rsidP="00C52F14">
      <w:pPr>
        <w:keepNext/>
        <w:widowControl w:val="0"/>
        <w:suppressAutoHyphens w:val="0"/>
        <w:spacing w:line="360" w:lineRule="auto"/>
        <w:jc w:val="both"/>
        <w:rPr>
          <w:lang w:eastAsia="es-ES"/>
        </w:rPr>
      </w:pPr>
    </w:p>
    <w:p w:rsidR="002C6F7C" w:rsidRPr="009767F5" w:rsidRDefault="002C6F7C" w:rsidP="00C52F14">
      <w:pPr>
        <w:pStyle w:val="Textoindependiente"/>
        <w:keepNext/>
        <w:widowControl w:val="0"/>
        <w:suppressAutoHyphens w:val="0"/>
        <w:spacing w:line="360" w:lineRule="auto"/>
        <w:rPr>
          <w:b/>
          <w:bCs/>
        </w:rPr>
      </w:pPr>
      <w:r w:rsidRPr="009767F5">
        <w:rPr>
          <w:bCs/>
        </w:rPr>
        <w:t>Asimismo, durante e</w:t>
      </w:r>
      <w:r w:rsidRPr="009767F5">
        <w:t>l</w:t>
      </w:r>
      <w:r>
        <w:t xml:space="preserve"> E</w:t>
      </w:r>
      <w:r w:rsidRPr="009767F5">
        <w:t>jercicio 201</w:t>
      </w:r>
      <w:r>
        <w:t>7</w:t>
      </w:r>
      <w:r w:rsidRPr="009767F5">
        <w:t>, fueron observados y reite</w:t>
      </w:r>
      <w:r>
        <w:t>rados gastos por incumplimiento</w:t>
      </w:r>
      <w:r w:rsidRPr="009767F5">
        <w:t xml:space="preserve"> de los Artículos </w:t>
      </w:r>
      <w:r>
        <w:t>211</w:t>
      </w:r>
      <w:r w:rsidRPr="009767F5">
        <w:t xml:space="preserve"> y 273 de la </w:t>
      </w:r>
      <w:r w:rsidRPr="009767F5">
        <w:rPr>
          <w:snapToGrid w:val="0"/>
        </w:rPr>
        <w:t>Constitu</w:t>
      </w:r>
      <w:r>
        <w:rPr>
          <w:snapToGrid w:val="0"/>
        </w:rPr>
        <w:t>ción de la República, Artículo 15 del TOCAF</w:t>
      </w:r>
      <w:r w:rsidRPr="009767F5">
        <w:rPr>
          <w:snapToGrid w:val="0"/>
        </w:rPr>
        <w:t xml:space="preserve"> </w:t>
      </w:r>
      <w:r w:rsidRPr="009767F5">
        <w:t>y Ley 9.515.</w:t>
      </w:r>
    </w:p>
    <w:p w:rsidR="002C6F7C" w:rsidRDefault="002C6F7C" w:rsidP="00C52F14">
      <w:pPr>
        <w:keepNext/>
        <w:widowControl w:val="0"/>
        <w:suppressAutoHyphens w:val="0"/>
        <w:spacing w:line="360" w:lineRule="auto"/>
        <w:jc w:val="right"/>
      </w:pPr>
      <w:r>
        <w:t>Montevideo, 16</w:t>
      </w:r>
      <w:r w:rsidRPr="009767F5">
        <w:t xml:space="preserve"> de julio de 201</w:t>
      </w:r>
      <w:r w:rsidR="00FC7111">
        <w:t>8</w:t>
      </w:r>
    </w:p>
    <w:p w:rsidR="002C6F7C" w:rsidRPr="009767F5" w:rsidRDefault="002C6F7C" w:rsidP="00C52F14">
      <w:pPr>
        <w:pStyle w:val="Ttulo1"/>
        <w:keepNext/>
        <w:widowControl w:val="0"/>
        <w:rPr>
          <w:rFonts w:cs="Arial"/>
          <w:sz w:val="24"/>
        </w:rPr>
      </w:pPr>
    </w:p>
    <w:p w:rsidR="002C6F7C" w:rsidRDefault="002C6F7C" w:rsidP="00C52F14">
      <w:pPr>
        <w:pStyle w:val="Ttulo1"/>
        <w:keepNext/>
        <w:widowControl w:val="0"/>
        <w:rPr>
          <w:rFonts w:cs="Arial"/>
          <w:sz w:val="24"/>
        </w:rPr>
      </w:pPr>
    </w:p>
    <w:p w:rsidR="002C6F7C" w:rsidRDefault="002C6F7C" w:rsidP="00BC0C8E">
      <w:pPr>
        <w:rPr>
          <w:lang w:eastAsia="es-ES"/>
        </w:rPr>
      </w:pPr>
    </w:p>
    <w:p w:rsidR="002C6F7C" w:rsidRDefault="002C6F7C" w:rsidP="00BC0C8E">
      <w:pPr>
        <w:rPr>
          <w:lang w:eastAsia="es-ES"/>
        </w:rPr>
      </w:pPr>
    </w:p>
    <w:p w:rsidR="002C6F7C" w:rsidRDefault="002C6F7C" w:rsidP="00BC0C8E">
      <w:pPr>
        <w:rPr>
          <w:lang w:eastAsia="es-ES"/>
        </w:rPr>
      </w:pPr>
    </w:p>
    <w:p w:rsidR="002C6F7C" w:rsidRDefault="002C6F7C" w:rsidP="00BC0C8E">
      <w:pPr>
        <w:rPr>
          <w:lang w:eastAsia="es-ES"/>
        </w:rPr>
      </w:pPr>
    </w:p>
    <w:p w:rsidR="002C6F7C" w:rsidRPr="00BC0C8E" w:rsidRDefault="002C6F7C" w:rsidP="00BC0C8E">
      <w:pPr>
        <w:ind w:hanging="284"/>
        <w:rPr>
          <w:lang w:eastAsia="es-ES"/>
        </w:rPr>
      </w:pPr>
      <w:proofErr w:type="gramStart"/>
      <w:r>
        <w:rPr>
          <w:lang w:eastAsia="es-ES"/>
        </w:rPr>
        <w:t>dc</w:t>
      </w:r>
      <w:proofErr w:type="gramEnd"/>
    </w:p>
    <w:p w:rsidR="002C6F7C" w:rsidRDefault="002C6F7C" w:rsidP="00C52F14">
      <w:pPr>
        <w:rPr>
          <w:lang w:eastAsia="es-ES"/>
        </w:rPr>
      </w:pPr>
    </w:p>
    <w:p w:rsidR="002C6F7C" w:rsidRDefault="002C6F7C" w:rsidP="00C52F14">
      <w:pPr>
        <w:rPr>
          <w:lang w:eastAsia="es-ES"/>
        </w:rPr>
      </w:pPr>
    </w:p>
    <w:p w:rsidR="002C6F7C" w:rsidRDefault="002C6F7C"/>
    <w:p w:rsidR="002C6F7C" w:rsidRDefault="002C6F7C"/>
    <w:p w:rsidR="002C6F7C" w:rsidRDefault="002C6F7C"/>
    <w:p w:rsidR="002C6F7C" w:rsidRDefault="002C6F7C"/>
    <w:p w:rsidR="002C6F7C" w:rsidRDefault="002C6F7C"/>
    <w:p w:rsidR="002C6F7C" w:rsidRDefault="002C6F7C"/>
    <w:p w:rsidR="002C6F7C" w:rsidRDefault="002C6F7C"/>
    <w:p w:rsidR="002C6F7C" w:rsidRDefault="002C6F7C"/>
    <w:p w:rsidR="002C6F7C" w:rsidRDefault="002C6F7C"/>
    <w:p w:rsidR="002C6F7C" w:rsidRDefault="002C6F7C"/>
    <w:p w:rsidR="002C6F7C" w:rsidRDefault="002C6F7C"/>
    <w:p w:rsidR="002C6F7C" w:rsidRDefault="002C6F7C"/>
    <w:p w:rsidR="002C6F7C" w:rsidRDefault="002C6F7C"/>
    <w:p w:rsidR="002C6F7C" w:rsidRDefault="002C6F7C"/>
    <w:p w:rsidR="002C6F7C" w:rsidRDefault="002C6F7C"/>
    <w:p w:rsidR="002C6F7C" w:rsidRDefault="002C6F7C"/>
    <w:p w:rsidR="002C6F7C" w:rsidRDefault="002C6F7C" w:rsidP="00406A29">
      <w:pPr>
        <w:pStyle w:val="Ttulo1"/>
        <w:keepNext/>
        <w:widowControl w:val="0"/>
        <w:rPr>
          <w:rFonts w:cs="Arial"/>
          <w:sz w:val="24"/>
        </w:rPr>
      </w:pPr>
      <w:r w:rsidRPr="009767F5">
        <w:rPr>
          <w:rFonts w:cs="Arial"/>
          <w:sz w:val="24"/>
        </w:rPr>
        <w:t>INFORME A LA ADMINISTRACIÓN</w:t>
      </w:r>
    </w:p>
    <w:p w:rsidR="002C6F7C" w:rsidRDefault="002C6F7C" w:rsidP="00406A29">
      <w:pPr>
        <w:rPr>
          <w:lang w:eastAsia="es-ES"/>
        </w:rPr>
      </w:pPr>
    </w:p>
    <w:p w:rsidR="002C6F7C" w:rsidRPr="00E34EBA" w:rsidRDefault="002C6F7C" w:rsidP="00406A29">
      <w:pPr>
        <w:spacing w:line="360" w:lineRule="auto"/>
        <w:jc w:val="both"/>
        <w:rPr>
          <w:lang w:eastAsia="es-ES"/>
        </w:rPr>
      </w:pPr>
      <w:r w:rsidRPr="00E34EBA">
        <w:rPr>
          <w:lang w:eastAsia="es-ES"/>
        </w:rPr>
        <w:t xml:space="preserve">El Tribunal de Cuentas ha examinado </w:t>
      </w:r>
      <w:r w:rsidRPr="009767F5">
        <w:t xml:space="preserve">la Rendición de Cuentas y el Balance de Ejecución Presupuestal </w:t>
      </w:r>
      <w:r w:rsidRPr="00E34EBA">
        <w:rPr>
          <w:lang w:eastAsia="es-ES"/>
        </w:rPr>
        <w:t>de</w:t>
      </w:r>
      <w:r>
        <w:rPr>
          <w:lang w:eastAsia="es-ES"/>
        </w:rPr>
        <w:t xml:space="preserve"> </w:t>
      </w:r>
      <w:r w:rsidRPr="00E34EBA">
        <w:rPr>
          <w:lang w:eastAsia="es-ES"/>
        </w:rPr>
        <w:t>l</w:t>
      </w:r>
      <w:r>
        <w:rPr>
          <w:lang w:eastAsia="es-ES"/>
        </w:rPr>
        <w:t>a Junta Departamental de Artigas</w:t>
      </w:r>
      <w:r>
        <w:rPr>
          <w:spacing w:val="-12"/>
          <w:lang w:eastAsia="es-ES"/>
        </w:rPr>
        <w:t>, por el E</w:t>
      </w:r>
      <w:r w:rsidRPr="00E34EBA">
        <w:rPr>
          <w:spacing w:val="-12"/>
          <w:lang w:eastAsia="es-ES"/>
        </w:rPr>
        <w:t xml:space="preserve">jercicio finalizado el </w:t>
      </w:r>
      <w:r>
        <w:rPr>
          <w:spacing w:val="-12"/>
          <w:lang w:eastAsia="es-ES"/>
        </w:rPr>
        <w:t>31/12/2017</w:t>
      </w:r>
      <w:r w:rsidRPr="00E34EBA">
        <w:rPr>
          <w:spacing w:val="-12"/>
          <w:lang w:eastAsia="es-ES"/>
        </w:rPr>
        <w:t xml:space="preserve"> y ha emitido su</w:t>
      </w:r>
      <w:r w:rsidRPr="00E34EBA">
        <w:rPr>
          <w:lang w:eastAsia="es-ES"/>
        </w:rPr>
        <w:t xml:space="preserve"> Dictamen.</w:t>
      </w:r>
    </w:p>
    <w:p w:rsidR="002C6F7C" w:rsidRPr="00E34EBA" w:rsidRDefault="002C6F7C" w:rsidP="00406A29">
      <w:pPr>
        <w:spacing w:line="360" w:lineRule="auto"/>
        <w:jc w:val="both"/>
        <w:rPr>
          <w:lang w:eastAsia="es-ES"/>
        </w:rPr>
      </w:pPr>
      <w:r w:rsidRPr="00E34EBA">
        <w:rPr>
          <w:lang w:eastAsia="es-ES"/>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2C6F7C" w:rsidRDefault="002C6F7C" w:rsidP="00406A29">
      <w:pPr>
        <w:spacing w:line="360" w:lineRule="auto"/>
        <w:jc w:val="both"/>
        <w:rPr>
          <w:lang w:eastAsia="es-ES"/>
        </w:rPr>
      </w:pPr>
      <w:r w:rsidRPr="00E34EBA">
        <w:rPr>
          <w:lang w:eastAsia="es-ES"/>
        </w:rPr>
        <w:t xml:space="preserve">También se agregan las principales recomendaciones que </w:t>
      </w:r>
      <w:proofErr w:type="gramStart"/>
      <w:r w:rsidRPr="00E34EBA">
        <w:rPr>
          <w:lang w:eastAsia="es-ES"/>
        </w:rPr>
        <w:t>deberá</w:t>
      </w:r>
      <w:proofErr w:type="gramEnd"/>
      <w:r w:rsidRPr="00E34EBA">
        <w:rPr>
          <w:lang w:eastAsia="es-ES"/>
        </w:rPr>
        <w:t xml:space="preserve"> atender el Organismo y una evaluación del cumplimiento de las recomendaciones presentadas </w:t>
      </w:r>
      <w:r>
        <w:rPr>
          <w:lang w:eastAsia="es-ES"/>
        </w:rPr>
        <w:t>en el informe de auditoría del Ej</w:t>
      </w:r>
      <w:r w:rsidRPr="00E34EBA">
        <w:rPr>
          <w:lang w:eastAsia="es-ES"/>
        </w:rPr>
        <w:t>ercicio anterior.</w:t>
      </w:r>
    </w:p>
    <w:p w:rsidR="00B56834" w:rsidRPr="00E34EBA" w:rsidRDefault="00B56834" w:rsidP="00406A29">
      <w:pPr>
        <w:spacing w:line="360" w:lineRule="auto"/>
        <w:jc w:val="both"/>
        <w:rPr>
          <w:lang w:eastAsia="es-ES"/>
        </w:rPr>
      </w:pPr>
    </w:p>
    <w:p w:rsidR="002C6F7C" w:rsidRPr="00E34EBA" w:rsidRDefault="002C6F7C" w:rsidP="00406A29">
      <w:pPr>
        <w:spacing w:line="360" w:lineRule="auto"/>
        <w:jc w:val="both"/>
        <w:rPr>
          <w:b/>
          <w:lang w:eastAsia="es-ES"/>
        </w:rPr>
      </w:pPr>
      <w:r w:rsidRPr="00E34EBA">
        <w:rPr>
          <w:b/>
          <w:lang w:eastAsia="es-ES"/>
        </w:rPr>
        <w:t>Presentación de</w:t>
      </w:r>
      <w:r w:rsidR="00FC7111">
        <w:rPr>
          <w:b/>
          <w:lang w:eastAsia="es-ES"/>
        </w:rPr>
        <w:t xml:space="preserve"> los Estados</w:t>
      </w:r>
    </w:p>
    <w:p w:rsidR="002C6F7C" w:rsidRPr="009D673F" w:rsidRDefault="002C6F7C" w:rsidP="00406A29">
      <w:pPr>
        <w:suppressAutoHyphens w:val="0"/>
        <w:spacing w:line="360" w:lineRule="auto"/>
        <w:jc w:val="both"/>
        <w:rPr>
          <w:spacing w:val="-3"/>
          <w:kern w:val="18"/>
          <w:lang w:val="es-ES_tradnl" w:eastAsia="es-ES"/>
        </w:rPr>
      </w:pPr>
      <w:r w:rsidRPr="009D673F">
        <w:rPr>
          <w:kern w:val="18"/>
          <w:lang w:val="es-ES_tradnl" w:eastAsia="es-ES"/>
        </w:rPr>
        <w:t xml:space="preserve">La </w:t>
      </w:r>
      <w:r w:rsidRPr="009D673F">
        <w:rPr>
          <w:rFonts w:cs="Times New Roman"/>
          <w:kern w:val="18"/>
          <w:szCs w:val="20"/>
          <w:lang w:val="es-ES_tradnl" w:eastAsia="es-ES"/>
        </w:rPr>
        <w:t xml:space="preserve">Rendición de Cuentas y Balance de Ejecución Presupuestal de la Junta Departamental de </w:t>
      </w:r>
      <w:r>
        <w:rPr>
          <w:rFonts w:cs="Times New Roman"/>
          <w:kern w:val="18"/>
          <w:szCs w:val="20"/>
          <w:lang w:val="es-ES_tradnl" w:eastAsia="es-ES"/>
        </w:rPr>
        <w:t>Artigas correspondientes al E</w:t>
      </w:r>
      <w:r w:rsidRPr="009D673F">
        <w:rPr>
          <w:rFonts w:cs="Times New Roman"/>
          <w:kern w:val="18"/>
          <w:szCs w:val="20"/>
          <w:lang w:val="es-ES_tradnl" w:eastAsia="es-ES"/>
        </w:rPr>
        <w:t>jercicio finalizado el 31</w:t>
      </w:r>
      <w:r>
        <w:rPr>
          <w:rFonts w:cs="Times New Roman"/>
          <w:kern w:val="18"/>
          <w:szCs w:val="20"/>
          <w:lang w:val="es-ES_tradnl" w:eastAsia="es-ES"/>
        </w:rPr>
        <w:t>/</w:t>
      </w:r>
      <w:r w:rsidRPr="009D673F">
        <w:rPr>
          <w:rFonts w:cs="Times New Roman"/>
          <w:kern w:val="18"/>
          <w:szCs w:val="20"/>
          <w:lang w:val="es-ES_tradnl" w:eastAsia="es-ES"/>
        </w:rPr>
        <w:t>12</w:t>
      </w:r>
      <w:r>
        <w:rPr>
          <w:rFonts w:cs="Times New Roman"/>
          <w:kern w:val="18"/>
          <w:szCs w:val="20"/>
          <w:lang w:val="es-ES_tradnl" w:eastAsia="es-ES"/>
        </w:rPr>
        <w:t>/</w:t>
      </w:r>
      <w:r w:rsidRPr="009D673F">
        <w:rPr>
          <w:rFonts w:cs="Times New Roman"/>
          <w:kern w:val="18"/>
          <w:szCs w:val="20"/>
          <w:lang w:val="es-ES_tradnl" w:eastAsia="es-ES"/>
        </w:rPr>
        <w:t>2017</w:t>
      </w:r>
      <w:r w:rsidRPr="009D673F">
        <w:rPr>
          <w:bCs/>
          <w:kern w:val="18"/>
          <w:lang w:eastAsia="es-ES"/>
        </w:rPr>
        <w:t xml:space="preserve">, fueron remitidos </w:t>
      </w:r>
      <w:r w:rsidRPr="009D673F">
        <w:rPr>
          <w:spacing w:val="-3"/>
          <w:kern w:val="18"/>
          <w:lang w:val="es-ES_tradnl" w:eastAsia="es-ES"/>
        </w:rPr>
        <w:t>para su examen a este Tribunal</w:t>
      </w:r>
      <w:r>
        <w:rPr>
          <w:spacing w:val="-3"/>
          <w:kern w:val="18"/>
          <w:lang w:val="es-ES_tradnl" w:eastAsia="es-ES"/>
        </w:rPr>
        <w:t>,</w:t>
      </w:r>
      <w:r w:rsidRPr="009D673F">
        <w:rPr>
          <w:spacing w:val="-3"/>
          <w:kern w:val="18"/>
          <w:lang w:val="es-ES_tradnl" w:eastAsia="es-ES"/>
        </w:rPr>
        <w:t xml:space="preserve"> </w:t>
      </w:r>
      <w:r w:rsidRPr="009D673F">
        <w:rPr>
          <w:bCs/>
          <w:kern w:val="18"/>
          <w:lang w:eastAsia="es-ES"/>
        </w:rPr>
        <w:t>por Oficio</w:t>
      </w:r>
      <w:r>
        <w:rPr>
          <w:bCs/>
          <w:kern w:val="18"/>
          <w:lang w:eastAsia="es-ES"/>
        </w:rPr>
        <w:t xml:space="preserve"> Nº464/2018 del 08/06/2018 de acuerdo con lo dispuesto por la Resolución Nº3615 del 07/06/2018 de la Junta Departamental de Artigas.</w:t>
      </w:r>
    </w:p>
    <w:p w:rsidR="002C6F7C" w:rsidRDefault="002C6F7C" w:rsidP="00406A29">
      <w:pPr>
        <w:suppressAutoHyphens w:val="0"/>
        <w:spacing w:line="360" w:lineRule="auto"/>
        <w:jc w:val="both"/>
        <w:rPr>
          <w:spacing w:val="-3"/>
          <w:kern w:val="18"/>
          <w:lang w:val="es-ES_tradnl" w:eastAsia="es-ES"/>
        </w:rPr>
      </w:pPr>
      <w:r w:rsidRPr="009D673F">
        <w:rPr>
          <w:spacing w:val="-3"/>
          <w:kern w:val="18"/>
          <w:lang w:val="es-ES_tradnl" w:eastAsia="es-ES"/>
        </w:rPr>
        <w:t>Dichos e</w:t>
      </w:r>
      <w:r>
        <w:rPr>
          <w:spacing w:val="-3"/>
          <w:kern w:val="18"/>
          <w:lang w:val="es-ES_tradnl" w:eastAsia="es-ES"/>
        </w:rPr>
        <w:t>stados se presentan de acuerdo con el</w:t>
      </w:r>
      <w:r w:rsidRPr="009D673F">
        <w:rPr>
          <w:spacing w:val="-3"/>
          <w:kern w:val="18"/>
          <w:lang w:val="es-ES_tradnl" w:eastAsia="es-ES"/>
        </w:rPr>
        <w:t xml:space="preserve"> instructivo</w:t>
      </w:r>
      <w:r>
        <w:rPr>
          <w:spacing w:val="-3"/>
          <w:kern w:val="18"/>
          <w:lang w:val="es-ES_tradnl" w:eastAsia="es-ES"/>
        </w:rPr>
        <w:t xml:space="preserve"> del Tribunal de Cuentas</w:t>
      </w:r>
      <w:r w:rsidRPr="009D673F">
        <w:rPr>
          <w:spacing w:val="-3"/>
          <w:kern w:val="18"/>
          <w:lang w:val="es-ES_tradnl" w:eastAsia="es-ES"/>
        </w:rPr>
        <w:t xml:space="preserve"> vigente a la fecha de presentación de los estados mencionados.</w:t>
      </w:r>
    </w:p>
    <w:p w:rsidR="002C6F7C" w:rsidRPr="009767F5" w:rsidRDefault="002C6F7C" w:rsidP="00406A29">
      <w:pPr>
        <w:pStyle w:val="Textoindependiente"/>
        <w:keepNext/>
        <w:widowControl w:val="0"/>
        <w:suppressAutoHyphens w:val="0"/>
        <w:spacing w:line="360" w:lineRule="auto"/>
      </w:pPr>
      <w:r>
        <w:t>De acuerdo con</w:t>
      </w:r>
      <w:r w:rsidRPr="009767F5">
        <w:t xml:space="preserve"> los estados incluidos en la Rendición de Cuentas, se elaboró un resumen de la situación en materia de fondos de la Junta Departamental con relación a la Intendencia al 31/12/20</w:t>
      </w:r>
      <w:r>
        <w:t>17</w:t>
      </w:r>
      <w:r w:rsidRPr="009767F5">
        <w:t>, en pesos uruguayos:</w:t>
      </w:r>
    </w:p>
    <w:tbl>
      <w:tblPr>
        <w:tblW w:w="7406" w:type="dxa"/>
        <w:tblCellMar>
          <w:left w:w="70" w:type="dxa"/>
          <w:right w:w="70" w:type="dxa"/>
        </w:tblCellMar>
        <w:tblLook w:val="04A0" w:firstRow="1" w:lastRow="0" w:firstColumn="1" w:lastColumn="0" w:noHBand="0" w:noVBand="1"/>
      </w:tblPr>
      <w:tblGrid>
        <w:gridCol w:w="4360"/>
        <w:gridCol w:w="1780"/>
        <w:gridCol w:w="1266"/>
      </w:tblGrid>
      <w:tr w:rsidR="002C6F7C" w:rsidRPr="00156781" w:rsidTr="00B56834">
        <w:trPr>
          <w:trHeight w:val="300"/>
        </w:trPr>
        <w:tc>
          <w:tcPr>
            <w:tcW w:w="4360" w:type="dxa"/>
            <w:tcBorders>
              <w:top w:val="nil"/>
              <w:left w:val="nil"/>
              <w:bottom w:val="nil"/>
              <w:right w:val="nil"/>
            </w:tcBorders>
            <w:shd w:val="clear" w:color="auto" w:fill="auto"/>
            <w:noWrap/>
            <w:vAlign w:val="center"/>
            <w:hideMark/>
          </w:tcPr>
          <w:p w:rsidR="002C6F7C" w:rsidRPr="00156781" w:rsidRDefault="002C6F7C" w:rsidP="00254065">
            <w:pPr>
              <w:suppressAutoHyphens w:val="0"/>
              <w:rPr>
                <w:color w:val="000000"/>
                <w:sz w:val="22"/>
                <w:szCs w:val="22"/>
                <w:lang w:val="es-UY" w:eastAsia="es-UY"/>
              </w:rPr>
            </w:pPr>
            <w:r w:rsidRPr="00156781">
              <w:rPr>
                <w:color w:val="000000"/>
                <w:sz w:val="22"/>
                <w:szCs w:val="22"/>
                <w:lang w:eastAsia="es-UY"/>
              </w:rPr>
              <w:t xml:space="preserve">Disponibilidades  </w:t>
            </w:r>
          </w:p>
        </w:tc>
        <w:tc>
          <w:tcPr>
            <w:tcW w:w="1780" w:type="dxa"/>
            <w:tcBorders>
              <w:top w:val="nil"/>
              <w:left w:val="nil"/>
              <w:bottom w:val="nil"/>
              <w:right w:val="nil"/>
            </w:tcBorders>
            <w:shd w:val="clear" w:color="auto" w:fill="auto"/>
            <w:noWrap/>
            <w:vAlign w:val="bottom"/>
            <w:hideMark/>
          </w:tcPr>
          <w:p w:rsidR="002C6F7C" w:rsidRPr="00156781" w:rsidRDefault="002C6F7C" w:rsidP="00254065">
            <w:pPr>
              <w:suppressAutoHyphens w:val="0"/>
              <w:rPr>
                <w:color w:val="000000"/>
                <w:sz w:val="22"/>
                <w:szCs w:val="22"/>
                <w:lang w:val="es-UY" w:eastAsia="es-UY"/>
              </w:rPr>
            </w:pPr>
          </w:p>
        </w:tc>
        <w:tc>
          <w:tcPr>
            <w:tcW w:w="1266" w:type="dxa"/>
            <w:tcBorders>
              <w:top w:val="nil"/>
              <w:left w:val="nil"/>
              <w:bottom w:val="nil"/>
              <w:right w:val="nil"/>
            </w:tcBorders>
            <w:shd w:val="clear" w:color="auto" w:fill="auto"/>
            <w:noWrap/>
            <w:vAlign w:val="center"/>
            <w:hideMark/>
          </w:tcPr>
          <w:p w:rsidR="002C6F7C" w:rsidRPr="00156781" w:rsidRDefault="002C6F7C" w:rsidP="00254065">
            <w:pPr>
              <w:suppressAutoHyphens w:val="0"/>
              <w:jc w:val="right"/>
              <w:rPr>
                <w:color w:val="000000"/>
                <w:sz w:val="22"/>
                <w:szCs w:val="22"/>
                <w:lang w:val="es-UY" w:eastAsia="es-UY"/>
              </w:rPr>
            </w:pPr>
            <w:r w:rsidRPr="00156781">
              <w:rPr>
                <w:snapToGrid w:val="0"/>
                <w:color w:val="000000"/>
                <w:sz w:val="22"/>
                <w:szCs w:val="22"/>
                <w:lang w:eastAsia="es-UY"/>
              </w:rPr>
              <w:t xml:space="preserve">966.426 </w:t>
            </w:r>
          </w:p>
        </w:tc>
      </w:tr>
      <w:tr w:rsidR="002C6F7C" w:rsidRPr="00156781" w:rsidTr="00B56834">
        <w:trPr>
          <w:trHeight w:val="300"/>
        </w:trPr>
        <w:tc>
          <w:tcPr>
            <w:tcW w:w="4360" w:type="dxa"/>
            <w:tcBorders>
              <w:top w:val="nil"/>
              <w:left w:val="nil"/>
              <w:bottom w:val="nil"/>
              <w:right w:val="nil"/>
            </w:tcBorders>
            <w:shd w:val="clear" w:color="auto" w:fill="auto"/>
            <w:noWrap/>
            <w:vAlign w:val="center"/>
            <w:hideMark/>
          </w:tcPr>
          <w:p w:rsidR="002C6F7C" w:rsidRPr="00156781" w:rsidRDefault="002C6F7C" w:rsidP="00254065">
            <w:pPr>
              <w:suppressAutoHyphens w:val="0"/>
              <w:jc w:val="right"/>
              <w:rPr>
                <w:color w:val="000000"/>
                <w:sz w:val="22"/>
                <w:szCs w:val="22"/>
                <w:lang w:val="es-UY" w:eastAsia="es-UY"/>
              </w:rPr>
            </w:pPr>
          </w:p>
        </w:tc>
        <w:tc>
          <w:tcPr>
            <w:tcW w:w="1780" w:type="dxa"/>
            <w:tcBorders>
              <w:top w:val="nil"/>
              <w:left w:val="nil"/>
              <w:bottom w:val="nil"/>
              <w:right w:val="nil"/>
            </w:tcBorders>
            <w:shd w:val="clear" w:color="auto" w:fill="auto"/>
            <w:noWrap/>
            <w:vAlign w:val="center"/>
            <w:hideMark/>
          </w:tcPr>
          <w:p w:rsidR="002C6F7C" w:rsidRPr="00156781" w:rsidRDefault="002C6F7C" w:rsidP="00254065">
            <w:pPr>
              <w:suppressAutoHyphens w:val="0"/>
              <w:jc w:val="right"/>
              <w:rPr>
                <w:color w:val="000000"/>
                <w:sz w:val="22"/>
                <w:szCs w:val="22"/>
                <w:lang w:val="es-UY" w:eastAsia="es-UY"/>
              </w:rPr>
            </w:pPr>
            <w:r w:rsidRPr="00156781">
              <w:rPr>
                <w:color w:val="000000"/>
                <w:sz w:val="22"/>
                <w:szCs w:val="22"/>
                <w:lang w:eastAsia="es-UY"/>
              </w:rPr>
              <w:t xml:space="preserve">                     </w:t>
            </w:r>
          </w:p>
        </w:tc>
        <w:tc>
          <w:tcPr>
            <w:tcW w:w="1266" w:type="dxa"/>
            <w:tcBorders>
              <w:top w:val="nil"/>
              <w:left w:val="nil"/>
              <w:bottom w:val="nil"/>
              <w:right w:val="nil"/>
            </w:tcBorders>
            <w:shd w:val="clear" w:color="auto" w:fill="auto"/>
            <w:noWrap/>
            <w:vAlign w:val="bottom"/>
            <w:hideMark/>
          </w:tcPr>
          <w:p w:rsidR="002C6F7C" w:rsidRPr="00156781" w:rsidRDefault="002C6F7C" w:rsidP="00254065">
            <w:pPr>
              <w:suppressAutoHyphens w:val="0"/>
              <w:jc w:val="right"/>
              <w:rPr>
                <w:color w:val="000000"/>
                <w:sz w:val="22"/>
                <w:szCs w:val="22"/>
                <w:lang w:val="es-UY" w:eastAsia="es-UY"/>
              </w:rPr>
            </w:pPr>
          </w:p>
        </w:tc>
      </w:tr>
      <w:tr w:rsidR="002C6F7C" w:rsidRPr="00156781" w:rsidTr="00B56834">
        <w:trPr>
          <w:trHeight w:val="300"/>
        </w:trPr>
        <w:tc>
          <w:tcPr>
            <w:tcW w:w="4360" w:type="dxa"/>
            <w:tcBorders>
              <w:top w:val="nil"/>
              <w:left w:val="nil"/>
              <w:bottom w:val="nil"/>
              <w:right w:val="nil"/>
            </w:tcBorders>
            <w:shd w:val="clear" w:color="auto" w:fill="auto"/>
            <w:noWrap/>
            <w:vAlign w:val="center"/>
            <w:hideMark/>
          </w:tcPr>
          <w:p w:rsidR="002C6F7C" w:rsidRPr="00156781" w:rsidRDefault="002C6F7C" w:rsidP="00254065">
            <w:pPr>
              <w:suppressAutoHyphens w:val="0"/>
              <w:rPr>
                <w:color w:val="000000"/>
                <w:sz w:val="22"/>
                <w:szCs w:val="22"/>
                <w:lang w:val="es-UY" w:eastAsia="es-UY"/>
              </w:rPr>
            </w:pPr>
            <w:r w:rsidRPr="00156781">
              <w:rPr>
                <w:color w:val="000000"/>
                <w:sz w:val="22"/>
                <w:szCs w:val="22"/>
                <w:lang w:eastAsia="es-UY"/>
              </w:rPr>
              <w:t>Menos:</w:t>
            </w:r>
          </w:p>
        </w:tc>
        <w:tc>
          <w:tcPr>
            <w:tcW w:w="1780" w:type="dxa"/>
            <w:tcBorders>
              <w:top w:val="nil"/>
              <w:left w:val="nil"/>
              <w:bottom w:val="nil"/>
              <w:right w:val="nil"/>
            </w:tcBorders>
            <w:shd w:val="clear" w:color="auto" w:fill="auto"/>
            <w:noWrap/>
            <w:vAlign w:val="center"/>
            <w:hideMark/>
          </w:tcPr>
          <w:p w:rsidR="002C6F7C" w:rsidRPr="00156781" w:rsidRDefault="002C6F7C" w:rsidP="00254065">
            <w:pPr>
              <w:suppressAutoHyphens w:val="0"/>
              <w:rPr>
                <w:color w:val="000000"/>
                <w:sz w:val="22"/>
                <w:szCs w:val="22"/>
                <w:lang w:val="es-UY" w:eastAsia="es-UY"/>
              </w:rPr>
            </w:pPr>
          </w:p>
        </w:tc>
        <w:tc>
          <w:tcPr>
            <w:tcW w:w="1266" w:type="dxa"/>
            <w:tcBorders>
              <w:top w:val="nil"/>
              <w:left w:val="nil"/>
              <w:bottom w:val="nil"/>
              <w:right w:val="nil"/>
            </w:tcBorders>
            <w:shd w:val="clear" w:color="auto" w:fill="auto"/>
            <w:noWrap/>
            <w:vAlign w:val="bottom"/>
            <w:hideMark/>
          </w:tcPr>
          <w:p w:rsidR="002C6F7C" w:rsidRPr="00156781" w:rsidRDefault="002C6F7C" w:rsidP="00254065">
            <w:pPr>
              <w:suppressAutoHyphens w:val="0"/>
              <w:jc w:val="right"/>
              <w:rPr>
                <w:rFonts w:ascii="Times New Roman" w:hAnsi="Times New Roman" w:cs="Times New Roman"/>
                <w:sz w:val="20"/>
                <w:szCs w:val="20"/>
                <w:lang w:val="es-UY" w:eastAsia="es-UY"/>
              </w:rPr>
            </w:pPr>
          </w:p>
        </w:tc>
      </w:tr>
      <w:tr w:rsidR="002C6F7C" w:rsidRPr="00156781" w:rsidTr="00B56834">
        <w:trPr>
          <w:trHeight w:val="300"/>
        </w:trPr>
        <w:tc>
          <w:tcPr>
            <w:tcW w:w="4360" w:type="dxa"/>
            <w:tcBorders>
              <w:top w:val="nil"/>
              <w:left w:val="nil"/>
              <w:bottom w:val="nil"/>
              <w:right w:val="nil"/>
            </w:tcBorders>
            <w:shd w:val="clear" w:color="auto" w:fill="auto"/>
            <w:noWrap/>
            <w:vAlign w:val="center"/>
            <w:hideMark/>
          </w:tcPr>
          <w:p w:rsidR="002C6F7C" w:rsidRPr="00156781" w:rsidRDefault="002C6F7C" w:rsidP="00254065">
            <w:pPr>
              <w:suppressAutoHyphens w:val="0"/>
              <w:rPr>
                <w:color w:val="000000"/>
                <w:sz w:val="22"/>
                <w:szCs w:val="22"/>
                <w:lang w:val="es-UY" w:eastAsia="es-UY"/>
              </w:rPr>
            </w:pPr>
            <w:r w:rsidRPr="00156781">
              <w:rPr>
                <w:color w:val="000000"/>
                <w:sz w:val="22"/>
                <w:szCs w:val="22"/>
                <w:lang w:eastAsia="es-UY"/>
              </w:rPr>
              <w:t>Obligaciones Presupuestales Impagas</w:t>
            </w:r>
          </w:p>
        </w:tc>
        <w:tc>
          <w:tcPr>
            <w:tcW w:w="1780" w:type="dxa"/>
            <w:tcBorders>
              <w:top w:val="nil"/>
              <w:left w:val="nil"/>
              <w:bottom w:val="nil"/>
              <w:right w:val="nil"/>
            </w:tcBorders>
            <w:shd w:val="clear" w:color="auto" w:fill="auto"/>
            <w:noWrap/>
            <w:vAlign w:val="center"/>
            <w:hideMark/>
          </w:tcPr>
          <w:p w:rsidR="002C6F7C" w:rsidRPr="00156781" w:rsidRDefault="002C6F7C" w:rsidP="00254065">
            <w:pPr>
              <w:suppressAutoHyphens w:val="0"/>
              <w:jc w:val="right"/>
              <w:rPr>
                <w:color w:val="000000"/>
                <w:sz w:val="22"/>
                <w:szCs w:val="22"/>
                <w:lang w:val="es-UY" w:eastAsia="es-UY"/>
              </w:rPr>
            </w:pPr>
            <w:r w:rsidRPr="00156781">
              <w:rPr>
                <w:color w:val="000000"/>
                <w:sz w:val="22"/>
                <w:szCs w:val="22"/>
                <w:lang w:eastAsia="es-UY"/>
              </w:rPr>
              <w:t xml:space="preserve">866.483 </w:t>
            </w:r>
          </w:p>
        </w:tc>
        <w:tc>
          <w:tcPr>
            <w:tcW w:w="1266" w:type="dxa"/>
            <w:tcBorders>
              <w:top w:val="nil"/>
              <w:left w:val="nil"/>
              <w:bottom w:val="nil"/>
              <w:right w:val="nil"/>
            </w:tcBorders>
            <w:shd w:val="clear" w:color="auto" w:fill="auto"/>
            <w:noWrap/>
            <w:vAlign w:val="bottom"/>
            <w:hideMark/>
          </w:tcPr>
          <w:p w:rsidR="002C6F7C" w:rsidRPr="00156781" w:rsidRDefault="002C6F7C" w:rsidP="00254065">
            <w:pPr>
              <w:suppressAutoHyphens w:val="0"/>
              <w:jc w:val="right"/>
              <w:rPr>
                <w:color w:val="000000"/>
                <w:sz w:val="22"/>
                <w:szCs w:val="22"/>
                <w:lang w:val="es-UY" w:eastAsia="es-UY"/>
              </w:rPr>
            </w:pPr>
          </w:p>
        </w:tc>
      </w:tr>
      <w:tr w:rsidR="002C6F7C" w:rsidRPr="00156781" w:rsidTr="00B56834">
        <w:trPr>
          <w:trHeight w:val="300"/>
        </w:trPr>
        <w:tc>
          <w:tcPr>
            <w:tcW w:w="4360" w:type="dxa"/>
            <w:tcBorders>
              <w:top w:val="nil"/>
              <w:left w:val="nil"/>
              <w:bottom w:val="nil"/>
              <w:right w:val="nil"/>
            </w:tcBorders>
            <w:shd w:val="clear" w:color="auto" w:fill="auto"/>
            <w:noWrap/>
            <w:vAlign w:val="center"/>
            <w:hideMark/>
          </w:tcPr>
          <w:p w:rsidR="002C6F7C" w:rsidRPr="00156781" w:rsidRDefault="002C6F7C" w:rsidP="00254065">
            <w:pPr>
              <w:suppressAutoHyphens w:val="0"/>
              <w:rPr>
                <w:color w:val="000000"/>
                <w:sz w:val="22"/>
                <w:szCs w:val="22"/>
                <w:lang w:val="es-UY" w:eastAsia="es-UY"/>
              </w:rPr>
            </w:pPr>
            <w:r w:rsidRPr="00156781">
              <w:rPr>
                <w:color w:val="000000"/>
                <w:sz w:val="22"/>
                <w:szCs w:val="22"/>
                <w:lang w:eastAsia="es-UY"/>
              </w:rPr>
              <w:t xml:space="preserve">Indisponibles    </w:t>
            </w:r>
          </w:p>
        </w:tc>
        <w:tc>
          <w:tcPr>
            <w:tcW w:w="1780" w:type="dxa"/>
            <w:tcBorders>
              <w:top w:val="nil"/>
              <w:left w:val="nil"/>
              <w:bottom w:val="nil"/>
              <w:right w:val="nil"/>
            </w:tcBorders>
            <w:shd w:val="clear" w:color="auto" w:fill="auto"/>
            <w:noWrap/>
            <w:vAlign w:val="center"/>
            <w:hideMark/>
          </w:tcPr>
          <w:p w:rsidR="002C6F7C" w:rsidRPr="00156781" w:rsidRDefault="002C6F7C" w:rsidP="00254065">
            <w:pPr>
              <w:suppressAutoHyphens w:val="0"/>
              <w:jc w:val="right"/>
              <w:rPr>
                <w:color w:val="000000"/>
                <w:sz w:val="22"/>
                <w:szCs w:val="22"/>
                <w:u w:val="single"/>
                <w:lang w:val="es-UY" w:eastAsia="es-UY"/>
              </w:rPr>
            </w:pPr>
            <w:r w:rsidRPr="00156781">
              <w:rPr>
                <w:snapToGrid w:val="0"/>
                <w:color w:val="000000"/>
                <w:sz w:val="22"/>
                <w:szCs w:val="22"/>
                <w:u w:val="single"/>
                <w:lang w:eastAsia="es-UY"/>
              </w:rPr>
              <w:t xml:space="preserve">1.204.342 </w:t>
            </w:r>
          </w:p>
        </w:tc>
        <w:tc>
          <w:tcPr>
            <w:tcW w:w="1266" w:type="dxa"/>
            <w:tcBorders>
              <w:top w:val="nil"/>
              <w:left w:val="nil"/>
              <w:bottom w:val="single" w:sz="4" w:space="0" w:color="auto"/>
              <w:right w:val="nil"/>
            </w:tcBorders>
            <w:shd w:val="clear" w:color="auto" w:fill="auto"/>
            <w:noWrap/>
            <w:vAlign w:val="bottom"/>
            <w:hideMark/>
          </w:tcPr>
          <w:p w:rsidR="002C6F7C" w:rsidRPr="00422F7A" w:rsidRDefault="002C6F7C" w:rsidP="00254065">
            <w:pPr>
              <w:suppressAutoHyphens w:val="0"/>
              <w:jc w:val="right"/>
              <w:rPr>
                <w:color w:val="000000"/>
                <w:sz w:val="22"/>
                <w:szCs w:val="22"/>
                <w:lang w:val="es-UY" w:eastAsia="es-UY"/>
              </w:rPr>
            </w:pPr>
            <w:r w:rsidRPr="00422F7A">
              <w:rPr>
                <w:color w:val="000000"/>
                <w:sz w:val="22"/>
                <w:szCs w:val="22"/>
                <w:lang w:val="es-UY" w:eastAsia="es-UY"/>
              </w:rPr>
              <w:t xml:space="preserve">(2.070.825)  </w:t>
            </w:r>
          </w:p>
        </w:tc>
      </w:tr>
      <w:tr w:rsidR="002C6F7C" w:rsidRPr="00156781" w:rsidTr="00B56834">
        <w:trPr>
          <w:trHeight w:val="315"/>
        </w:trPr>
        <w:tc>
          <w:tcPr>
            <w:tcW w:w="4360" w:type="dxa"/>
            <w:tcBorders>
              <w:top w:val="nil"/>
              <w:left w:val="nil"/>
              <w:bottom w:val="nil"/>
              <w:right w:val="nil"/>
            </w:tcBorders>
            <w:shd w:val="clear" w:color="auto" w:fill="auto"/>
            <w:noWrap/>
            <w:vAlign w:val="center"/>
            <w:hideMark/>
          </w:tcPr>
          <w:p w:rsidR="002C6F7C" w:rsidRPr="00156781" w:rsidRDefault="002C6F7C" w:rsidP="00254065">
            <w:pPr>
              <w:suppressAutoHyphens w:val="0"/>
              <w:rPr>
                <w:color w:val="000000"/>
                <w:sz w:val="22"/>
                <w:szCs w:val="22"/>
                <w:lang w:val="es-UY" w:eastAsia="es-UY"/>
              </w:rPr>
            </w:pPr>
            <w:r w:rsidRPr="00156781">
              <w:rPr>
                <w:bCs/>
                <w:color w:val="000000"/>
                <w:sz w:val="22"/>
                <w:szCs w:val="22"/>
                <w:lang w:eastAsia="es-UY"/>
              </w:rPr>
              <w:t>Saldo a favor de la Junta Departamental</w:t>
            </w:r>
          </w:p>
        </w:tc>
        <w:tc>
          <w:tcPr>
            <w:tcW w:w="1780" w:type="dxa"/>
            <w:tcBorders>
              <w:top w:val="nil"/>
              <w:left w:val="nil"/>
              <w:bottom w:val="nil"/>
              <w:right w:val="nil"/>
            </w:tcBorders>
            <w:shd w:val="clear" w:color="auto" w:fill="auto"/>
            <w:noWrap/>
            <w:vAlign w:val="bottom"/>
            <w:hideMark/>
          </w:tcPr>
          <w:p w:rsidR="002C6F7C" w:rsidRPr="00156781" w:rsidRDefault="002C6F7C" w:rsidP="00254065">
            <w:pPr>
              <w:suppressAutoHyphens w:val="0"/>
              <w:rPr>
                <w:color w:val="000000"/>
                <w:sz w:val="22"/>
                <w:szCs w:val="22"/>
                <w:lang w:val="es-UY" w:eastAsia="es-UY"/>
              </w:rPr>
            </w:pPr>
          </w:p>
        </w:tc>
        <w:tc>
          <w:tcPr>
            <w:tcW w:w="1266" w:type="dxa"/>
            <w:tcBorders>
              <w:top w:val="nil"/>
              <w:left w:val="nil"/>
              <w:bottom w:val="double" w:sz="6" w:space="0" w:color="auto"/>
              <w:right w:val="nil"/>
            </w:tcBorders>
            <w:shd w:val="clear" w:color="auto" w:fill="auto"/>
            <w:noWrap/>
            <w:vAlign w:val="center"/>
            <w:hideMark/>
          </w:tcPr>
          <w:p w:rsidR="002C6F7C" w:rsidRPr="00156781" w:rsidRDefault="002C6F7C" w:rsidP="00254065">
            <w:pPr>
              <w:suppressAutoHyphens w:val="0"/>
              <w:jc w:val="right"/>
              <w:rPr>
                <w:color w:val="000000"/>
                <w:sz w:val="22"/>
                <w:szCs w:val="22"/>
                <w:lang w:val="es-UY" w:eastAsia="es-UY"/>
              </w:rPr>
            </w:pPr>
            <w:r w:rsidRPr="00156781">
              <w:rPr>
                <w:bCs/>
                <w:snapToGrid w:val="0"/>
                <w:color w:val="000000"/>
                <w:sz w:val="22"/>
                <w:szCs w:val="22"/>
                <w:lang w:eastAsia="es-UY"/>
              </w:rPr>
              <w:t xml:space="preserve">1.104.399 </w:t>
            </w:r>
          </w:p>
        </w:tc>
      </w:tr>
    </w:tbl>
    <w:p w:rsidR="002C6F7C" w:rsidRPr="00E34EBA" w:rsidRDefault="002C6F7C" w:rsidP="00406A29">
      <w:pPr>
        <w:spacing w:line="360" w:lineRule="auto"/>
        <w:jc w:val="both"/>
        <w:rPr>
          <w:b/>
          <w:lang w:eastAsia="es-ES"/>
        </w:rPr>
      </w:pPr>
      <w:r w:rsidRPr="00E34EBA">
        <w:rPr>
          <w:b/>
          <w:lang w:eastAsia="es-ES"/>
        </w:rPr>
        <w:t>Evaluación del control interno</w:t>
      </w:r>
    </w:p>
    <w:p w:rsidR="002C6F7C" w:rsidRPr="00E34EBA" w:rsidRDefault="002C6F7C" w:rsidP="00406A29">
      <w:pPr>
        <w:spacing w:line="360" w:lineRule="auto"/>
        <w:jc w:val="both"/>
        <w:rPr>
          <w:bCs/>
          <w:lang w:eastAsia="es-ES"/>
        </w:rPr>
      </w:pPr>
      <w:r w:rsidRPr="00E34EBA">
        <w:rPr>
          <w:bCs/>
          <w:lang w:eastAsia="es-ES"/>
        </w:rPr>
        <w:t>El examen de los aspectos de control interno relevantes para la preparación y presentación</w:t>
      </w:r>
      <w:r>
        <w:rPr>
          <w:bCs/>
          <w:lang w:eastAsia="es-ES"/>
        </w:rPr>
        <w:t xml:space="preserve"> r</w:t>
      </w:r>
      <w:r w:rsidRPr="00E34EBA">
        <w:rPr>
          <w:bCs/>
          <w:lang w:eastAsia="es-ES"/>
        </w:rPr>
        <w:t>azonable de los estados fin</w:t>
      </w:r>
      <w:r>
        <w:rPr>
          <w:bCs/>
          <w:lang w:eastAsia="es-ES"/>
        </w:rPr>
        <w:t>ancieros, permitió constatar la</w:t>
      </w:r>
      <w:r w:rsidRPr="00E34EBA">
        <w:rPr>
          <w:bCs/>
          <w:lang w:eastAsia="es-ES"/>
        </w:rPr>
        <w:t xml:space="preserve"> siguiente debilidad en relación a las actividades de control, información financiera y cumplimiento de normas legales:</w:t>
      </w:r>
    </w:p>
    <w:p w:rsidR="002C6F7C" w:rsidRPr="00F26925" w:rsidRDefault="002C6F7C" w:rsidP="00406A29">
      <w:pPr>
        <w:rPr>
          <w:b/>
          <w:lang w:val="es-ES_tradnl" w:eastAsia="es-ES"/>
        </w:rPr>
      </w:pPr>
    </w:p>
    <w:p w:rsidR="002C6F7C" w:rsidRPr="00F26925" w:rsidRDefault="002C6F7C" w:rsidP="00406A29">
      <w:pPr>
        <w:keepNext/>
        <w:widowControl w:val="0"/>
        <w:suppressAutoHyphens w:val="0"/>
        <w:spacing w:line="360" w:lineRule="auto"/>
        <w:rPr>
          <w:b/>
          <w:lang w:eastAsia="es-ES"/>
        </w:rPr>
      </w:pPr>
      <w:r w:rsidRPr="00F26925">
        <w:rPr>
          <w:b/>
          <w:lang w:eastAsia="es-ES"/>
        </w:rPr>
        <w:t>Conciliaciones</w:t>
      </w:r>
      <w:r>
        <w:rPr>
          <w:b/>
          <w:lang w:eastAsia="es-ES"/>
        </w:rPr>
        <w:t xml:space="preserve"> con la Intendencia</w:t>
      </w:r>
    </w:p>
    <w:p w:rsidR="002C6F7C" w:rsidRDefault="002C6F7C" w:rsidP="00406A29">
      <w:pPr>
        <w:keepNext/>
        <w:widowControl w:val="0"/>
        <w:suppressAutoHyphens w:val="0"/>
        <w:spacing w:line="360" w:lineRule="auto"/>
        <w:jc w:val="both"/>
      </w:pPr>
      <w:r w:rsidRPr="009767F5">
        <w:t>La Junta Departamental no realiza conciliaciones en forma periódica de sus registros con los de la Intendencia respecto a las transferencias recibidas de ésta.</w:t>
      </w:r>
    </w:p>
    <w:p w:rsidR="002C6F7C" w:rsidRDefault="002C6F7C" w:rsidP="00406A29">
      <w:pPr>
        <w:keepNext/>
        <w:widowControl w:val="0"/>
        <w:suppressAutoHyphens w:val="0"/>
        <w:spacing w:line="360" w:lineRule="auto"/>
        <w:jc w:val="both"/>
      </w:pPr>
    </w:p>
    <w:p w:rsidR="002C6F7C" w:rsidRPr="001F4E23" w:rsidRDefault="002C6F7C" w:rsidP="00406A29">
      <w:pPr>
        <w:pStyle w:val="Ttulo2"/>
        <w:keepNext/>
        <w:widowControl w:val="0"/>
        <w:spacing w:after="0"/>
        <w:jc w:val="both"/>
        <w:rPr>
          <w:rFonts w:cs="Arial"/>
        </w:rPr>
      </w:pPr>
      <w:bookmarkStart w:id="2" w:name="_Toc112051133"/>
      <w:bookmarkStart w:id="3" w:name="_Toc46219868"/>
      <w:bookmarkStart w:id="4" w:name="_Toc388955062"/>
      <w:r w:rsidRPr="00A7612B">
        <w:rPr>
          <w:rFonts w:cs="Arial"/>
        </w:rPr>
        <w:t>RECOMENDACIONES</w:t>
      </w:r>
    </w:p>
    <w:p w:rsidR="002C6F7C" w:rsidRDefault="002C6F7C" w:rsidP="00406A29">
      <w:pPr>
        <w:pStyle w:val="Ttulo2"/>
        <w:keepNext/>
        <w:widowControl w:val="0"/>
        <w:spacing w:after="0"/>
        <w:jc w:val="both"/>
        <w:rPr>
          <w:rFonts w:cs="Arial"/>
        </w:rPr>
      </w:pPr>
      <w:r>
        <w:rPr>
          <w:rFonts w:cs="Arial"/>
        </w:rPr>
        <w:t>Recomendación de Ejercicios anteriores</w:t>
      </w:r>
    </w:p>
    <w:p w:rsidR="002C6F7C" w:rsidRPr="00AC588A" w:rsidRDefault="00FC7111" w:rsidP="00406A29">
      <w:pPr>
        <w:pStyle w:val="Textoindependiente"/>
        <w:rPr>
          <w:b/>
          <w:lang w:val="es-ES" w:eastAsia="es-ES"/>
        </w:rPr>
      </w:pPr>
      <w:r>
        <w:rPr>
          <w:b/>
          <w:lang w:val="es-ES" w:eastAsia="es-ES"/>
        </w:rPr>
        <w:t>Cumplidas</w:t>
      </w:r>
    </w:p>
    <w:p w:rsidR="002C6F7C" w:rsidRDefault="002C6F7C" w:rsidP="00406A29">
      <w:pPr>
        <w:pStyle w:val="Textoindependiente"/>
        <w:spacing w:after="0" w:line="360" w:lineRule="auto"/>
        <w:rPr>
          <w:b/>
          <w:lang w:val="es-ES" w:eastAsia="es-ES"/>
        </w:rPr>
      </w:pPr>
      <w:r w:rsidRPr="00A14A01">
        <w:rPr>
          <w:b/>
          <w:lang w:val="es-ES" w:eastAsia="es-ES"/>
        </w:rPr>
        <w:t>Partidas sin norma presupuestal</w:t>
      </w:r>
      <w:r>
        <w:rPr>
          <w:b/>
          <w:lang w:val="es-ES" w:eastAsia="es-ES"/>
        </w:rPr>
        <w:t xml:space="preserve"> (Artículo 86 de la Constitución de la República)</w:t>
      </w:r>
    </w:p>
    <w:p w:rsidR="002C6F7C" w:rsidRDefault="002C6F7C" w:rsidP="00406A29">
      <w:pPr>
        <w:pStyle w:val="Textoindependiente"/>
        <w:spacing w:after="0" w:line="360" w:lineRule="auto"/>
        <w:rPr>
          <w:lang w:eastAsia="es-ES"/>
        </w:rPr>
      </w:pPr>
      <w:r w:rsidRPr="00A14A01">
        <w:rPr>
          <w:lang w:val="es-ES" w:eastAsia="es-ES"/>
        </w:rPr>
        <w:t>Con</w:t>
      </w:r>
      <w:r w:rsidRPr="00A14A01">
        <w:rPr>
          <w:kern w:val="18"/>
          <w:lang w:eastAsia="es-ES"/>
        </w:rPr>
        <w:t xml:space="preserve"> posterioridad al Dictamen del Tribunal de Cuentas correspondiente a </w:t>
      </w:r>
      <w:r>
        <w:rPr>
          <w:kern w:val="18"/>
          <w:lang w:eastAsia="es-ES"/>
        </w:rPr>
        <w:t>la Rendición de Cuentas por el E</w:t>
      </w:r>
      <w:r w:rsidRPr="00A14A01">
        <w:rPr>
          <w:kern w:val="18"/>
          <w:lang w:eastAsia="es-ES"/>
        </w:rPr>
        <w:t xml:space="preserve">jercicio 2016, se dejaron de abonar  </w:t>
      </w:r>
      <w:r w:rsidRPr="00A14A01">
        <w:rPr>
          <w:lang w:eastAsia="es-ES"/>
        </w:rPr>
        <w:t>compensaciones por tareas</w:t>
      </w:r>
      <w:r>
        <w:rPr>
          <w:lang w:eastAsia="es-ES"/>
        </w:rPr>
        <w:t xml:space="preserve"> que no hubieran sido</w:t>
      </w:r>
      <w:r w:rsidRPr="00A14A01">
        <w:rPr>
          <w:lang w:eastAsia="es-ES"/>
        </w:rPr>
        <w:t xml:space="preserve"> establecidas en normas presupuestales.</w:t>
      </w:r>
    </w:p>
    <w:p w:rsidR="002C6F7C" w:rsidRPr="00A14A01" w:rsidRDefault="002C6F7C" w:rsidP="00406A29">
      <w:pPr>
        <w:pStyle w:val="Textoindependiente"/>
        <w:spacing w:after="0" w:line="360" w:lineRule="auto"/>
        <w:rPr>
          <w:b/>
          <w:lang w:val="es-ES" w:eastAsia="es-ES"/>
        </w:rPr>
      </w:pPr>
    </w:p>
    <w:p w:rsidR="002C6F7C" w:rsidRDefault="002C6F7C" w:rsidP="00406A29">
      <w:pPr>
        <w:keepNext/>
        <w:widowControl w:val="0"/>
        <w:suppressAutoHyphens w:val="0"/>
        <w:spacing w:line="360" w:lineRule="auto"/>
        <w:jc w:val="both"/>
        <w:rPr>
          <w:b/>
          <w:lang w:eastAsia="es-ES"/>
        </w:rPr>
      </w:pPr>
      <w:r>
        <w:rPr>
          <w:b/>
          <w:lang w:eastAsia="es-ES"/>
        </w:rPr>
        <w:t>Intervención de partidas a rendir (</w:t>
      </w:r>
      <w:r w:rsidRPr="009767F5">
        <w:rPr>
          <w:b/>
          <w:lang w:eastAsia="es-ES"/>
        </w:rPr>
        <w:t>Artículo 87 del TOCAF</w:t>
      </w:r>
      <w:r>
        <w:rPr>
          <w:b/>
          <w:lang w:eastAsia="es-ES"/>
        </w:rPr>
        <w:t>)</w:t>
      </w:r>
    </w:p>
    <w:p w:rsidR="002C6F7C" w:rsidRPr="009767F5" w:rsidRDefault="002C6F7C" w:rsidP="00406A29">
      <w:pPr>
        <w:keepNext/>
        <w:widowControl w:val="0"/>
        <w:suppressAutoHyphens w:val="0"/>
        <w:spacing w:line="360" w:lineRule="auto"/>
        <w:jc w:val="both"/>
        <w:rPr>
          <w:b/>
          <w:lang w:eastAsia="es-ES"/>
        </w:rPr>
      </w:pPr>
      <w:r>
        <w:rPr>
          <w:lang w:eastAsia="es-ES"/>
        </w:rPr>
        <w:t>Se instrumentaron procedimientos a efectos de que las</w:t>
      </w:r>
      <w:r w:rsidRPr="009767F5">
        <w:rPr>
          <w:lang w:eastAsia="es-ES"/>
        </w:rPr>
        <w:t xml:space="preserve"> partidas a rendir</w:t>
      </w:r>
      <w:r>
        <w:rPr>
          <w:lang w:eastAsia="es-ES"/>
        </w:rPr>
        <w:t xml:space="preserve"> otorgadas a los choferes,</w:t>
      </w:r>
      <w:r w:rsidRPr="009767F5">
        <w:rPr>
          <w:lang w:eastAsia="es-ES"/>
        </w:rPr>
        <w:t xml:space="preserve"> </w:t>
      </w:r>
      <w:r>
        <w:rPr>
          <w:lang w:eastAsia="es-ES"/>
        </w:rPr>
        <w:t xml:space="preserve">cuenten con </w:t>
      </w:r>
      <w:r w:rsidRPr="009767F5">
        <w:rPr>
          <w:lang w:eastAsia="es-ES"/>
        </w:rPr>
        <w:t>la intervención preve</w:t>
      </w:r>
      <w:r>
        <w:rPr>
          <w:lang w:eastAsia="es-ES"/>
        </w:rPr>
        <w:t>ntiva del Contador Delegado.</w:t>
      </w:r>
    </w:p>
    <w:p w:rsidR="002C6F7C" w:rsidRPr="00A14A01" w:rsidRDefault="002C6F7C" w:rsidP="00406A29">
      <w:pPr>
        <w:keepNext/>
        <w:widowControl w:val="0"/>
        <w:suppressAutoHyphens w:val="0"/>
        <w:spacing w:line="360" w:lineRule="auto"/>
        <w:jc w:val="both"/>
        <w:rPr>
          <w:kern w:val="18"/>
          <w:lang w:eastAsia="es-ES"/>
        </w:rPr>
      </w:pPr>
    </w:p>
    <w:bookmarkEnd w:id="4"/>
    <w:p w:rsidR="002C6F7C" w:rsidRDefault="002C6F7C" w:rsidP="00406A29">
      <w:pPr>
        <w:pStyle w:val="Ttulo2"/>
        <w:keepNext/>
        <w:widowControl w:val="0"/>
        <w:spacing w:after="0"/>
        <w:jc w:val="both"/>
        <w:rPr>
          <w:rFonts w:cs="Arial"/>
        </w:rPr>
      </w:pPr>
      <w:r>
        <w:rPr>
          <w:rFonts w:cs="Arial"/>
        </w:rPr>
        <w:t>No cumplidas</w:t>
      </w:r>
    </w:p>
    <w:p w:rsidR="002C6F7C" w:rsidRPr="00A7612B" w:rsidRDefault="002C6F7C" w:rsidP="00406A29">
      <w:pPr>
        <w:pStyle w:val="Ttulo2"/>
        <w:keepNext/>
        <w:widowControl w:val="0"/>
        <w:spacing w:after="0"/>
        <w:jc w:val="both"/>
        <w:rPr>
          <w:rFonts w:cs="Arial"/>
        </w:rPr>
      </w:pPr>
      <w:bookmarkStart w:id="5" w:name="_Toc304212137"/>
      <w:bookmarkStart w:id="6" w:name="_Toc388955067"/>
      <w:bookmarkStart w:id="7" w:name="_Toc51052095"/>
      <w:bookmarkEnd w:id="2"/>
      <w:r w:rsidRPr="00A7612B">
        <w:rPr>
          <w:rFonts w:cs="Arial"/>
        </w:rPr>
        <w:t>Partidas percibidas por los</w:t>
      </w:r>
      <w:r>
        <w:rPr>
          <w:rFonts w:cs="Arial"/>
        </w:rPr>
        <w:t xml:space="preserve"> Señores</w:t>
      </w:r>
      <w:r w:rsidRPr="00A7612B">
        <w:rPr>
          <w:rFonts w:cs="Arial"/>
        </w:rPr>
        <w:t xml:space="preserve"> Ediles y gastos de representación del Presidente</w:t>
      </w:r>
      <w:bookmarkEnd w:id="5"/>
      <w:bookmarkEnd w:id="6"/>
    </w:p>
    <w:p w:rsidR="002C6F7C" w:rsidRDefault="002C6F7C" w:rsidP="00406A29">
      <w:pPr>
        <w:pStyle w:val="Textoindependiente"/>
        <w:keepNext/>
        <w:widowControl w:val="0"/>
        <w:suppressAutoHyphens w:val="0"/>
        <w:spacing w:line="360" w:lineRule="auto"/>
      </w:pPr>
      <w:r w:rsidRPr="00A7612B">
        <w:t>A efectos de verificar el cumplimiento de lo preceptuado por el Artículo 295 de la Constitución de la República, en cuanto al carácter honorario de la función de Edil, la Junta Departamental deberá ajustarse a lo dispuesto por la Resolución de este Tribunal de 22/12/10.</w:t>
      </w:r>
    </w:p>
    <w:p w:rsidR="002C6F7C" w:rsidRDefault="002C6F7C" w:rsidP="00406A29">
      <w:pPr>
        <w:keepNext/>
        <w:widowControl w:val="0"/>
        <w:suppressAutoHyphens w:val="0"/>
        <w:spacing w:line="360" w:lineRule="auto"/>
        <w:jc w:val="both"/>
        <w:rPr>
          <w:rFonts w:eastAsia="Calibri"/>
          <w:b/>
          <w:lang w:val="es-ES_tradnl"/>
        </w:rPr>
      </w:pPr>
      <w:r>
        <w:rPr>
          <w:rFonts w:eastAsia="Calibri"/>
          <w:b/>
          <w:lang w:val="es-ES_tradnl"/>
        </w:rPr>
        <w:t>Registro Único de Proveedores del Estado</w:t>
      </w:r>
    </w:p>
    <w:p w:rsidR="002C6F7C" w:rsidRDefault="002C6F7C" w:rsidP="00406A29">
      <w:pPr>
        <w:keepNext/>
        <w:widowControl w:val="0"/>
        <w:suppressAutoHyphens w:val="0"/>
        <w:spacing w:line="360" w:lineRule="auto"/>
        <w:jc w:val="both"/>
        <w:rPr>
          <w:rFonts w:eastAsia="Calibri"/>
          <w:lang w:val="es-ES_tradnl"/>
        </w:rPr>
      </w:pPr>
      <w:r>
        <w:rPr>
          <w:rFonts w:eastAsia="Calibri"/>
          <w:lang w:val="es-ES_tradnl"/>
        </w:rPr>
        <w:t xml:space="preserve">A efectos de dar cumplimiento con lo dispuesto por el Artículo 46 Numeral 3) del TOCAF, al contratar con proveedores, se les deberá exigir que estén </w:t>
      </w:r>
      <w:r w:rsidRPr="00ED2DDE">
        <w:rPr>
          <w:rFonts w:eastAsia="Calibri"/>
          <w:lang w:val="es-ES_tradnl"/>
        </w:rPr>
        <w:t>inscriptos en el Registro Único de Proveedores del Estado.</w:t>
      </w:r>
    </w:p>
    <w:p w:rsidR="002C6F7C" w:rsidRPr="00A837D4" w:rsidRDefault="002C6F7C" w:rsidP="00406A29">
      <w:pPr>
        <w:keepNext/>
        <w:widowControl w:val="0"/>
        <w:suppressAutoHyphens w:val="0"/>
        <w:spacing w:line="360" w:lineRule="auto"/>
        <w:jc w:val="both"/>
        <w:outlineLvl w:val="1"/>
        <w:rPr>
          <w:b/>
          <w:kern w:val="18"/>
          <w:lang w:eastAsia="es-ES"/>
        </w:rPr>
      </w:pPr>
      <w:r w:rsidRPr="00A837D4">
        <w:rPr>
          <w:b/>
          <w:kern w:val="18"/>
          <w:lang w:eastAsia="es-ES"/>
        </w:rPr>
        <w:t>Inventario de bienes</w:t>
      </w:r>
    </w:p>
    <w:p w:rsidR="002C6F7C" w:rsidRDefault="002C6F7C" w:rsidP="00406A29">
      <w:pPr>
        <w:keepNext/>
        <w:widowControl w:val="0"/>
        <w:suppressAutoHyphens w:val="0"/>
        <w:spacing w:line="360" w:lineRule="auto"/>
        <w:jc w:val="both"/>
        <w:rPr>
          <w:lang w:val="es-ES_tradnl" w:eastAsia="es-ES"/>
        </w:rPr>
      </w:pPr>
      <w:r w:rsidRPr="00A837D4">
        <w:rPr>
          <w:lang w:val="es-ES_tradnl" w:eastAsia="es-ES"/>
        </w:rPr>
        <w:t>De acuerdo con lo dispuesto por los Artículos 84 y 97 del TOCAF, deberá mantenerse un registro permanente y valuado de la totalidad de los bienes que integran e</w:t>
      </w:r>
      <w:r>
        <w:rPr>
          <w:lang w:val="es-ES_tradnl" w:eastAsia="es-ES"/>
        </w:rPr>
        <w:t>l patrimonio de la Corporación.</w:t>
      </w:r>
    </w:p>
    <w:p w:rsidR="002C6F7C" w:rsidRPr="00A7612B" w:rsidRDefault="002C6F7C" w:rsidP="00406A29">
      <w:pPr>
        <w:pStyle w:val="Ttulo2"/>
        <w:keepNext/>
        <w:widowControl w:val="0"/>
        <w:spacing w:after="0"/>
        <w:jc w:val="both"/>
        <w:rPr>
          <w:rFonts w:cs="Arial"/>
        </w:rPr>
      </w:pPr>
      <w:bookmarkStart w:id="8" w:name="_Toc303090833"/>
      <w:bookmarkStart w:id="9" w:name="_Toc304212135"/>
      <w:bookmarkStart w:id="10" w:name="_Toc388955065"/>
      <w:bookmarkStart w:id="11" w:name="_Toc269741056"/>
      <w:bookmarkStart w:id="12" w:name="_Toc46219873"/>
      <w:bookmarkEnd w:id="3"/>
      <w:bookmarkEnd w:id="7"/>
      <w:r w:rsidRPr="00A7612B">
        <w:rPr>
          <w:rFonts w:cs="Arial"/>
        </w:rPr>
        <w:t>Artículo 94 del TOCAF y Ordenanza N</w:t>
      </w:r>
      <w:r>
        <w:rPr>
          <w:rFonts w:cs="Arial"/>
        </w:rPr>
        <w:t>º</w:t>
      </w:r>
      <w:r w:rsidRPr="00A7612B">
        <w:rPr>
          <w:rFonts w:cs="Arial"/>
        </w:rPr>
        <w:t xml:space="preserve"> 8</w:t>
      </w:r>
      <w:r>
        <w:rPr>
          <w:rFonts w:cs="Arial"/>
        </w:rPr>
        <w:t>9</w:t>
      </w:r>
      <w:r w:rsidRPr="00A7612B">
        <w:rPr>
          <w:rFonts w:cs="Arial"/>
        </w:rPr>
        <w:t xml:space="preserve"> del Tribunal de Cuentas</w:t>
      </w:r>
      <w:bookmarkEnd w:id="8"/>
      <w:bookmarkEnd w:id="9"/>
      <w:bookmarkEnd w:id="10"/>
      <w:bookmarkEnd w:id="11"/>
    </w:p>
    <w:p w:rsidR="002C6F7C" w:rsidRDefault="002C6F7C" w:rsidP="00406A29">
      <w:pPr>
        <w:pStyle w:val="Textoindependiente"/>
        <w:keepNext/>
        <w:widowControl w:val="0"/>
        <w:suppressAutoHyphens w:val="0"/>
        <w:spacing w:line="360" w:lineRule="auto"/>
      </w:pPr>
      <w:r w:rsidRPr="00A7612B">
        <w:t>Corresponde implementar un sistema de contabilidad patrimonial que permita cumplir con lo establecido por el Artículo 94 del TOCAF y la Ordenanza N</w:t>
      </w:r>
      <w:r>
        <w:t>º 89</w:t>
      </w:r>
      <w:r w:rsidRPr="00A7612B">
        <w:t xml:space="preserve"> del Tribunal de Cuentas</w:t>
      </w:r>
      <w:r>
        <w:t>,</w:t>
      </w:r>
      <w:r w:rsidRPr="00A7612B">
        <w:t xml:space="preserve"> en cuanto a la presentación de los estados contables.</w:t>
      </w:r>
    </w:p>
    <w:bookmarkEnd w:id="12"/>
    <w:p w:rsidR="002C6F7C" w:rsidRDefault="002C6F7C" w:rsidP="00406A29">
      <w:pPr>
        <w:pStyle w:val="Subttulo"/>
        <w:keepNext/>
        <w:widowControl w:val="0"/>
        <w:rPr>
          <w:rFonts w:ascii="Arial" w:hAnsi="Arial" w:cs="Arial"/>
        </w:rPr>
      </w:pPr>
      <w:r>
        <w:rPr>
          <w:rFonts w:ascii="Arial" w:hAnsi="Arial" w:cs="Arial"/>
        </w:rPr>
        <w:t>Conciliación de partidas percibidas de la Intendencia</w:t>
      </w:r>
    </w:p>
    <w:p w:rsidR="002C6F7C" w:rsidRDefault="002C6F7C" w:rsidP="00406A29">
      <w:pPr>
        <w:pStyle w:val="Textoindependiente"/>
        <w:keepNext/>
        <w:widowControl w:val="0"/>
        <w:suppressAutoHyphens w:val="0"/>
        <w:spacing w:line="360" w:lineRule="auto"/>
        <w:rPr>
          <w:lang w:val="es-ES"/>
        </w:rPr>
      </w:pPr>
      <w:r>
        <w:rPr>
          <w:lang w:val="es-ES"/>
        </w:rPr>
        <w:t>A efectos de evitar posibles diferencias con lo contabilizado por la Intendencia, es conveniente conciliar las partidas que, correspondiendo al Legislativo, le son descontadas a aquella, a través de Rentas Generales.</w:t>
      </w:r>
    </w:p>
    <w:p w:rsidR="002C6F7C" w:rsidRDefault="002C6F7C" w:rsidP="00406A29">
      <w:pPr>
        <w:pStyle w:val="Textoindependiente"/>
        <w:spacing w:after="0" w:line="360" w:lineRule="auto"/>
        <w:rPr>
          <w:b/>
          <w:lang w:val="es-ES" w:eastAsia="es-ES"/>
        </w:rPr>
      </w:pPr>
      <w:r>
        <w:rPr>
          <w:b/>
          <w:lang w:val="es-ES" w:eastAsia="es-ES"/>
        </w:rPr>
        <w:t>Recomendación del Ejercicio</w:t>
      </w:r>
    </w:p>
    <w:p w:rsidR="002C6F7C" w:rsidRDefault="002C6F7C" w:rsidP="00406A29">
      <w:pPr>
        <w:pStyle w:val="Textoindependiente"/>
        <w:spacing w:after="0" w:line="360" w:lineRule="auto"/>
        <w:rPr>
          <w:lang w:val="es-ES" w:eastAsia="es-ES"/>
        </w:rPr>
      </w:pPr>
      <w:r>
        <w:rPr>
          <w:lang w:val="es-ES" w:eastAsia="es-ES"/>
        </w:rPr>
        <w:t>Se reiteran las recomendaciones no cumplidas de Ejercicios anteriores, a las que se agrega la siguiente:</w:t>
      </w:r>
    </w:p>
    <w:p w:rsidR="002C6F7C" w:rsidRPr="0000008D" w:rsidRDefault="002C6F7C" w:rsidP="00406A29">
      <w:pPr>
        <w:pStyle w:val="Textoindependiente"/>
        <w:spacing w:after="0" w:line="360" w:lineRule="auto"/>
        <w:rPr>
          <w:lang w:val="es-ES" w:eastAsia="es-ES"/>
        </w:rPr>
      </w:pPr>
    </w:p>
    <w:p w:rsidR="002C6F7C" w:rsidRPr="006A7686" w:rsidRDefault="002C6F7C" w:rsidP="00406A29">
      <w:pPr>
        <w:pStyle w:val="Ttulo2"/>
        <w:spacing w:after="0"/>
        <w:rPr>
          <w:rFonts w:cs="Arial"/>
        </w:rPr>
      </w:pPr>
      <w:r>
        <w:rPr>
          <w:rFonts w:cs="Arial"/>
        </w:rPr>
        <w:t>Intervención de gastos por D</w:t>
      </w:r>
      <w:r w:rsidRPr="006A7686">
        <w:rPr>
          <w:rFonts w:cs="Arial"/>
        </w:rPr>
        <w:t>elegados</w:t>
      </w:r>
    </w:p>
    <w:p w:rsidR="002C6F7C" w:rsidRPr="006A7686" w:rsidRDefault="002C6F7C" w:rsidP="00406A29">
      <w:pPr>
        <w:spacing w:line="360" w:lineRule="auto"/>
        <w:jc w:val="both"/>
      </w:pPr>
      <w:r w:rsidRPr="006A7686">
        <w:t>Al realizar la intervención de gastos y pagos se deberá dejar constancia de la fecha</w:t>
      </w:r>
      <w:r>
        <w:t xml:space="preserve"> de su realización,</w:t>
      </w:r>
      <w:r w:rsidRPr="006A7686">
        <w:t xml:space="preserve"> de forma de cumplir con lo establecido por el Artículo 23 de la Ordenanza</w:t>
      </w:r>
      <w:r w:rsidR="00B56834">
        <w:t xml:space="preserve"> N° 64 del Tribunal de Cuentas.</w:t>
      </w:r>
    </w:p>
    <w:p w:rsidR="002C6F7C" w:rsidRDefault="002C6F7C" w:rsidP="00406A29">
      <w:pPr>
        <w:keepNext/>
        <w:widowControl w:val="0"/>
        <w:tabs>
          <w:tab w:val="left" w:pos="0"/>
          <w:tab w:val="right" w:pos="8504"/>
        </w:tabs>
        <w:suppressAutoHyphens w:val="0"/>
        <w:spacing w:line="360" w:lineRule="auto"/>
        <w:jc w:val="right"/>
      </w:pPr>
      <w:r>
        <w:t>Montevideo, 16</w:t>
      </w:r>
      <w:r w:rsidRPr="00A837D4">
        <w:t xml:space="preserve"> de </w:t>
      </w:r>
      <w:r>
        <w:t>julio de 2018</w:t>
      </w:r>
    </w:p>
    <w:p w:rsidR="002C6F7C" w:rsidRDefault="002C6F7C" w:rsidP="002C6F7C">
      <w:pPr>
        <w:keepNext/>
        <w:widowControl w:val="0"/>
        <w:tabs>
          <w:tab w:val="left" w:pos="0"/>
          <w:tab w:val="right" w:pos="8504"/>
        </w:tabs>
        <w:suppressAutoHyphens w:val="0"/>
        <w:spacing w:line="360" w:lineRule="auto"/>
      </w:pPr>
    </w:p>
    <w:p w:rsidR="002C6F7C" w:rsidRPr="002C6F7C" w:rsidRDefault="002C6F7C" w:rsidP="002C6F7C">
      <w:pPr>
        <w:keepNext/>
        <w:widowControl w:val="0"/>
        <w:tabs>
          <w:tab w:val="left" w:pos="0"/>
          <w:tab w:val="right" w:pos="8504"/>
        </w:tabs>
        <w:suppressAutoHyphens w:val="0"/>
        <w:spacing w:line="360" w:lineRule="auto"/>
        <w:rPr>
          <w:rFonts w:eastAsia="Calibri"/>
        </w:rPr>
      </w:pPr>
      <w:proofErr w:type="gramStart"/>
      <w:r>
        <w:t>dc</w:t>
      </w:r>
      <w:proofErr w:type="gramEnd"/>
    </w:p>
    <w:sectPr w:rsidR="002C6F7C" w:rsidRPr="002C6F7C" w:rsidSect="0083342D">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
      <w:lvlText w:val="%1)"/>
      <w:lvlJc w:val="left"/>
      <w:pPr>
        <w:tabs>
          <w:tab w:val="num" w:pos="360"/>
        </w:tabs>
        <w:ind w:left="360" w:hanging="360"/>
      </w:pPr>
      <w:rPr>
        <w:b/>
      </w:rPr>
    </w:lvl>
  </w:abstractNum>
  <w:abstractNum w:abstractNumId="1">
    <w:nsid w:val="48A64939"/>
    <w:multiLevelType w:val="hybridMultilevel"/>
    <w:tmpl w:val="21C03AB2"/>
    <w:lvl w:ilvl="0" w:tplc="2BB65004">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42D"/>
    <w:rsid w:val="002C6F7C"/>
    <w:rsid w:val="003B450D"/>
    <w:rsid w:val="0083342D"/>
    <w:rsid w:val="00B56834"/>
    <w:rsid w:val="00CE77F1"/>
    <w:rsid w:val="00DD51C5"/>
    <w:rsid w:val="00FC711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42D"/>
    <w:pPr>
      <w:suppressAutoHyphens/>
      <w:spacing w:after="0" w:line="240" w:lineRule="auto"/>
    </w:pPr>
    <w:rPr>
      <w:rFonts w:ascii="Arial" w:eastAsia="Times New Roman" w:hAnsi="Arial" w:cs="Arial"/>
      <w:sz w:val="24"/>
      <w:szCs w:val="24"/>
      <w:lang w:val="es-ES" w:eastAsia="zh-CN"/>
    </w:rPr>
  </w:style>
  <w:style w:type="paragraph" w:styleId="Ttulo2">
    <w:name w:val="heading 2"/>
    <w:basedOn w:val="Normal"/>
    <w:next w:val="Textoindependiente"/>
    <w:link w:val="Ttulo2Car"/>
    <w:qFormat/>
    <w:rsid w:val="002C6F7C"/>
    <w:pPr>
      <w:suppressAutoHyphens w:val="0"/>
      <w:spacing w:after="170" w:line="360" w:lineRule="auto"/>
      <w:outlineLvl w:val="1"/>
    </w:pPr>
    <w:rPr>
      <w:rFonts w:cs="Times New Roman"/>
      <w:b/>
      <w:kern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342D"/>
    <w:pPr>
      <w:ind w:left="720"/>
      <w:contextualSpacing/>
    </w:pPr>
  </w:style>
  <w:style w:type="paragraph" w:styleId="Textoindependiente">
    <w:name w:val="Body Text"/>
    <w:basedOn w:val="Normal"/>
    <w:link w:val="TextoindependienteCar"/>
    <w:rsid w:val="002C6F7C"/>
    <w:pPr>
      <w:spacing w:after="240" w:line="240" w:lineRule="atLeast"/>
      <w:jc w:val="both"/>
    </w:pPr>
    <w:rPr>
      <w:kern w:val="1"/>
      <w:szCs w:val="20"/>
      <w:lang w:val="es-ES_tradnl"/>
    </w:rPr>
  </w:style>
  <w:style w:type="character" w:customStyle="1" w:styleId="TextoindependienteCar">
    <w:name w:val="Texto independiente Car"/>
    <w:basedOn w:val="Fuentedeprrafopredeter"/>
    <w:link w:val="Textoindependiente"/>
    <w:rsid w:val="002C6F7C"/>
    <w:rPr>
      <w:rFonts w:ascii="Arial" w:eastAsia="Times New Roman" w:hAnsi="Arial" w:cs="Arial"/>
      <w:kern w:val="1"/>
      <w:sz w:val="24"/>
      <w:szCs w:val="20"/>
      <w:lang w:val="es-ES_tradnl" w:eastAsia="zh-CN"/>
    </w:rPr>
  </w:style>
  <w:style w:type="paragraph" w:customStyle="1" w:styleId="Ttulo1">
    <w:name w:val="Título1"/>
    <w:basedOn w:val="Normal"/>
    <w:next w:val="Normal"/>
    <w:link w:val="TtuloCar"/>
    <w:qFormat/>
    <w:rsid w:val="002C6F7C"/>
    <w:pPr>
      <w:suppressAutoHyphens w:val="0"/>
      <w:spacing w:line="360" w:lineRule="auto"/>
      <w:jc w:val="center"/>
      <w:outlineLvl w:val="0"/>
    </w:pPr>
    <w:rPr>
      <w:rFonts w:cs="Times New Roman"/>
      <w:b/>
      <w:caps/>
      <w:kern w:val="18"/>
      <w:sz w:val="28"/>
      <w:lang w:eastAsia="es-ES"/>
    </w:rPr>
  </w:style>
  <w:style w:type="character" w:customStyle="1" w:styleId="TtuloCar">
    <w:name w:val="Título Car"/>
    <w:link w:val="Ttulo1"/>
    <w:rsid w:val="002C6F7C"/>
    <w:rPr>
      <w:rFonts w:ascii="Arial" w:eastAsia="Times New Roman" w:hAnsi="Arial" w:cs="Times New Roman"/>
      <w:b/>
      <w:caps/>
      <w:kern w:val="18"/>
      <w:sz w:val="28"/>
      <w:szCs w:val="24"/>
      <w:lang w:val="es-ES" w:eastAsia="es-ES"/>
    </w:rPr>
  </w:style>
  <w:style w:type="character" w:customStyle="1" w:styleId="Ttulo2Car">
    <w:name w:val="Título 2 Car"/>
    <w:basedOn w:val="Fuentedeprrafopredeter"/>
    <w:link w:val="Ttulo2"/>
    <w:rsid w:val="002C6F7C"/>
    <w:rPr>
      <w:rFonts w:ascii="Arial" w:eastAsia="Times New Roman" w:hAnsi="Arial" w:cs="Times New Roman"/>
      <w:b/>
      <w:kern w:val="18"/>
      <w:sz w:val="24"/>
      <w:szCs w:val="24"/>
      <w:lang w:val="es-ES" w:eastAsia="es-ES"/>
    </w:rPr>
  </w:style>
  <w:style w:type="paragraph" w:styleId="Subttulo">
    <w:name w:val="Subtitle"/>
    <w:basedOn w:val="Normal"/>
    <w:link w:val="SubttuloCar"/>
    <w:qFormat/>
    <w:rsid w:val="002C6F7C"/>
    <w:pPr>
      <w:suppressAutoHyphens w:val="0"/>
      <w:spacing w:line="360" w:lineRule="auto"/>
      <w:jc w:val="both"/>
    </w:pPr>
    <w:rPr>
      <w:rFonts w:ascii="Bookman Old Style" w:hAnsi="Bookman Old Style" w:cs="Times New Roman"/>
      <w:b/>
      <w:kern w:val="18"/>
      <w:lang w:eastAsia="es-ES"/>
    </w:rPr>
  </w:style>
  <w:style w:type="character" w:customStyle="1" w:styleId="SubttuloCar">
    <w:name w:val="Subtítulo Car"/>
    <w:basedOn w:val="Fuentedeprrafopredeter"/>
    <w:link w:val="Subttulo"/>
    <w:rsid w:val="002C6F7C"/>
    <w:rPr>
      <w:rFonts w:ascii="Bookman Old Style" w:eastAsia="Times New Roman" w:hAnsi="Bookman Old Style" w:cs="Times New Roman"/>
      <w:b/>
      <w:kern w:val="18"/>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42D"/>
    <w:pPr>
      <w:suppressAutoHyphens/>
      <w:spacing w:after="0" w:line="240" w:lineRule="auto"/>
    </w:pPr>
    <w:rPr>
      <w:rFonts w:ascii="Arial" w:eastAsia="Times New Roman" w:hAnsi="Arial" w:cs="Arial"/>
      <w:sz w:val="24"/>
      <w:szCs w:val="24"/>
      <w:lang w:val="es-ES" w:eastAsia="zh-CN"/>
    </w:rPr>
  </w:style>
  <w:style w:type="paragraph" w:styleId="Ttulo2">
    <w:name w:val="heading 2"/>
    <w:basedOn w:val="Normal"/>
    <w:next w:val="Textoindependiente"/>
    <w:link w:val="Ttulo2Car"/>
    <w:qFormat/>
    <w:rsid w:val="002C6F7C"/>
    <w:pPr>
      <w:suppressAutoHyphens w:val="0"/>
      <w:spacing w:after="170" w:line="360" w:lineRule="auto"/>
      <w:outlineLvl w:val="1"/>
    </w:pPr>
    <w:rPr>
      <w:rFonts w:cs="Times New Roman"/>
      <w:b/>
      <w:kern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342D"/>
    <w:pPr>
      <w:ind w:left="720"/>
      <w:contextualSpacing/>
    </w:pPr>
  </w:style>
  <w:style w:type="paragraph" w:styleId="Textoindependiente">
    <w:name w:val="Body Text"/>
    <w:basedOn w:val="Normal"/>
    <w:link w:val="TextoindependienteCar"/>
    <w:rsid w:val="002C6F7C"/>
    <w:pPr>
      <w:spacing w:after="240" w:line="240" w:lineRule="atLeast"/>
      <w:jc w:val="both"/>
    </w:pPr>
    <w:rPr>
      <w:kern w:val="1"/>
      <w:szCs w:val="20"/>
      <w:lang w:val="es-ES_tradnl"/>
    </w:rPr>
  </w:style>
  <w:style w:type="character" w:customStyle="1" w:styleId="TextoindependienteCar">
    <w:name w:val="Texto independiente Car"/>
    <w:basedOn w:val="Fuentedeprrafopredeter"/>
    <w:link w:val="Textoindependiente"/>
    <w:rsid w:val="002C6F7C"/>
    <w:rPr>
      <w:rFonts w:ascii="Arial" w:eastAsia="Times New Roman" w:hAnsi="Arial" w:cs="Arial"/>
      <w:kern w:val="1"/>
      <w:sz w:val="24"/>
      <w:szCs w:val="20"/>
      <w:lang w:val="es-ES_tradnl" w:eastAsia="zh-CN"/>
    </w:rPr>
  </w:style>
  <w:style w:type="paragraph" w:customStyle="1" w:styleId="Ttulo1">
    <w:name w:val="Título1"/>
    <w:basedOn w:val="Normal"/>
    <w:next w:val="Normal"/>
    <w:link w:val="TtuloCar"/>
    <w:qFormat/>
    <w:rsid w:val="002C6F7C"/>
    <w:pPr>
      <w:suppressAutoHyphens w:val="0"/>
      <w:spacing w:line="360" w:lineRule="auto"/>
      <w:jc w:val="center"/>
      <w:outlineLvl w:val="0"/>
    </w:pPr>
    <w:rPr>
      <w:rFonts w:cs="Times New Roman"/>
      <w:b/>
      <w:caps/>
      <w:kern w:val="18"/>
      <w:sz w:val="28"/>
      <w:lang w:eastAsia="es-ES"/>
    </w:rPr>
  </w:style>
  <w:style w:type="character" w:customStyle="1" w:styleId="TtuloCar">
    <w:name w:val="Título Car"/>
    <w:link w:val="Ttulo1"/>
    <w:rsid w:val="002C6F7C"/>
    <w:rPr>
      <w:rFonts w:ascii="Arial" w:eastAsia="Times New Roman" w:hAnsi="Arial" w:cs="Times New Roman"/>
      <w:b/>
      <w:caps/>
      <w:kern w:val="18"/>
      <w:sz w:val="28"/>
      <w:szCs w:val="24"/>
      <w:lang w:val="es-ES" w:eastAsia="es-ES"/>
    </w:rPr>
  </w:style>
  <w:style w:type="character" w:customStyle="1" w:styleId="Ttulo2Car">
    <w:name w:val="Título 2 Car"/>
    <w:basedOn w:val="Fuentedeprrafopredeter"/>
    <w:link w:val="Ttulo2"/>
    <w:rsid w:val="002C6F7C"/>
    <w:rPr>
      <w:rFonts w:ascii="Arial" w:eastAsia="Times New Roman" w:hAnsi="Arial" w:cs="Times New Roman"/>
      <w:b/>
      <w:kern w:val="18"/>
      <w:sz w:val="24"/>
      <w:szCs w:val="24"/>
      <w:lang w:val="es-ES" w:eastAsia="es-ES"/>
    </w:rPr>
  </w:style>
  <w:style w:type="paragraph" w:styleId="Subttulo">
    <w:name w:val="Subtitle"/>
    <w:basedOn w:val="Normal"/>
    <w:link w:val="SubttuloCar"/>
    <w:qFormat/>
    <w:rsid w:val="002C6F7C"/>
    <w:pPr>
      <w:suppressAutoHyphens w:val="0"/>
      <w:spacing w:line="360" w:lineRule="auto"/>
      <w:jc w:val="both"/>
    </w:pPr>
    <w:rPr>
      <w:rFonts w:ascii="Bookman Old Style" w:hAnsi="Bookman Old Style" w:cs="Times New Roman"/>
      <w:b/>
      <w:kern w:val="18"/>
      <w:lang w:eastAsia="es-ES"/>
    </w:rPr>
  </w:style>
  <w:style w:type="character" w:customStyle="1" w:styleId="SubttuloCar">
    <w:name w:val="Subtítulo Car"/>
    <w:basedOn w:val="Fuentedeprrafopredeter"/>
    <w:link w:val="Subttulo"/>
    <w:rsid w:val="002C6F7C"/>
    <w:rPr>
      <w:rFonts w:ascii="Bookman Old Style" w:eastAsia="Times New Roman" w:hAnsi="Bookman Old Style" w:cs="Times New Roman"/>
      <w:b/>
      <w:kern w:val="18"/>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2F612-5C6D-4C8A-8BCA-5B6E3879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2048</Words>
  <Characters>11270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2018-07-31T15:17:00Z</cp:lastPrinted>
  <dcterms:created xsi:type="dcterms:W3CDTF">2018-07-31T15:07:00Z</dcterms:created>
  <dcterms:modified xsi:type="dcterms:W3CDTF">2018-09-20T20:35:00Z</dcterms:modified>
</cp:coreProperties>
</file>