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AC5" w:rsidRPr="00E35AC5" w:rsidRDefault="00E35AC5" w:rsidP="00E35AC5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bookmarkStart w:id="0" w:name="_GoBack"/>
      <w:bookmarkEnd w:id="0"/>
      <w:r w:rsidRPr="00E35AC5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RES. 186</w:t>
      </w:r>
      <w:r w:rsidR="006A6D0B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1</w:t>
      </w:r>
      <w:r w:rsidRPr="00E35AC5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/18</w:t>
      </w:r>
    </w:p>
    <w:p w:rsidR="00E35AC5" w:rsidRPr="00E35AC5" w:rsidRDefault="00E35AC5" w:rsidP="00E35AC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E35AC5" w:rsidRPr="00E35AC5" w:rsidRDefault="00E35AC5" w:rsidP="00E35AC5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Arial"/>
          <w:b/>
          <w:sz w:val="24"/>
          <w:szCs w:val="24"/>
          <w:lang w:val="es-ES_tradnl" w:eastAsia="es-ES"/>
        </w:rPr>
      </w:pPr>
      <w:r w:rsidRPr="00E35AC5">
        <w:rPr>
          <w:rFonts w:ascii="Helvetica" w:eastAsia="Times New Roman" w:hAnsi="Helvetica" w:cs="Arial"/>
          <w:b/>
          <w:sz w:val="24"/>
          <w:szCs w:val="24"/>
          <w:lang w:val="es-ES_tradnl" w:eastAsia="es-ES"/>
        </w:rPr>
        <w:t>RESOLUCION ADOPTADA POR EL</w:t>
      </w:r>
    </w:p>
    <w:p w:rsidR="00E35AC5" w:rsidRPr="00E35AC5" w:rsidRDefault="00E35AC5" w:rsidP="00E35AC5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eastAsia="Times New Roman" w:hAnsi="Helvetica" w:cs="Arial"/>
          <w:b/>
          <w:sz w:val="24"/>
          <w:szCs w:val="24"/>
          <w:lang w:val="es-ES_tradnl" w:eastAsia="es-ES"/>
        </w:rPr>
      </w:pPr>
    </w:p>
    <w:p w:rsidR="00E35AC5" w:rsidRPr="00E35AC5" w:rsidRDefault="00E35AC5" w:rsidP="00E35AC5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Arial"/>
          <w:b/>
          <w:sz w:val="24"/>
          <w:szCs w:val="24"/>
          <w:lang w:val="es-ES_tradnl" w:eastAsia="es-ES"/>
        </w:rPr>
      </w:pPr>
      <w:r w:rsidRPr="00E35AC5">
        <w:rPr>
          <w:rFonts w:ascii="Helvetica" w:eastAsia="Times New Roman" w:hAnsi="Helvetica" w:cs="Arial"/>
          <w:b/>
          <w:sz w:val="24"/>
          <w:szCs w:val="24"/>
          <w:lang w:val="es-ES_tradnl" w:eastAsia="es-ES"/>
        </w:rPr>
        <w:t>TRIBUNAL DE CUENTAS</w:t>
      </w:r>
    </w:p>
    <w:p w:rsidR="00E35AC5" w:rsidRPr="00E35AC5" w:rsidRDefault="00E35AC5" w:rsidP="00E35AC5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eastAsia="Times New Roman" w:hAnsi="Helvetica" w:cs="Arial"/>
          <w:b/>
          <w:sz w:val="24"/>
          <w:szCs w:val="24"/>
          <w:lang w:val="es-ES_tradnl" w:eastAsia="es-ES"/>
        </w:rPr>
      </w:pPr>
    </w:p>
    <w:p w:rsidR="00E35AC5" w:rsidRPr="00E35AC5" w:rsidRDefault="00E35AC5" w:rsidP="00E35AC5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Arial"/>
          <w:b/>
          <w:sz w:val="24"/>
          <w:szCs w:val="24"/>
          <w:lang w:val="es-ES_tradnl" w:eastAsia="es-ES"/>
        </w:rPr>
      </w:pPr>
      <w:r w:rsidRPr="00E35AC5">
        <w:rPr>
          <w:rFonts w:ascii="Helvetica" w:eastAsia="Times New Roman" w:hAnsi="Helvetica" w:cs="Arial"/>
          <w:b/>
          <w:sz w:val="24"/>
          <w:szCs w:val="24"/>
          <w:lang w:val="es-ES_tradnl" w:eastAsia="es-ES"/>
        </w:rPr>
        <w:t xml:space="preserve">EN SESION DE FECHA </w:t>
      </w:r>
      <w:r w:rsidR="00B36EB5">
        <w:rPr>
          <w:rFonts w:ascii="Helvetica" w:eastAsia="Times New Roman" w:hAnsi="Helvetica" w:cs="Arial"/>
          <w:b/>
          <w:sz w:val="24"/>
          <w:szCs w:val="24"/>
          <w:lang w:val="es-ES_tradnl" w:eastAsia="es-ES"/>
        </w:rPr>
        <w:t>6</w:t>
      </w:r>
      <w:r w:rsidRPr="00E35AC5">
        <w:rPr>
          <w:rFonts w:ascii="Helvetica" w:eastAsia="Times New Roman" w:hAnsi="Helvetica" w:cs="Arial"/>
          <w:b/>
          <w:sz w:val="24"/>
          <w:szCs w:val="24"/>
          <w:lang w:val="es-ES_tradnl" w:eastAsia="es-ES"/>
        </w:rPr>
        <w:t xml:space="preserve"> DE </w:t>
      </w:r>
      <w:r w:rsidR="00B36EB5">
        <w:rPr>
          <w:rFonts w:ascii="Helvetica" w:eastAsia="Times New Roman" w:hAnsi="Helvetica" w:cs="Arial"/>
          <w:b/>
          <w:sz w:val="24"/>
          <w:szCs w:val="24"/>
          <w:lang w:val="es-ES_tradnl" w:eastAsia="es-ES"/>
        </w:rPr>
        <w:t>JUNI</w:t>
      </w:r>
      <w:r w:rsidRPr="00E35AC5">
        <w:rPr>
          <w:rFonts w:ascii="Helvetica" w:eastAsia="Times New Roman" w:hAnsi="Helvetica" w:cs="Arial"/>
          <w:b/>
          <w:sz w:val="24"/>
          <w:szCs w:val="24"/>
          <w:lang w:val="es-ES_tradnl" w:eastAsia="es-ES"/>
        </w:rPr>
        <w:t>O</w:t>
      </w:r>
      <w:r w:rsidRPr="00E35AC5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 </w:t>
      </w:r>
      <w:r w:rsidRPr="00E35AC5">
        <w:rPr>
          <w:rFonts w:ascii="Helvetica" w:eastAsia="Times New Roman" w:hAnsi="Helvetica" w:cs="Arial"/>
          <w:b/>
          <w:sz w:val="24"/>
          <w:szCs w:val="24"/>
          <w:lang w:val="es-ES_tradnl" w:eastAsia="es-ES"/>
        </w:rPr>
        <w:t>DE 2018</w:t>
      </w:r>
    </w:p>
    <w:p w:rsidR="00E35AC5" w:rsidRPr="00E35AC5" w:rsidRDefault="00E35AC5" w:rsidP="00E35AC5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Arial"/>
          <w:b/>
          <w:sz w:val="24"/>
          <w:szCs w:val="24"/>
          <w:lang w:val="es-ES_tradnl" w:eastAsia="es-ES"/>
        </w:rPr>
      </w:pPr>
    </w:p>
    <w:p w:rsidR="00E35AC5" w:rsidRPr="00E35AC5" w:rsidRDefault="00E35AC5" w:rsidP="00E35AC5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Arial"/>
          <w:b/>
          <w:sz w:val="24"/>
          <w:szCs w:val="24"/>
          <w:lang w:eastAsia="es-ES"/>
        </w:rPr>
      </w:pPr>
      <w:r w:rsidRPr="00E35AC5">
        <w:rPr>
          <w:rFonts w:ascii="Helvetica" w:eastAsia="Times New Roman" w:hAnsi="Helvetica" w:cs="Arial"/>
          <w:b/>
          <w:sz w:val="24"/>
          <w:szCs w:val="24"/>
          <w:lang w:eastAsia="es-ES"/>
        </w:rPr>
        <w:t>(E. E. Nº 201</w:t>
      </w:r>
      <w:r w:rsidR="006A6D0B">
        <w:rPr>
          <w:rFonts w:ascii="Helvetica" w:eastAsia="Times New Roman" w:hAnsi="Helvetica" w:cs="Arial"/>
          <w:b/>
          <w:sz w:val="24"/>
          <w:szCs w:val="24"/>
          <w:lang w:eastAsia="es-ES"/>
        </w:rPr>
        <w:t>8</w:t>
      </w:r>
      <w:r w:rsidRPr="00E35AC5">
        <w:rPr>
          <w:rFonts w:ascii="Helvetica" w:eastAsia="Times New Roman" w:hAnsi="Helvetica" w:cs="Arial"/>
          <w:b/>
          <w:sz w:val="24"/>
          <w:szCs w:val="24"/>
          <w:lang w:eastAsia="es-ES"/>
        </w:rPr>
        <w:t>-17-1-000</w:t>
      </w:r>
      <w:r w:rsidR="006A6D0B">
        <w:rPr>
          <w:rFonts w:ascii="Helvetica" w:eastAsia="Times New Roman" w:hAnsi="Helvetica" w:cs="Arial"/>
          <w:b/>
          <w:sz w:val="24"/>
          <w:szCs w:val="24"/>
          <w:lang w:eastAsia="es-ES"/>
        </w:rPr>
        <w:t>3275</w:t>
      </w:r>
      <w:r w:rsidRPr="00E35AC5">
        <w:rPr>
          <w:rFonts w:ascii="Helvetica" w:eastAsia="Times New Roman" w:hAnsi="Helvetica" w:cs="Arial"/>
          <w:b/>
          <w:sz w:val="24"/>
          <w:szCs w:val="24"/>
          <w:lang w:eastAsia="es-ES"/>
        </w:rPr>
        <w:t xml:space="preserve">, </w:t>
      </w:r>
      <w:proofErr w:type="spellStart"/>
      <w:r w:rsidRPr="00E35AC5">
        <w:rPr>
          <w:rFonts w:ascii="Helvetica" w:eastAsia="Times New Roman" w:hAnsi="Helvetica" w:cs="Arial"/>
          <w:b/>
          <w:sz w:val="24"/>
          <w:szCs w:val="24"/>
          <w:lang w:eastAsia="es-ES"/>
        </w:rPr>
        <w:t>Ent</w:t>
      </w:r>
      <w:proofErr w:type="spellEnd"/>
      <w:r w:rsidRPr="00E35AC5">
        <w:rPr>
          <w:rFonts w:ascii="Helvetica" w:eastAsia="Times New Roman" w:hAnsi="Helvetica" w:cs="Arial"/>
          <w:b/>
          <w:sz w:val="24"/>
          <w:szCs w:val="24"/>
          <w:lang w:eastAsia="es-ES"/>
        </w:rPr>
        <w:t xml:space="preserve">. N° </w:t>
      </w:r>
      <w:r w:rsidR="006A6D0B">
        <w:rPr>
          <w:rFonts w:ascii="Helvetica" w:eastAsia="Times New Roman" w:hAnsi="Helvetica" w:cs="Arial"/>
          <w:b/>
          <w:sz w:val="24"/>
          <w:szCs w:val="24"/>
          <w:lang w:eastAsia="es-ES"/>
        </w:rPr>
        <w:t>2476</w:t>
      </w:r>
      <w:r w:rsidRPr="00E35AC5">
        <w:rPr>
          <w:rFonts w:ascii="Helvetica" w:eastAsia="Times New Roman" w:hAnsi="Helvetica" w:cs="Arial"/>
          <w:b/>
          <w:sz w:val="24"/>
          <w:szCs w:val="24"/>
          <w:lang w:eastAsia="es-ES"/>
        </w:rPr>
        <w:t>/18)</w:t>
      </w:r>
    </w:p>
    <w:p w:rsidR="00E35AC5" w:rsidRDefault="00E35AC5" w:rsidP="00DE505C">
      <w:pPr>
        <w:rPr>
          <w:rFonts w:ascii="Arial" w:hAnsi="Arial" w:cs="Arial"/>
          <w:b/>
          <w:sz w:val="24"/>
          <w:szCs w:val="24"/>
        </w:rPr>
      </w:pPr>
    </w:p>
    <w:p w:rsidR="009D54E0" w:rsidRDefault="00D303CF" w:rsidP="0087018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VISTO:</w:t>
      </w:r>
      <w:r w:rsidR="007B0CFC" w:rsidRPr="009D54E0">
        <w:rPr>
          <w:rFonts w:ascii="Arial" w:hAnsi="Arial" w:cs="Arial"/>
          <w:sz w:val="24"/>
          <w:szCs w:val="24"/>
        </w:rPr>
        <w:t xml:space="preserve"> </w:t>
      </w:r>
      <w:r w:rsidR="009D54E0" w:rsidRPr="009D54E0">
        <w:rPr>
          <w:rFonts w:ascii="Arial" w:hAnsi="Arial" w:cs="Arial"/>
          <w:sz w:val="24"/>
          <w:szCs w:val="24"/>
        </w:rPr>
        <w:t>las</w:t>
      </w:r>
      <w:r w:rsidR="009D54E0">
        <w:rPr>
          <w:rFonts w:ascii="Arial" w:hAnsi="Arial" w:cs="Arial"/>
          <w:sz w:val="24"/>
          <w:szCs w:val="24"/>
        </w:rPr>
        <w:t xml:space="preserve"> actuaciones remitidas por el </w:t>
      </w:r>
      <w:r w:rsidR="00D110C5">
        <w:rPr>
          <w:rFonts w:ascii="Arial" w:hAnsi="Arial" w:cs="Arial"/>
          <w:sz w:val="24"/>
          <w:szCs w:val="24"/>
        </w:rPr>
        <w:t>Consejo de Educación Técnico Profesional de la Universidad del Trabajo del Uruguay</w:t>
      </w:r>
      <w:r w:rsidR="00993D64">
        <w:rPr>
          <w:rFonts w:ascii="Arial" w:hAnsi="Arial" w:cs="Arial"/>
          <w:sz w:val="24"/>
          <w:szCs w:val="24"/>
        </w:rPr>
        <w:t xml:space="preserve"> (CETP-UTU)</w:t>
      </w:r>
      <w:r w:rsidR="00D110C5">
        <w:rPr>
          <w:rFonts w:ascii="Arial" w:hAnsi="Arial" w:cs="Arial"/>
          <w:sz w:val="24"/>
          <w:szCs w:val="24"/>
        </w:rPr>
        <w:t xml:space="preserve">, </w:t>
      </w:r>
      <w:r w:rsidR="009D54E0">
        <w:rPr>
          <w:rFonts w:ascii="Arial" w:hAnsi="Arial" w:cs="Arial"/>
          <w:sz w:val="24"/>
          <w:szCs w:val="24"/>
        </w:rPr>
        <w:t xml:space="preserve"> relacionadas con el convenio </w:t>
      </w:r>
      <w:r w:rsidR="00993D64">
        <w:rPr>
          <w:rFonts w:ascii="Arial" w:hAnsi="Arial" w:cs="Arial"/>
          <w:sz w:val="24"/>
          <w:szCs w:val="24"/>
        </w:rPr>
        <w:t>a suscribir</w:t>
      </w:r>
      <w:r w:rsidR="009D54E0">
        <w:rPr>
          <w:rFonts w:ascii="Arial" w:hAnsi="Arial" w:cs="Arial"/>
          <w:sz w:val="24"/>
          <w:szCs w:val="24"/>
        </w:rPr>
        <w:t xml:space="preserve"> con el Instituto Nacional de Empleo y Formación Profesional</w:t>
      </w:r>
      <w:r w:rsidR="00D110C5">
        <w:rPr>
          <w:rFonts w:ascii="Arial" w:hAnsi="Arial" w:cs="Arial"/>
          <w:sz w:val="24"/>
          <w:szCs w:val="24"/>
        </w:rPr>
        <w:t xml:space="preserve"> (</w:t>
      </w:r>
      <w:r w:rsidR="009D54E0">
        <w:rPr>
          <w:rFonts w:ascii="Arial" w:hAnsi="Arial" w:cs="Arial"/>
          <w:sz w:val="24"/>
          <w:szCs w:val="24"/>
        </w:rPr>
        <w:t>INEFOP</w:t>
      </w:r>
      <w:r w:rsidR="00D110C5">
        <w:rPr>
          <w:rFonts w:ascii="Arial" w:hAnsi="Arial" w:cs="Arial"/>
          <w:sz w:val="24"/>
          <w:szCs w:val="24"/>
        </w:rPr>
        <w:t>)</w:t>
      </w:r>
      <w:r w:rsidR="00E02583">
        <w:rPr>
          <w:rFonts w:ascii="Arial" w:hAnsi="Arial" w:cs="Arial"/>
          <w:sz w:val="24"/>
          <w:szCs w:val="24"/>
        </w:rPr>
        <w:t>;</w:t>
      </w:r>
    </w:p>
    <w:p w:rsidR="001B03F8" w:rsidRPr="001B03F8" w:rsidRDefault="009D54E0" w:rsidP="00870185">
      <w:pPr>
        <w:spacing w:after="0"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9D54E0">
        <w:rPr>
          <w:rFonts w:ascii="Arial" w:hAnsi="Arial" w:cs="Arial"/>
          <w:b/>
          <w:sz w:val="24"/>
          <w:szCs w:val="24"/>
        </w:rPr>
        <w:t xml:space="preserve">RESULTANDO: 1) </w:t>
      </w:r>
      <w:r w:rsidR="001B03F8" w:rsidRPr="001B03F8">
        <w:rPr>
          <w:rFonts w:ascii="Arial" w:hAnsi="Arial" w:cs="Arial"/>
          <w:sz w:val="24"/>
          <w:szCs w:val="24"/>
        </w:rPr>
        <w:t>que con fecha 16 de abril de 2013, el Consejo de Educación Técnico Profesional y el Instituto Nacional de Empleo y Formación Profesional suscribieron un acuerdo marco a los efectos de la realización de actividades de capacitación profesional;</w:t>
      </w:r>
    </w:p>
    <w:p w:rsidR="0055281A" w:rsidRDefault="0055281A" w:rsidP="00870185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55281A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</w:t>
      </w:r>
      <w:r w:rsidR="009D54E0" w:rsidRPr="009D54E0">
        <w:rPr>
          <w:rFonts w:ascii="Arial" w:hAnsi="Arial" w:cs="Arial"/>
          <w:sz w:val="24"/>
          <w:szCs w:val="24"/>
        </w:rPr>
        <w:t>ue</w:t>
      </w:r>
      <w:r>
        <w:rPr>
          <w:rFonts w:ascii="Arial" w:hAnsi="Arial" w:cs="Arial"/>
          <w:sz w:val="24"/>
          <w:szCs w:val="24"/>
        </w:rPr>
        <w:t xml:space="preserve"> en esta oportunidad</w:t>
      </w:r>
      <w:r w:rsidR="00D303C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 remiten antecedentes referentes al proyecto de convenio a suscribir entre </w:t>
      </w:r>
      <w:r w:rsidR="001555BE">
        <w:rPr>
          <w:rFonts w:ascii="Arial" w:hAnsi="Arial" w:cs="Arial"/>
          <w:sz w:val="24"/>
          <w:szCs w:val="24"/>
        </w:rPr>
        <w:t>el CETP</w:t>
      </w:r>
      <w:r w:rsidR="003A098B">
        <w:rPr>
          <w:rFonts w:ascii="Arial" w:hAnsi="Arial" w:cs="Arial"/>
          <w:sz w:val="24"/>
          <w:szCs w:val="24"/>
        </w:rPr>
        <w:t xml:space="preserve"> de UTU</w:t>
      </w:r>
      <w:r>
        <w:rPr>
          <w:rFonts w:ascii="Arial" w:hAnsi="Arial" w:cs="Arial"/>
          <w:sz w:val="24"/>
          <w:szCs w:val="24"/>
        </w:rPr>
        <w:t xml:space="preserve"> y el INEFOP, </w:t>
      </w:r>
      <w:r w:rsidR="009D54E0" w:rsidRPr="009D54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solicitud de </w:t>
      </w:r>
      <w:r w:rsidR="00191911">
        <w:rPr>
          <w:rFonts w:ascii="Arial" w:hAnsi="Arial" w:cs="Arial"/>
          <w:sz w:val="24"/>
          <w:szCs w:val="24"/>
        </w:rPr>
        <w:t xml:space="preserve">la Auditoria delegada de este Tribunal en el </w:t>
      </w:r>
      <w:r w:rsidR="00993D64">
        <w:rPr>
          <w:rFonts w:ascii="Arial" w:hAnsi="Arial" w:cs="Arial"/>
          <w:sz w:val="24"/>
          <w:szCs w:val="24"/>
        </w:rPr>
        <w:t>CET</w:t>
      </w:r>
      <w:r w:rsidR="00FB774A">
        <w:rPr>
          <w:rFonts w:ascii="Arial" w:hAnsi="Arial" w:cs="Arial"/>
          <w:sz w:val="24"/>
          <w:szCs w:val="24"/>
        </w:rPr>
        <w:t>P de</w:t>
      </w:r>
      <w:r w:rsidR="00750F62">
        <w:rPr>
          <w:rFonts w:ascii="Arial" w:hAnsi="Arial" w:cs="Arial"/>
          <w:sz w:val="24"/>
          <w:szCs w:val="24"/>
        </w:rPr>
        <w:t>stacada ante</w:t>
      </w:r>
      <w:r w:rsidR="00FB774A">
        <w:rPr>
          <w:rFonts w:ascii="Arial" w:hAnsi="Arial" w:cs="Arial"/>
          <w:sz w:val="24"/>
          <w:szCs w:val="24"/>
        </w:rPr>
        <w:t xml:space="preserve"> </w:t>
      </w:r>
      <w:r w:rsidR="00993D64">
        <w:rPr>
          <w:rFonts w:ascii="Arial" w:hAnsi="Arial" w:cs="Arial"/>
          <w:sz w:val="24"/>
          <w:szCs w:val="24"/>
        </w:rPr>
        <w:t>UTU</w:t>
      </w:r>
      <w:r w:rsidR="00FB774A">
        <w:rPr>
          <w:rFonts w:ascii="Arial" w:hAnsi="Arial" w:cs="Arial"/>
          <w:sz w:val="24"/>
          <w:szCs w:val="24"/>
        </w:rPr>
        <w:t>,</w:t>
      </w:r>
      <w:r w:rsidR="00993D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 virtud de que</w:t>
      </w:r>
      <w:r w:rsidR="00FB774A" w:rsidRPr="00FB774A">
        <w:rPr>
          <w:rFonts w:ascii="Arial" w:hAnsi="Arial" w:cs="Arial"/>
          <w:sz w:val="24"/>
          <w:szCs w:val="24"/>
        </w:rPr>
        <w:t xml:space="preserve"> </w:t>
      </w:r>
      <w:r w:rsidR="00FB774A">
        <w:rPr>
          <w:rFonts w:ascii="Arial" w:hAnsi="Arial" w:cs="Arial"/>
          <w:sz w:val="24"/>
          <w:szCs w:val="24"/>
        </w:rPr>
        <w:t>su monto supera el tope establecido para la intervención que le compete</w:t>
      </w:r>
      <w:r w:rsidR="00750F62">
        <w:rPr>
          <w:rFonts w:ascii="Arial" w:hAnsi="Arial" w:cs="Arial"/>
          <w:sz w:val="24"/>
          <w:szCs w:val="24"/>
        </w:rPr>
        <w:t>,</w:t>
      </w:r>
      <w:r w:rsidR="00432C12" w:rsidRPr="00432C12">
        <w:t xml:space="preserve"> </w:t>
      </w:r>
      <w:r w:rsidR="005070AE">
        <w:rPr>
          <w:rFonts w:ascii="Arial" w:hAnsi="Arial" w:cs="Arial"/>
          <w:sz w:val="24"/>
          <w:szCs w:val="24"/>
        </w:rPr>
        <w:t xml:space="preserve">establecido en el artículo </w:t>
      </w:r>
      <w:r w:rsidR="00432C12" w:rsidRPr="00432C12">
        <w:rPr>
          <w:rFonts w:ascii="Arial" w:hAnsi="Arial" w:cs="Arial"/>
          <w:sz w:val="24"/>
          <w:szCs w:val="24"/>
        </w:rPr>
        <w:t>16 de la Ordenanza Nº 64</w:t>
      </w:r>
      <w:r w:rsidR="001555BE">
        <w:rPr>
          <w:rFonts w:ascii="Arial" w:hAnsi="Arial" w:cs="Arial"/>
          <w:sz w:val="24"/>
          <w:szCs w:val="24"/>
        </w:rPr>
        <w:t xml:space="preserve"> de este Tribunal</w:t>
      </w:r>
      <w:r>
        <w:rPr>
          <w:rFonts w:ascii="Arial" w:hAnsi="Arial" w:cs="Arial"/>
          <w:sz w:val="24"/>
          <w:szCs w:val="24"/>
        </w:rPr>
        <w:t>;</w:t>
      </w:r>
    </w:p>
    <w:p w:rsidR="00FB774A" w:rsidRDefault="0055281A" w:rsidP="00870185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2D7BFA" w:rsidRPr="002D7BFA">
        <w:rPr>
          <w:rFonts w:ascii="Arial" w:hAnsi="Arial" w:cs="Arial"/>
          <w:b/>
          <w:sz w:val="24"/>
          <w:szCs w:val="24"/>
        </w:rPr>
        <w:t xml:space="preserve">) </w:t>
      </w:r>
      <w:r w:rsidR="009D54E0" w:rsidRPr="002D7BFA">
        <w:rPr>
          <w:rFonts w:ascii="Arial" w:hAnsi="Arial" w:cs="Arial"/>
          <w:b/>
          <w:sz w:val="24"/>
          <w:szCs w:val="24"/>
        </w:rPr>
        <w:t xml:space="preserve"> </w:t>
      </w:r>
      <w:r w:rsidR="002D7BFA">
        <w:rPr>
          <w:rFonts w:ascii="Arial" w:hAnsi="Arial" w:cs="Arial"/>
          <w:sz w:val="24"/>
          <w:szCs w:val="24"/>
        </w:rPr>
        <w:t xml:space="preserve">que </w:t>
      </w:r>
      <w:r w:rsidR="00FB774A">
        <w:rPr>
          <w:rFonts w:ascii="Arial" w:hAnsi="Arial" w:cs="Arial"/>
          <w:sz w:val="24"/>
          <w:szCs w:val="24"/>
        </w:rPr>
        <w:t xml:space="preserve">por Resolución N° 787/18, Acta N° 143 de fecha 10 de abril de 2018, el Consejo de Educación Técnico Profesional </w:t>
      </w:r>
      <w:r>
        <w:rPr>
          <w:rFonts w:ascii="Arial" w:hAnsi="Arial" w:cs="Arial"/>
          <w:sz w:val="24"/>
          <w:szCs w:val="24"/>
        </w:rPr>
        <w:t xml:space="preserve">de la ANEP </w:t>
      </w:r>
      <w:r w:rsidR="00FB774A">
        <w:rPr>
          <w:rFonts w:ascii="Arial" w:hAnsi="Arial" w:cs="Arial"/>
          <w:sz w:val="24"/>
          <w:szCs w:val="24"/>
        </w:rPr>
        <w:t>res</w:t>
      </w:r>
      <w:r>
        <w:rPr>
          <w:rFonts w:ascii="Arial" w:hAnsi="Arial" w:cs="Arial"/>
          <w:sz w:val="24"/>
          <w:szCs w:val="24"/>
        </w:rPr>
        <w:t>olvió</w:t>
      </w:r>
      <w:r w:rsidR="00FB774A">
        <w:rPr>
          <w:rFonts w:ascii="Arial" w:hAnsi="Arial" w:cs="Arial"/>
          <w:sz w:val="24"/>
          <w:szCs w:val="24"/>
        </w:rPr>
        <w:t xml:space="preserve"> aprobar el proyecto de</w:t>
      </w:r>
      <w:r w:rsidR="00D303CF">
        <w:rPr>
          <w:rFonts w:ascii="Arial" w:hAnsi="Arial" w:cs="Arial"/>
          <w:sz w:val="24"/>
          <w:szCs w:val="24"/>
        </w:rPr>
        <w:t>l</w:t>
      </w:r>
      <w:r w:rsidR="00FB774A">
        <w:rPr>
          <w:rFonts w:ascii="Arial" w:hAnsi="Arial" w:cs="Arial"/>
          <w:sz w:val="24"/>
          <w:szCs w:val="24"/>
        </w:rPr>
        <w:t xml:space="preserve"> “Convenio Específico entre el Instituto Nacional de Empleo y Formación Profesional (INEFOP) y el Consejo de Educación</w:t>
      </w:r>
      <w:r w:rsidR="003A098B">
        <w:rPr>
          <w:rFonts w:ascii="Arial" w:hAnsi="Arial" w:cs="Arial"/>
          <w:sz w:val="24"/>
          <w:szCs w:val="24"/>
        </w:rPr>
        <w:t xml:space="preserve"> Técnico </w:t>
      </w:r>
      <w:r w:rsidR="00FB774A">
        <w:rPr>
          <w:rFonts w:ascii="Arial" w:hAnsi="Arial" w:cs="Arial"/>
          <w:sz w:val="24"/>
          <w:szCs w:val="24"/>
        </w:rPr>
        <w:t>Profesional”</w:t>
      </w:r>
      <w:r w:rsidR="00804AAE">
        <w:rPr>
          <w:rFonts w:ascii="Arial" w:hAnsi="Arial" w:cs="Arial"/>
          <w:sz w:val="24"/>
          <w:szCs w:val="24"/>
        </w:rPr>
        <w:t>, elevando las actuaciones a este Tribunal previo a la autori</w:t>
      </w:r>
      <w:r w:rsidR="005070AE">
        <w:rPr>
          <w:rFonts w:ascii="Arial" w:hAnsi="Arial" w:cs="Arial"/>
          <w:sz w:val="24"/>
          <w:szCs w:val="24"/>
        </w:rPr>
        <w:t>zación de la suscripción del mismo</w:t>
      </w:r>
      <w:r w:rsidR="00804AAE">
        <w:rPr>
          <w:rFonts w:ascii="Arial" w:hAnsi="Arial" w:cs="Arial"/>
          <w:sz w:val="24"/>
          <w:szCs w:val="24"/>
        </w:rPr>
        <w:t>;</w:t>
      </w:r>
    </w:p>
    <w:p w:rsidR="00EC38FE" w:rsidRDefault="00ED480F" w:rsidP="00870185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E54E56" w:rsidRPr="00E54E56">
        <w:rPr>
          <w:rFonts w:ascii="Arial" w:hAnsi="Arial" w:cs="Arial"/>
          <w:b/>
          <w:sz w:val="24"/>
          <w:szCs w:val="24"/>
        </w:rPr>
        <w:t>)</w:t>
      </w:r>
      <w:r w:rsidR="00E54E56">
        <w:rPr>
          <w:rFonts w:ascii="Arial" w:hAnsi="Arial" w:cs="Arial"/>
          <w:sz w:val="24"/>
          <w:szCs w:val="24"/>
        </w:rPr>
        <w:t xml:space="preserve"> </w:t>
      </w:r>
      <w:r w:rsidR="0055281A">
        <w:rPr>
          <w:rFonts w:ascii="Arial" w:hAnsi="Arial" w:cs="Arial"/>
          <w:sz w:val="24"/>
          <w:szCs w:val="24"/>
        </w:rPr>
        <w:t>que el objeto de dicho convenio es la capacitación profesional</w:t>
      </w:r>
      <w:r>
        <w:rPr>
          <w:rFonts w:ascii="Arial" w:hAnsi="Arial" w:cs="Arial"/>
          <w:sz w:val="24"/>
          <w:szCs w:val="24"/>
        </w:rPr>
        <w:t xml:space="preserve"> </w:t>
      </w:r>
      <w:r w:rsidR="004F45AE">
        <w:rPr>
          <w:rFonts w:ascii="Arial" w:hAnsi="Arial" w:cs="Arial"/>
          <w:sz w:val="24"/>
          <w:szCs w:val="24"/>
        </w:rPr>
        <w:t xml:space="preserve">a brindar por el CETP-UTU  a través de la División de Capacitación </w:t>
      </w:r>
      <w:r w:rsidR="004F45AE">
        <w:rPr>
          <w:rFonts w:ascii="Arial" w:hAnsi="Arial" w:cs="Arial"/>
          <w:sz w:val="24"/>
          <w:szCs w:val="24"/>
        </w:rPr>
        <w:lastRenderedPageBreak/>
        <w:t>y Acreditac</w:t>
      </w:r>
      <w:r w:rsidR="00EC38FE">
        <w:rPr>
          <w:rFonts w:ascii="Arial" w:hAnsi="Arial" w:cs="Arial"/>
          <w:sz w:val="24"/>
          <w:szCs w:val="24"/>
        </w:rPr>
        <w:t xml:space="preserve">ión de </w:t>
      </w:r>
      <w:r w:rsidR="00D303CF">
        <w:rPr>
          <w:rFonts w:ascii="Arial" w:hAnsi="Arial" w:cs="Arial"/>
          <w:sz w:val="24"/>
          <w:szCs w:val="24"/>
        </w:rPr>
        <w:t>S</w:t>
      </w:r>
      <w:r w:rsidR="00EC38FE">
        <w:rPr>
          <w:rFonts w:ascii="Arial" w:hAnsi="Arial" w:cs="Arial"/>
          <w:sz w:val="24"/>
          <w:szCs w:val="24"/>
        </w:rPr>
        <w:t>aberes (DICAS)</w:t>
      </w:r>
      <w:r w:rsidR="00D303CF">
        <w:rPr>
          <w:rFonts w:ascii="Arial" w:hAnsi="Arial" w:cs="Arial"/>
          <w:sz w:val="24"/>
          <w:szCs w:val="24"/>
        </w:rPr>
        <w:t>, la que</w:t>
      </w:r>
      <w:r w:rsidR="00EC38FE">
        <w:rPr>
          <w:rFonts w:ascii="Arial" w:hAnsi="Arial" w:cs="Arial"/>
          <w:sz w:val="24"/>
          <w:szCs w:val="24"/>
        </w:rPr>
        <w:t xml:space="preserve"> estará destinada a beneficiarios derivados desde INEFOP</w:t>
      </w:r>
      <w:r w:rsidR="003A098B">
        <w:rPr>
          <w:rFonts w:ascii="Arial" w:hAnsi="Arial" w:cs="Arial"/>
          <w:sz w:val="24"/>
          <w:szCs w:val="24"/>
        </w:rPr>
        <w:t>,</w:t>
      </w:r>
      <w:r w:rsidR="00EC38FE">
        <w:rPr>
          <w:rFonts w:ascii="Arial" w:hAnsi="Arial" w:cs="Arial"/>
          <w:sz w:val="24"/>
          <w:szCs w:val="24"/>
        </w:rPr>
        <w:t xml:space="preserve"> quien realizará la entrevista previa y orientación a los mismos;</w:t>
      </w:r>
    </w:p>
    <w:p w:rsidR="00EC38FE" w:rsidRDefault="00EC38FE" w:rsidP="00870185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EC38FE">
        <w:rPr>
          <w:rFonts w:ascii="Arial" w:hAnsi="Arial" w:cs="Arial"/>
          <w:b/>
          <w:sz w:val="24"/>
          <w:szCs w:val="24"/>
        </w:rPr>
        <w:t>5)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</w:t>
      </w:r>
      <w:r w:rsidR="003A098B">
        <w:rPr>
          <w:rFonts w:ascii="Arial" w:hAnsi="Arial" w:cs="Arial"/>
          <w:sz w:val="24"/>
          <w:szCs w:val="24"/>
        </w:rPr>
        <w:t>los cursos a brindar por el C</w:t>
      </w:r>
      <w:r>
        <w:rPr>
          <w:rFonts w:ascii="Arial" w:hAnsi="Arial" w:cs="Arial"/>
          <w:sz w:val="24"/>
          <w:szCs w:val="24"/>
        </w:rPr>
        <w:t>ETP-UTU a beneficiarios de INEFOP son los siguientes: Mantenimiento general Básico: Sanitaria, Electricidad y Albañilería (2),</w:t>
      </w:r>
      <w:r w:rsidR="00D303C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Herrería tradicional (1), Carpintería en aluminio (1),</w:t>
      </w:r>
      <w:r w:rsidR="00D303C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procesos básicos de soldadura(2),</w:t>
      </w:r>
      <w:r w:rsidR="00D303C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procesos básicos de soldadura avanzada (2);</w:t>
      </w:r>
    </w:p>
    <w:p w:rsidR="00EC38FE" w:rsidRDefault="001555BE" w:rsidP="00870185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1555BE">
        <w:rPr>
          <w:rFonts w:ascii="Arial" w:hAnsi="Arial" w:cs="Arial"/>
          <w:b/>
          <w:sz w:val="24"/>
          <w:szCs w:val="24"/>
        </w:rPr>
        <w:t>6</w:t>
      </w:r>
      <w:r w:rsidR="00432C12" w:rsidRPr="001555BE">
        <w:rPr>
          <w:rFonts w:ascii="Arial" w:hAnsi="Arial" w:cs="Arial"/>
          <w:b/>
          <w:sz w:val="24"/>
          <w:szCs w:val="24"/>
        </w:rPr>
        <w:t>)</w:t>
      </w:r>
      <w:r w:rsidR="00432C12" w:rsidRPr="001555BE">
        <w:rPr>
          <w:rFonts w:ascii="Arial" w:hAnsi="Arial" w:cs="Arial"/>
          <w:sz w:val="24"/>
          <w:szCs w:val="24"/>
        </w:rPr>
        <w:t xml:space="preserve"> que </w:t>
      </w:r>
      <w:r w:rsidR="00394371">
        <w:rPr>
          <w:rFonts w:ascii="Arial" w:hAnsi="Arial" w:cs="Arial"/>
          <w:sz w:val="24"/>
          <w:szCs w:val="24"/>
        </w:rPr>
        <w:t>el costo</w:t>
      </w:r>
      <w:r w:rsidR="00432C12" w:rsidRPr="001555BE">
        <w:rPr>
          <w:rFonts w:ascii="Arial" w:hAnsi="Arial" w:cs="Arial"/>
          <w:sz w:val="24"/>
          <w:szCs w:val="24"/>
        </w:rPr>
        <w:t xml:space="preserve"> total </w:t>
      </w:r>
      <w:r w:rsidR="00394371">
        <w:rPr>
          <w:rFonts w:ascii="Arial" w:hAnsi="Arial" w:cs="Arial"/>
          <w:sz w:val="24"/>
          <w:szCs w:val="24"/>
        </w:rPr>
        <w:t xml:space="preserve">es </w:t>
      </w:r>
      <w:r w:rsidR="00432C12" w:rsidRPr="001555BE">
        <w:rPr>
          <w:rFonts w:ascii="Arial" w:hAnsi="Arial" w:cs="Arial"/>
          <w:sz w:val="24"/>
          <w:szCs w:val="24"/>
        </w:rPr>
        <w:t>de</w:t>
      </w:r>
      <w:r w:rsidR="00394371">
        <w:rPr>
          <w:rFonts w:ascii="Arial" w:hAnsi="Arial" w:cs="Arial"/>
          <w:sz w:val="24"/>
          <w:szCs w:val="24"/>
        </w:rPr>
        <w:t xml:space="preserve"> </w:t>
      </w:r>
      <w:r w:rsidR="00394371" w:rsidRPr="001555BE">
        <w:rPr>
          <w:rFonts w:ascii="Arial" w:hAnsi="Arial" w:cs="Arial"/>
          <w:sz w:val="24"/>
          <w:szCs w:val="24"/>
        </w:rPr>
        <w:t>2.310.450</w:t>
      </w:r>
      <w:r w:rsidR="00394371">
        <w:rPr>
          <w:rFonts w:ascii="Arial" w:hAnsi="Arial" w:cs="Arial"/>
          <w:sz w:val="24"/>
          <w:szCs w:val="24"/>
        </w:rPr>
        <w:t xml:space="preserve"> Unidades Indexadas, (equivalente a</w:t>
      </w:r>
      <w:r w:rsidR="00432C12" w:rsidRPr="001555BE">
        <w:rPr>
          <w:rFonts w:ascii="Arial" w:hAnsi="Arial" w:cs="Arial"/>
          <w:sz w:val="24"/>
          <w:szCs w:val="24"/>
        </w:rPr>
        <w:t xml:space="preserve"> $ 8:900.546</w:t>
      </w:r>
      <w:r w:rsidR="00394371">
        <w:rPr>
          <w:rFonts w:ascii="Arial" w:hAnsi="Arial" w:cs="Arial"/>
          <w:sz w:val="24"/>
          <w:szCs w:val="24"/>
        </w:rPr>
        <w:t>)</w:t>
      </w:r>
      <w:r w:rsidR="00D303CF">
        <w:rPr>
          <w:rFonts w:ascii="Arial" w:hAnsi="Arial" w:cs="Arial"/>
          <w:sz w:val="24"/>
          <w:szCs w:val="24"/>
        </w:rPr>
        <w:t xml:space="preserve">. El </w:t>
      </w:r>
      <w:r w:rsidR="00EC38FE">
        <w:rPr>
          <w:rFonts w:ascii="Arial" w:hAnsi="Arial" w:cs="Arial"/>
          <w:sz w:val="24"/>
          <w:szCs w:val="24"/>
        </w:rPr>
        <w:t>INEFOP abonará a CETP-UTU el costo total en U</w:t>
      </w:r>
      <w:r w:rsidR="00776423">
        <w:rPr>
          <w:rFonts w:ascii="Arial" w:hAnsi="Arial" w:cs="Arial"/>
          <w:sz w:val="24"/>
          <w:szCs w:val="24"/>
        </w:rPr>
        <w:t xml:space="preserve">nidades Indexadas </w:t>
      </w:r>
      <w:r w:rsidR="00D303CF">
        <w:rPr>
          <w:rFonts w:ascii="Arial" w:hAnsi="Arial" w:cs="Arial"/>
          <w:sz w:val="24"/>
          <w:szCs w:val="24"/>
        </w:rPr>
        <w:t>d</w:t>
      </w:r>
      <w:r w:rsidR="00776423">
        <w:rPr>
          <w:rFonts w:ascii="Arial" w:hAnsi="Arial" w:cs="Arial"/>
          <w:sz w:val="24"/>
          <w:szCs w:val="24"/>
        </w:rPr>
        <w:t>e la siguiente forma: 50% de cada curso al inicio del mismo y 50% a su finalización, monto que se</w:t>
      </w:r>
      <w:r w:rsidR="00EC38FE">
        <w:rPr>
          <w:rFonts w:ascii="Arial" w:hAnsi="Arial" w:cs="Arial"/>
          <w:sz w:val="24"/>
          <w:szCs w:val="24"/>
        </w:rPr>
        <w:t xml:space="preserve"> depositará en la Cuenta Corriente del Banco </w:t>
      </w:r>
      <w:r w:rsidR="00776423">
        <w:rPr>
          <w:rFonts w:ascii="Arial" w:hAnsi="Arial" w:cs="Arial"/>
          <w:sz w:val="24"/>
          <w:szCs w:val="24"/>
        </w:rPr>
        <w:t>República</w:t>
      </w:r>
      <w:r w:rsidR="00EC38FE">
        <w:rPr>
          <w:rFonts w:ascii="Arial" w:hAnsi="Arial" w:cs="Arial"/>
          <w:sz w:val="24"/>
          <w:szCs w:val="24"/>
        </w:rPr>
        <w:t xml:space="preserve"> Oriental del </w:t>
      </w:r>
      <w:r w:rsidR="00776423">
        <w:rPr>
          <w:rFonts w:ascii="Arial" w:hAnsi="Arial" w:cs="Arial"/>
          <w:sz w:val="24"/>
          <w:szCs w:val="24"/>
        </w:rPr>
        <w:t>Uruguay</w:t>
      </w:r>
      <w:r w:rsidR="00EC38FE">
        <w:rPr>
          <w:rFonts w:ascii="Arial" w:hAnsi="Arial" w:cs="Arial"/>
          <w:sz w:val="24"/>
          <w:szCs w:val="24"/>
        </w:rPr>
        <w:t xml:space="preserve"> N°</w:t>
      </w:r>
      <w:r w:rsidR="00870185">
        <w:rPr>
          <w:rFonts w:ascii="Arial" w:hAnsi="Arial" w:cs="Arial"/>
          <w:sz w:val="24"/>
          <w:szCs w:val="24"/>
        </w:rPr>
        <w:t xml:space="preserve"> </w:t>
      </w:r>
      <w:r w:rsidR="00EC38FE">
        <w:rPr>
          <w:rFonts w:ascii="Arial" w:hAnsi="Arial" w:cs="Arial"/>
          <w:sz w:val="24"/>
          <w:szCs w:val="24"/>
        </w:rPr>
        <w:t>152-29038</w:t>
      </w:r>
      <w:r w:rsidR="00776423">
        <w:rPr>
          <w:rFonts w:ascii="Arial" w:hAnsi="Arial" w:cs="Arial"/>
          <w:sz w:val="24"/>
          <w:szCs w:val="24"/>
        </w:rPr>
        <w:t>,</w:t>
      </w:r>
      <w:r w:rsidR="00EC38FE">
        <w:rPr>
          <w:rFonts w:ascii="Arial" w:hAnsi="Arial" w:cs="Arial"/>
          <w:sz w:val="24"/>
          <w:szCs w:val="24"/>
        </w:rPr>
        <w:t xml:space="preserve"> </w:t>
      </w:r>
      <w:r w:rsidR="00776423">
        <w:rPr>
          <w:rFonts w:ascii="Arial" w:hAnsi="Arial" w:cs="Arial"/>
          <w:sz w:val="24"/>
          <w:szCs w:val="24"/>
        </w:rPr>
        <w:t>con cargo a los recursos financieros correspondientes</w:t>
      </w:r>
      <w:r w:rsidR="00D303CF">
        <w:rPr>
          <w:rFonts w:ascii="Arial" w:hAnsi="Arial" w:cs="Arial"/>
          <w:sz w:val="24"/>
          <w:szCs w:val="24"/>
        </w:rPr>
        <w:t>;</w:t>
      </w:r>
    </w:p>
    <w:p w:rsidR="008D6D7A" w:rsidRDefault="00D303CF" w:rsidP="00870185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1555BE" w:rsidRPr="001555BE">
        <w:rPr>
          <w:rFonts w:ascii="Arial" w:hAnsi="Arial" w:cs="Arial"/>
          <w:b/>
          <w:sz w:val="24"/>
          <w:szCs w:val="24"/>
        </w:rPr>
        <w:t>)</w:t>
      </w:r>
      <w:r w:rsidR="001555BE">
        <w:rPr>
          <w:rFonts w:ascii="Arial" w:hAnsi="Arial" w:cs="Arial"/>
          <w:sz w:val="24"/>
          <w:szCs w:val="24"/>
        </w:rPr>
        <w:t xml:space="preserve"> que</w:t>
      </w:r>
      <w:r w:rsidR="00EC38FE">
        <w:rPr>
          <w:rFonts w:ascii="Arial" w:hAnsi="Arial" w:cs="Arial"/>
          <w:sz w:val="24"/>
          <w:szCs w:val="24"/>
        </w:rPr>
        <w:t xml:space="preserve"> la capacitación </w:t>
      </w:r>
      <w:r w:rsidR="001555BE">
        <w:rPr>
          <w:rFonts w:ascii="Arial" w:hAnsi="Arial" w:cs="Arial"/>
          <w:sz w:val="24"/>
          <w:szCs w:val="24"/>
        </w:rPr>
        <w:t>se llevará a cabo en el</w:t>
      </w:r>
      <w:r w:rsidR="00EC38FE">
        <w:rPr>
          <w:rFonts w:ascii="Arial" w:hAnsi="Arial" w:cs="Arial"/>
          <w:sz w:val="24"/>
          <w:szCs w:val="24"/>
        </w:rPr>
        <w:t xml:space="preserve"> Centro de Capacitaciones Tres Cruces,</w:t>
      </w:r>
      <w:r w:rsidR="00432C12">
        <w:rPr>
          <w:rFonts w:ascii="Arial" w:hAnsi="Arial" w:cs="Arial"/>
          <w:sz w:val="24"/>
          <w:szCs w:val="24"/>
        </w:rPr>
        <w:t xml:space="preserve"> el cual</w:t>
      </w:r>
      <w:r w:rsidR="00EC38FE">
        <w:rPr>
          <w:rFonts w:ascii="Arial" w:hAnsi="Arial" w:cs="Arial"/>
          <w:sz w:val="24"/>
          <w:szCs w:val="24"/>
        </w:rPr>
        <w:t xml:space="preserve"> aportará su </w:t>
      </w:r>
      <w:r w:rsidR="008D6D7A">
        <w:rPr>
          <w:rFonts w:ascii="Arial" w:hAnsi="Arial" w:cs="Arial"/>
          <w:sz w:val="24"/>
          <w:szCs w:val="24"/>
        </w:rPr>
        <w:t>infraestructura</w:t>
      </w:r>
      <w:r w:rsidR="00EC38FE">
        <w:rPr>
          <w:rFonts w:ascii="Arial" w:hAnsi="Arial" w:cs="Arial"/>
          <w:sz w:val="24"/>
          <w:szCs w:val="24"/>
        </w:rPr>
        <w:t xml:space="preserve"> y locales para </w:t>
      </w:r>
      <w:r w:rsidR="008D6D7A">
        <w:rPr>
          <w:rFonts w:ascii="Arial" w:hAnsi="Arial" w:cs="Arial"/>
          <w:sz w:val="24"/>
          <w:szCs w:val="24"/>
        </w:rPr>
        <w:t>el dictado de todos los cursos;</w:t>
      </w:r>
    </w:p>
    <w:p w:rsidR="0006517A" w:rsidRDefault="00D303CF" w:rsidP="00870185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A128EB" w:rsidRPr="00A128EB">
        <w:rPr>
          <w:rFonts w:ascii="Arial" w:hAnsi="Arial" w:cs="Arial"/>
          <w:b/>
          <w:sz w:val="24"/>
          <w:szCs w:val="24"/>
        </w:rPr>
        <w:t>)</w:t>
      </w:r>
      <w:r w:rsidR="00EC38FE">
        <w:rPr>
          <w:rFonts w:ascii="Arial" w:hAnsi="Arial" w:cs="Arial"/>
          <w:sz w:val="24"/>
          <w:szCs w:val="24"/>
        </w:rPr>
        <w:t xml:space="preserve"> </w:t>
      </w:r>
      <w:r w:rsidR="008D6D7A">
        <w:rPr>
          <w:rFonts w:ascii="Arial" w:hAnsi="Arial" w:cs="Arial"/>
          <w:sz w:val="24"/>
          <w:szCs w:val="24"/>
        </w:rPr>
        <w:t xml:space="preserve">que </w:t>
      </w:r>
      <w:r w:rsidR="00ED6144">
        <w:rPr>
          <w:rFonts w:ascii="Arial" w:hAnsi="Arial" w:cs="Arial"/>
          <w:sz w:val="24"/>
          <w:szCs w:val="24"/>
        </w:rPr>
        <w:t xml:space="preserve">se abonará </w:t>
      </w:r>
      <w:r w:rsidR="008D6D7A">
        <w:rPr>
          <w:rFonts w:ascii="Arial" w:hAnsi="Arial" w:cs="Arial"/>
          <w:sz w:val="24"/>
          <w:szCs w:val="24"/>
        </w:rPr>
        <w:t>el costo unitario por participante con un mínimo de asistencia del 80%</w:t>
      </w:r>
      <w:r w:rsidR="00A128EB">
        <w:rPr>
          <w:rFonts w:ascii="Arial" w:hAnsi="Arial" w:cs="Arial"/>
          <w:sz w:val="24"/>
          <w:szCs w:val="24"/>
        </w:rPr>
        <w:t>, conformando</w:t>
      </w:r>
      <w:r w:rsidR="008D6D7A">
        <w:rPr>
          <w:rFonts w:ascii="Arial" w:hAnsi="Arial" w:cs="Arial"/>
          <w:sz w:val="24"/>
          <w:szCs w:val="24"/>
        </w:rPr>
        <w:t xml:space="preserve"> la unidad grupal con 16 participantes, estableciendo un tope máximo para la inscripción de hasta 20 participantes</w:t>
      </w:r>
      <w:r w:rsidR="0006517A">
        <w:rPr>
          <w:rFonts w:ascii="Arial" w:hAnsi="Arial" w:cs="Arial"/>
          <w:sz w:val="24"/>
          <w:szCs w:val="24"/>
        </w:rPr>
        <w:t>, con un mínimo de 1</w:t>
      </w:r>
      <w:r w:rsidR="003A098B">
        <w:rPr>
          <w:rFonts w:ascii="Arial" w:hAnsi="Arial" w:cs="Arial"/>
          <w:sz w:val="24"/>
          <w:szCs w:val="24"/>
        </w:rPr>
        <w:t>2</w:t>
      </w:r>
      <w:r w:rsidR="0006517A">
        <w:rPr>
          <w:rFonts w:ascii="Arial" w:hAnsi="Arial" w:cs="Arial"/>
          <w:sz w:val="24"/>
          <w:szCs w:val="24"/>
        </w:rPr>
        <w:t xml:space="preserve"> participantes. </w:t>
      </w:r>
      <w:r w:rsidR="00ED6144">
        <w:rPr>
          <w:rFonts w:ascii="Arial" w:hAnsi="Arial" w:cs="Arial"/>
          <w:sz w:val="24"/>
          <w:szCs w:val="24"/>
        </w:rPr>
        <w:t>E</w:t>
      </w:r>
      <w:r w:rsidR="008D6D7A">
        <w:rPr>
          <w:rFonts w:ascii="Arial" w:hAnsi="Arial" w:cs="Arial"/>
          <w:sz w:val="24"/>
          <w:szCs w:val="24"/>
        </w:rPr>
        <w:t>n el caso de inicia</w:t>
      </w:r>
      <w:r w:rsidR="00ED6144">
        <w:rPr>
          <w:rFonts w:ascii="Arial" w:hAnsi="Arial" w:cs="Arial"/>
          <w:sz w:val="24"/>
          <w:szCs w:val="24"/>
        </w:rPr>
        <w:t>r</w:t>
      </w:r>
      <w:r w:rsidR="008D6D7A">
        <w:rPr>
          <w:rFonts w:ascii="Arial" w:hAnsi="Arial" w:cs="Arial"/>
          <w:sz w:val="24"/>
          <w:szCs w:val="24"/>
        </w:rPr>
        <w:t xml:space="preserve"> la capacitación con un</w:t>
      </w:r>
      <w:r w:rsidR="00ED6144">
        <w:rPr>
          <w:rFonts w:ascii="Arial" w:hAnsi="Arial" w:cs="Arial"/>
          <w:sz w:val="24"/>
          <w:szCs w:val="24"/>
        </w:rPr>
        <w:t xml:space="preserve"> nú</w:t>
      </w:r>
      <w:r w:rsidR="008D6D7A">
        <w:rPr>
          <w:rFonts w:ascii="Arial" w:hAnsi="Arial" w:cs="Arial"/>
          <w:sz w:val="24"/>
          <w:szCs w:val="24"/>
        </w:rPr>
        <w:t xml:space="preserve">mero de participantes inferior </w:t>
      </w:r>
      <w:r w:rsidR="003A098B">
        <w:rPr>
          <w:rFonts w:ascii="Arial" w:hAnsi="Arial" w:cs="Arial"/>
          <w:sz w:val="24"/>
          <w:szCs w:val="24"/>
        </w:rPr>
        <w:t xml:space="preserve">a 16, </w:t>
      </w:r>
      <w:r w:rsidR="008D6D7A">
        <w:rPr>
          <w:rFonts w:ascii="Arial" w:hAnsi="Arial" w:cs="Arial"/>
          <w:sz w:val="24"/>
          <w:szCs w:val="24"/>
        </w:rPr>
        <w:t xml:space="preserve">se abonará </w:t>
      </w:r>
      <w:r w:rsidR="0006517A">
        <w:rPr>
          <w:rFonts w:ascii="Arial" w:hAnsi="Arial" w:cs="Arial"/>
          <w:sz w:val="24"/>
          <w:szCs w:val="24"/>
        </w:rPr>
        <w:t>una dieciseisava parte del monto del curso por cada participante adicional;</w:t>
      </w:r>
    </w:p>
    <w:p w:rsidR="001555BE" w:rsidRPr="001555BE" w:rsidRDefault="00D303CF" w:rsidP="00870185">
      <w:pPr>
        <w:spacing w:after="0" w:line="360" w:lineRule="auto"/>
        <w:ind w:firstLine="269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A128EB" w:rsidRPr="00A128EB">
        <w:rPr>
          <w:rFonts w:ascii="Arial" w:hAnsi="Arial" w:cs="Arial"/>
          <w:b/>
          <w:sz w:val="24"/>
          <w:szCs w:val="24"/>
        </w:rPr>
        <w:t>)</w:t>
      </w:r>
      <w:r w:rsidR="00A128EB">
        <w:rPr>
          <w:rFonts w:ascii="Arial" w:hAnsi="Arial" w:cs="Arial"/>
          <w:sz w:val="24"/>
          <w:szCs w:val="24"/>
        </w:rPr>
        <w:t xml:space="preserve"> </w:t>
      </w:r>
      <w:r w:rsidR="001555BE" w:rsidRPr="001555BE">
        <w:rPr>
          <w:rFonts w:ascii="Arial" w:hAnsi="Arial" w:cs="Arial"/>
          <w:sz w:val="24"/>
          <w:szCs w:val="24"/>
        </w:rPr>
        <w:t>que el CETP – UTU se compromete a elevar un informe final de cada curso, describiendo lo realizado, los contenidos abordados, la asistencia de los participantes y una evaluación de acuerdo a los objetivos de curso y del presente Convenio;</w:t>
      </w:r>
    </w:p>
    <w:p w:rsidR="00D303CF" w:rsidRDefault="001555BE" w:rsidP="00870185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804AAE">
        <w:rPr>
          <w:rFonts w:ascii="Arial" w:hAnsi="Arial" w:cs="Arial"/>
          <w:b/>
          <w:sz w:val="24"/>
          <w:szCs w:val="24"/>
        </w:rPr>
        <w:t>0</w:t>
      </w:r>
      <w:r w:rsidRPr="001555BE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128EB">
        <w:rPr>
          <w:rFonts w:ascii="Arial" w:hAnsi="Arial" w:cs="Arial"/>
          <w:sz w:val="24"/>
          <w:szCs w:val="24"/>
        </w:rPr>
        <w:t>que</w:t>
      </w:r>
      <w:r w:rsidR="0006517A">
        <w:rPr>
          <w:rFonts w:ascii="Arial" w:hAnsi="Arial" w:cs="Arial"/>
          <w:sz w:val="24"/>
          <w:szCs w:val="24"/>
        </w:rPr>
        <w:t xml:space="preserve"> el plazo del convenio comenzará a regir desde la fecha de su firma y tendrá vigencia</w:t>
      </w:r>
      <w:r w:rsidR="00A128EB">
        <w:rPr>
          <w:rFonts w:ascii="Arial" w:hAnsi="Arial" w:cs="Arial"/>
          <w:sz w:val="24"/>
          <w:szCs w:val="24"/>
        </w:rPr>
        <w:t xml:space="preserve"> </w:t>
      </w:r>
      <w:r w:rsidR="0006517A">
        <w:rPr>
          <w:rFonts w:ascii="Arial" w:hAnsi="Arial" w:cs="Arial"/>
          <w:sz w:val="24"/>
          <w:szCs w:val="24"/>
        </w:rPr>
        <w:t>hasta el 31 de diciembre de 2018, que</w:t>
      </w:r>
      <w:r w:rsidR="00A128EB">
        <w:rPr>
          <w:rFonts w:ascii="Arial" w:hAnsi="Arial" w:cs="Arial"/>
          <w:sz w:val="24"/>
          <w:szCs w:val="24"/>
        </w:rPr>
        <w:t xml:space="preserve">dando la ejecución de los cursos sujeta a la conformación de los grupos correspondientes. Asimismo los cursos que no comenzaran durante el </w:t>
      </w:r>
      <w:r w:rsidR="00D303CF">
        <w:rPr>
          <w:rFonts w:ascii="Arial" w:hAnsi="Arial" w:cs="Arial"/>
          <w:sz w:val="24"/>
          <w:szCs w:val="24"/>
        </w:rPr>
        <w:t>período previsto en el convenio</w:t>
      </w:r>
      <w:r w:rsidR="00A128EB">
        <w:rPr>
          <w:rFonts w:ascii="Arial" w:hAnsi="Arial" w:cs="Arial"/>
          <w:sz w:val="24"/>
          <w:szCs w:val="24"/>
        </w:rPr>
        <w:t xml:space="preserve"> y desde INEFOP se considere pertinente su ejecución, se podrán habilitar a través de adendas, previa aprobación correspondiente, actualizando la cotización de la U</w:t>
      </w:r>
      <w:r>
        <w:rPr>
          <w:rFonts w:ascii="Arial" w:hAnsi="Arial" w:cs="Arial"/>
          <w:sz w:val="24"/>
          <w:szCs w:val="24"/>
        </w:rPr>
        <w:t xml:space="preserve">nidad </w:t>
      </w:r>
      <w:r w:rsidR="00A128EB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ndexada</w:t>
      </w:r>
      <w:r w:rsidR="00A128EB">
        <w:rPr>
          <w:rFonts w:ascii="Arial" w:hAnsi="Arial" w:cs="Arial"/>
          <w:sz w:val="24"/>
          <w:szCs w:val="24"/>
        </w:rPr>
        <w:t xml:space="preserve"> v</w:t>
      </w:r>
      <w:r w:rsidR="00E02583">
        <w:rPr>
          <w:rFonts w:ascii="Arial" w:hAnsi="Arial" w:cs="Arial"/>
          <w:sz w:val="24"/>
          <w:szCs w:val="24"/>
        </w:rPr>
        <w:t>igente a la firma de la adenda;</w:t>
      </w:r>
    </w:p>
    <w:p w:rsidR="0006517A" w:rsidRPr="00D303CF" w:rsidRDefault="00404E24" w:rsidP="00522B8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CONSIDERANDO: </w:t>
      </w:r>
      <w:r w:rsidR="0006517A" w:rsidRPr="0006517A">
        <w:rPr>
          <w:rFonts w:ascii="Arial" w:hAnsi="Arial" w:cs="Arial"/>
          <w:b/>
          <w:sz w:val="24"/>
          <w:szCs w:val="24"/>
        </w:rPr>
        <w:t>1)</w:t>
      </w:r>
      <w:r w:rsidR="0006517A" w:rsidRPr="0006517A">
        <w:rPr>
          <w:rFonts w:ascii="Arial" w:hAnsi="Arial" w:cs="Arial"/>
          <w:sz w:val="24"/>
          <w:szCs w:val="24"/>
        </w:rPr>
        <w:t xml:space="preserve"> que el Instituto Nacional de Empleo y Formación Profesional, es una persona pública no estatal</w:t>
      </w:r>
      <w:r w:rsidR="00512C54">
        <w:rPr>
          <w:rFonts w:ascii="Arial" w:hAnsi="Arial" w:cs="Arial"/>
          <w:sz w:val="24"/>
          <w:szCs w:val="24"/>
        </w:rPr>
        <w:t xml:space="preserve"> de carácter tripartito</w:t>
      </w:r>
      <w:r w:rsidR="0006517A" w:rsidRPr="0006517A">
        <w:rPr>
          <w:rFonts w:ascii="Arial" w:hAnsi="Arial" w:cs="Arial"/>
          <w:sz w:val="24"/>
          <w:szCs w:val="24"/>
        </w:rPr>
        <w:t>, creada por el ar</w:t>
      </w:r>
      <w:r w:rsidR="00512C54">
        <w:rPr>
          <w:rFonts w:ascii="Arial" w:hAnsi="Arial" w:cs="Arial"/>
          <w:sz w:val="24"/>
          <w:szCs w:val="24"/>
        </w:rPr>
        <w:t>tículo</w:t>
      </w:r>
      <w:r w:rsidR="0006517A" w:rsidRPr="0006517A">
        <w:rPr>
          <w:rFonts w:ascii="Arial" w:hAnsi="Arial" w:cs="Arial"/>
          <w:sz w:val="24"/>
          <w:szCs w:val="24"/>
        </w:rPr>
        <w:t xml:space="preserve"> 1</w:t>
      </w:r>
      <w:r w:rsidR="00A128EB">
        <w:rPr>
          <w:rFonts w:ascii="Arial" w:hAnsi="Arial" w:cs="Arial"/>
          <w:sz w:val="24"/>
          <w:szCs w:val="24"/>
        </w:rPr>
        <w:t>°</w:t>
      </w:r>
      <w:r w:rsidR="0006517A" w:rsidRPr="0006517A">
        <w:rPr>
          <w:rFonts w:ascii="Arial" w:hAnsi="Arial" w:cs="Arial"/>
          <w:sz w:val="24"/>
          <w:szCs w:val="24"/>
        </w:rPr>
        <w:t xml:space="preserve"> de Ley </w:t>
      </w:r>
      <w:r w:rsidR="00512C54">
        <w:rPr>
          <w:rFonts w:ascii="Arial" w:hAnsi="Arial" w:cs="Arial"/>
          <w:sz w:val="24"/>
          <w:szCs w:val="24"/>
        </w:rPr>
        <w:t xml:space="preserve">Nº </w:t>
      </w:r>
      <w:r w:rsidR="0006517A" w:rsidRPr="0006517A">
        <w:rPr>
          <w:rFonts w:ascii="Arial" w:hAnsi="Arial" w:cs="Arial"/>
          <w:sz w:val="24"/>
          <w:szCs w:val="24"/>
        </w:rPr>
        <w:t>18.406</w:t>
      </w:r>
      <w:r w:rsidR="001555BE">
        <w:rPr>
          <w:rFonts w:ascii="Arial" w:hAnsi="Arial" w:cs="Arial"/>
          <w:sz w:val="24"/>
          <w:szCs w:val="24"/>
        </w:rPr>
        <w:t xml:space="preserve"> de 24 de octubre de 2008</w:t>
      </w:r>
      <w:r w:rsidR="00512C54">
        <w:rPr>
          <w:rFonts w:ascii="Arial" w:hAnsi="Arial" w:cs="Arial"/>
          <w:sz w:val="24"/>
          <w:szCs w:val="24"/>
        </w:rPr>
        <w:t>, y tiene entre sus cometidos</w:t>
      </w:r>
      <w:r w:rsidR="00D303CF">
        <w:rPr>
          <w:rFonts w:ascii="Arial" w:hAnsi="Arial" w:cs="Arial"/>
          <w:sz w:val="24"/>
          <w:szCs w:val="24"/>
        </w:rPr>
        <w:t>:</w:t>
      </w:r>
      <w:r w:rsidR="0006517A" w:rsidRPr="0006517A">
        <w:rPr>
          <w:rFonts w:ascii="Arial" w:hAnsi="Arial" w:cs="Arial"/>
          <w:sz w:val="24"/>
          <w:szCs w:val="24"/>
        </w:rPr>
        <w:t xml:space="preserve"> </w:t>
      </w:r>
      <w:r w:rsidR="0006517A" w:rsidRPr="00512C54">
        <w:rPr>
          <w:rFonts w:ascii="Arial" w:hAnsi="Arial" w:cs="Arial"/>
          <w:i/>
          <w:sz w:val="24"/>
          <w:szCs w:val="24"/>
        </w:rPr>
        <w:t>“Diseñar y gestionar programas de formación profesional para desempleados, personas o grupos de personas con dificultades de inserción laboral mediante acuerdos con instituciones públicas o priv</w:t>
      </w:r>
      <w:r w:rsidR="00D303CF" w:rsidRPr="00512C54">
        <w:rPr>
          <w:rFonts w:ascii="Arial" w:hAnsi="Arial" w:cs="Arial"/>
          <w:i/>
          <w:sz w:val="24"/>
          <w:szCs w:val="24"/>
        </w:rPr>
        <w:t>adas”</w:t>
      </w:r>
      <w:r w:rsidR="00D303CF">
        <w:rPr>
          <w:rFonts w:ascii="Arial" w:hAnsi="Arial" w:cs="Arial"/>
          <w:sz w:val="24"/>
          <w:szCs w:val="24"/>
        </w:rPr>
        <w:t xml:space="preserve"> (</w:t>
      </w:r>
      <w:r w:rsidR="00522B87">
        <w:rPr>
          <w:rFonts w:ascii="Arial" w:hAnsi="Arial" w:cs="Arial"/>
          <w:sz w:val="24"/>
          <w:szCs w:val="24"/>
        </w:rPr>
        <w:t>L</w:t>
      </w:r>
      <w:r w:rsidR="00D303CF">
        <w:rPr>
          <w:rFonts w:ascii="Arial" w:hAnsi="Arial" w:cs="Arial"/>
          <w:sz w:val="24"/>
          <w:szCs w:val="24"/>
        </w:rPr>
        <w:t>it</w:t>
      </w:r>
      <w:r w:rsidR="00522B87">
        <w:rPr>
          <w:rFonts w:ascii="Arial" w:hAnsi="Arial" w:cs="Arial"/>
          <w:sz w:val="24"/>
          <w:szCs w:val="24"/>
        </w:rPr>
        <w:t>eral</w:t>
      </w:r>
      <w:r w:rsidR="00D303CF">
        <w:rPr>
          <w:rFonts w:ascii="Arial" w:hAnsi="Arial" w:cs="Arial"/>
          <w:sz w:val="24"/>
          <w:szCs w:val="24"/>
        </w:rPr>
        <w:t xml:space="preserve"> F);</w:t>
      </w:r>
      <w:r w:rsidR="0006517A" w:rsidRPr="0006517A">
        <w:rPr>
          <w:rFonts w:ascii="Arial" w:hAnsi="Arial" w:cs="Arial"/>
          <w:sz w:val="24"/>
          <w:szCs w:val="24"/>
        </w:rPr>
        <w:t xml:space="preserve"> </w:t>
      </w:r>
      <w:r w:rsidR="0006517A" w:rsidRPr="00512C54">
        <w:rPr>
          <w:rFonts w:ascii="Arial" w:hAnsi="Arial" w:cs="Arial"/>
          <w:i/>
          <w:sz w:val="24"/>
          <w:szCs w:val="24"/>
        </w:rPr>
        <w:t>“Promover la creación y participar en el diseño de un sistema de certificación de conocimientos y de acreditación de competencias laborales”</w:t>
      </w:r>
      <w:r w:rsidR="0006517A" w:rsidRPr="0006517A">
        <w:rPr>
          <w:rFonts w:ascii="Arial" w:hAnsi="Arial" w:cs="Arial"/>
          <w:sz w:val="24"/>
          <w:szCs w:val="24"/>
        </w:rPr>
        <w:t xml:space="preserve"> (</w:t>
      </w:r>
      <w:r w:rsidR="00522B87">
        <w:rPr>
          <w:rFonts w:ascii="Arial" w:hAnsi="Arial" w:cs="Arial"/>
          <w:sz w:val="24"/>
          <w:szCs w:val="24"/>
        </w:rPr>
        <w:t>L</w:t>
      </w:r>
      <w:r w:rsidR="0006517A" w:rsidRPr="0006517A">
        <w:rPr>
          <w:rFonts w:ascii="Arial" w:hAnsi="Arial" w:cs="Arial"/>
          <w:sz w:val="24"/>
          <w:szCs w:val="24"/>
        </w:rPr>
        <w:t>it</w:t>
      </w:r>
      <w:r w:rsidR="00522B87">
        <w:rPr>
          <w:rFonts w:ascii="Arial" w:hAnsi="Arial" w:cs="Arial"/>
          <w:sz w:val="24"/>
          <w:szCs w:val="24"/>
        </w:rPr>
        <w:t>eral</w:t>
      </w:r>
      <w:r w:rsidR="0006517A" w:rsidRPr="0006517A">
        <w:rPr>
          <w:rFonts w:ascii="Arial" w:hAnsi="Arial" w:cs="Arial"/>
          <w:sz w:val="24"/>
          <w:szCs w:val="24"/>
        </w:rPr>
        <w:t xml:space="preserve"> G); así como </w:t>
      </w:r>
      <w:r w:rsidR="00F77979">
        <w:rPr>
          <w:rFonts w:ascii="Arial" w:hAnsi="Arial" w:cs="Arial"/>
          <w:i/>
          <w:sz w:val="24"/>
          <w:szCs w:val="24"/>
        </w:rPr>
        <w:t>“d</w:t>
      </w:r>
      <w:r w:rsidR="0006517A" w:rsidRPr="00512C54">
        <w:rPr>
          <w:rFonts w:ascii="Arial" w:hAnsi="Arial" w:cs="Arial"/>
          <w:i/>
          <w:sz w:val="24"/>
          <w:szCs w:val="24"/>
        </w:rPr>
        <w:t>ar cobertura a través de sus servicios de orientación, formación, capacitación, acreditación de competencias y apoyo de iniciativas a las personas derivadas del Servicio Público de Empleo, los Comités Departamentales y Sectoriales de Empleo y Formación Profesional y otros servicios públicos, privados y sociales</w:t>
      </w:r>
      <w:r w:rsidR="00D303CF" w:rsidRPr="00512C54">
        <w:rPr>
          <w:rFonts w:ascii="Arial" w:hAnsi="Arial" w:cs="Arial"/>
          <w:i/>
          <w:sz w:val="24"/>
          <w:szCs w:val="24"/>
        </w:rPr>
        <w:t>,</w:t>
      </w:r>
      <w:r w:rsidR="0006517A" w:rsidRPr="00512C54">
        <w:rPr>
          <w:rFonts w:ascii="Arial" w:hAnsi="Arial" w:cs="Arial"/>
          <w:i/>
          <w:sz w:val="24"/>
          <w:szCs w:val="24"/>
        </w:rPr>
        <w:t xml:space="preserve"> a efectos de mejorar su empleabilidad, promover su inserción laboral o apoyar su capacidad emprendedora</w:t>
      </w:r>
      <w:r w:rsidR="0006517A" w:rsidRPr="0006517A">
        <w:rPr>
          <w:rFonts w:ascii="Arial" w:hAnsi="Arial" w:cs="Arial"/>
          <w:sz w:val="24"/>
          <w:szCs w:val="24"/>
        </w:rPr>
        <w:t xml:space="preserve">” </w:t>
      </w:r>
      <w:r w:rsidR="00522B87">
        <w:rPr>
          <w:rFonts w:ascii="Arial" w:hAnsi="Arial" w:cs="Arial"/>
          <w:sz w:val="24"/>
          <w:szCs w:val="24"/>
        </w:rPr>
        <w:t xml:space="preserve">                                     </w:t>
      </w:r>
      <w:r w:rsidR="0006517A" w:rsidRPr="0006517A">
        <w:rPr>
          <w:rFonts w:ascii="Arial" w:hAnsi="Arial" w:cs="Arial"/>
          <w:sz w:val="24"/>
          <w:szCs w:val="24"/>
        </w:rPr>
        <w:t>(</w:t>
      </w:r>
      <w:r w:rsidR="00522B87">
        <w:rPr>
          <w:rFonts w:ascii="Arial" w:hAnsi="Arial" w:cs="Arial"/>
          <w:sz w:val="24"/>
          <w:szCs w:val="24"/>
        </w:rPr>
        <w:t>L</w:t>
      </w:r>
      <w:r w:rsidR="0006517A" w:rsidRPr="0006517A">
        <w:rPr>
          <w:rFonts w:ascii="Arial" w:hAnsi="Arial" w:cs="Arial"/>
          <w:sz w:val="24"/>
          <w:szCs w:val="24"/>
        </w:rPr>
        <w:t>it</w:t>
      </w:r>
      <w:r w:rsidR="00522B87">
        <w:rPr>
          <w:rFonts w:ascii="Arial" w:hAnsi="Arial" w:cs="Arial"/>
          <w:sz w:val="24"/>
          <w:szCs w:val="24"/>
        </w:rPr>
        <w:t>eral</w:t>
      </w:r>
      <w:r w:rsidR="0006517A" w:rsidRPr="0006517A">
        <w:rPr>
          <w:rFonts w:ascii="Arial" w:hAnsi="Arial" w:cs="Arial"/>
          <w:sz w:val="24"/>
          <w:szCs w:val="24"/>
        </w:rPr>
        <w:t xml:space="preserve"> K)</w:t>
      </w:r>
      <w:r w:rsidR="00512C54">
        <w:rPr>
          <w:rFonts w:ascii="Arial" w:hAnsi="Arial" w:cs="Arial"/>
          <w:sz w:val="24"/>
          <w:szCs w:val="24"/>
        </w:rPr>
        <w:t>. En particular está facultada “</w:t>
      </w:r>
      <w:r w:rsidR="00512C54" w:rsidRPr="00512C54">
        <w:rPr>
          <w:rFonts w:ascii="Arial" w:hAnsi="Arial" w:cs="Arial"/>
          <w:i/>
          <w:sz w:val="24"/>
          <w:szCs w:val="24"/>
        </w:rPr>
        <w:t>promover la capacitación para el trabajo, a través de instituciones de enseñanza formal, tales como la Universidad del Trabajo del Uruguay, la Universidad Tecnológica, el Centro de Capacitación y Producción, el Consejo de Capacitación Profesional entre otros, mediante la realización de convenios que promuevan el desarrollo tecnológico y la descentralización</w:t>
      </w:r>
      <w:r w:rsidR="00512C54">
        <w:rPr>
          <w:rFonts w:ascii="Arial" w:hAnsi="Arial" w:cs="Arial"/>
          <w:sz w:val="24"/>
          <w:szCs w:val="24"/>
        </w:rPr>
        <w:t>…..”</w:t>
      </w:r>
      <w:r w:rsidR="00F77979">
        <w:rPr>
          <w:rFonts w:ascii="Arial" w:hAnsi="Arial" w:cs="Arial"/>
          <w:sz w:val="24"/>
          <w:szCs w:val="24"/>
        </w:rPr>
        <w:t xml:space="preserve"> </w:t>
      </w:r>
      <w:r w:rsidR="007B6526">
        <w:rPr>
          <w:rFonts w:ascii="Arial" w:hAnsi="Arial" w:cs="Arial"/>
          <w:sz w:val="24"/>
          <w:szCs w:val="24"/>
        </w:rPr>
        <w:t>(</w:t>
      </w:r>
      <w:r w:rsidR="00522B87">
        <w:rPr>
          <w:rFonts w:ascii="Arial" w:hAnsi="Arial" w:cs="Arial"/>
          <w:sz w:val="24"/>
          <w:szCs w:val="24"/>
        </w:rPr>
        <w:t>L</w:t>
      </w:r>
      <w:r w:rsidR="007B6526">
        <w:rPr>
          <w:rFonts w:ascii="Arial" w:hAnsi="Arial" w:cs="Arial"/>
          <w:sz w:val="24"/>
          <w:szCs w:val="24"/>
        </w:rPr>
        <w:t>it</w:t>
      </w:r>
      <w:r w:rsidR="00522B87">
        <w:rPr>
          <w:rFonts w:ascii="Arial" w:hAnsi="Arial" w:cs="Arial"/>
          <w:sz w:val="24"/>
          <w:szCs w:val="24"/>
        </w:rPr>
        <w:t>eral</w:t>
      </w:r>
      <w:r w:rsidR="007B6526">
        <w:rPr>
          <w:rFonts w:ascii="Arial" w:hAnsi="Arial" w:cs="Arial"/>
          <w:sz w:val="24"/>
          <w:szCs w:val="24"/>
        </w:rPr>
        <w:t xml:space="preserve"> P)</w:t>
      </w:r>
      <w:r w:rsidR="007B6526" w:rsidRPr="0006517A">
        <w:rPr>
          <w:rFonts w:ascii="Arial" w:hAnsi="Arial" w:cs="Arial"/>
          <w:sz w:val="24"/>
          <w:szCs w:val="24"/>
        </w:rPr>
        <w:t>;</w:t>
      </w:r>
    </w:p>
    <w:p w:rsidR="0006517A" w:rsidRPr="0006517A" w:rsidRDefault="0006517A" w:rsidP="00522B87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06517A">
        <w:rPr>
          <w:rFonts w:ascii="Arial" w:hAnsi="Arial" w:cs="Arial"/>
          <w:b/>
          <w:sz w:val="24"/>
          <w:szCs w:val="24"/>
        </w:rPr>
        <w:t>2)</w:t>
      </w:r>
      <w:r w:rsidR="00512C54">
        <w:rPr>
          <w:rFonts w:ascii="Arial" w:hAnsi="Arial" w:cs="Arial"/>
          <w:sz w:val="24"/>
          <w:szCs w:val="24"/>
        </w:rPr>
        <w:t xml:space="preserve"> que de acuerdo con lo dispuesto por el </w:t>
      </w:r>
      <w:r w:rsidR="007F1F4A">
        <w:rPr>
          <w:rFonts w:ascii="Arial" w:hAnsi="Arial" w:cs="Arial"/>
          <w:sz w:val="24"/>
          <w:szCs w:val="24"/>
        </w:rPr>
        <w:t xml:space="preserve">                                      A</w:t>
      </w:r>
      <w:r w:rsidR="00512C54">
        <w:rPr>
          <w:rFonts w:ascii="Arial" w:hAnsi="Arial" w:cs="Arial"/>
          <w:sz w:val="24"/>
          <w:szCs w:val="24"/>
        </w:rPr>
        <w:t xml:space="preserve">rtículo </w:t>
      </w:r>
      <w:r w:rsidRPr="0006517A">
        <w:rPr>
          <w:rFonts w:ascii="Arial" w:hAnsi="Arial" w:cs="Arial"/>
          <w:sz w:val="24"/>
          <w:szCs w:val="24"/>
        </w:rPr>
        <w:t xml:space="preserve">64 de la Ley </w:t>
      </w:r>
      <w:r w:rsidR="00512C54">
        <w:rPr>
          <w:rFonts w:ascii="Arial" w:hAnsi="Arial" w:cs="Arial"/>
          <w:sz w:val="24"/>
          <w:szCs w:val="24"/>
        </w:rPr>
        <w:t xml:space="preserve">Nº </w:t>
      </w:r>
      <w:r w:rsidRPr="0006517A">
        <w:rPr>
          <w:rFonts w:ascii="Arial" w:hAnsi="Arial" w:cs="Arial"/>
          <w:sz w:val="24"/>
          <w:szCs w:val="24"/>
        </w:rPr>
        <w:t>18.437</w:t>
      </w:r>
      <w:r w:rsidR="001555BE">
        <w:rPr>
          <w:rFonts w:ascii="Arial" w:hAnsi="Arial" w:cs="Arial"/>
          <w:sz w:val="24"/>
          <w:szCs w:val="24"/>
        </w:rPr>
        <w:t xml:space="preserve"> de 12 de diciembre de 2008</w:t>
      </w:r>
      <w:r w:rsidRPr="0006517A">
        <w:rPr>
          <w:rFonts w:ascii="Arial" w:hAnsi="Arial" w:cs="Arial"/>
          <w:sz w:val="24"/>
          <w:szCs w:val="24"/>
        </w:rPr>
        <w:t>, y sin perjuicio de las competencias asignadas a lo</w:t>
      </w:r>
      <w:r w:rsidR="00512C54">
        <w:rPr>
          <w:rFonts w:ascii="Arial" w:hAnsi="Arial" w:cs="Arial"/>
          <w:sz w:val="24"/>
          <w:szCs w:val="24"/>
        </w:rPr>
        <w:t>s Consejos de Educación, en particular e</w:t>
      </w:r>
      <w:r w:rsidRPr="0006517A">
        <w:rPr>
          <w:rFonts w:ascii="Arial" w:hAnsi="Arial" w:cs="Arial"/>
          <w:sz w:val="24"/>
          <w:szCs w:val="24"/>
        </w:rPr>
        <w:t>l CETP</w:t>
      </w:r>
      <w:r w:rsidR="00512C54">
        <w:rPr>
          <w:rFonts w:ascii="Arial" w:hAnsi="Arial" w:cs="Arial"/>
          <w:sz w:val="24"/>
          <w:szCs w:val="24"/>
        </w:rPr>
        <w:t xml:space="preserve"> está facultado a </w:t>
      </w:r>
      <w:r w:rsidR="00512C54" w:rsidRPr="00512C54">
        <w:rPr>
          <w:rFonts w:ascii="Arial" w:hAnsi="Arial" w:cs="Arial"/>
          <w:i/>
          <w:sz w:val="24"/>
          <w:szCs w:val="24"/>
        </w:rPr>
        <w:t>“p</w:t>
      </w:r>
      <w:r w:rsidRPr="00512C54">
        <w:rPr>
          <w:rFonts w:ascii="Arial" w:hAnsi="Arial" w:cs="Arial"/>
          <w:i/>
          <w:sz w:val="24"/>
          <w:szCs w:val="24"/>
        </w:rPr>
        <w:t>romover la coordinación con otras instituciones públicas en materia de la formación profesional”</w:t>
      </w:r>
      <w:r w:rsidR="00C47851">
        <w:rPr>
          <w:rFonts w:ascii="Arial" w:hAnsi="Arial" w:cs="Arial"/>
          <w:sz w:val="24"/>
          <w:szCs w:val="24"/>
        </w:rPr>
        <w:t xml:space="preserve"> (L</w:t>
      </w:r>
      <w:r w:rsidRPr="0006517A">
        <w:rPr>
          <w:rFonts w:ascii="Arial" w:hAnsi="Arial" w:cs="Arial"/>
          <w:sz w:val="24"/>
          <w:szCs w:val="24"/>
        </w:rPr>
        <w:t>it</w:t>
      </w:r>
      <w:r w:rsidR="00C47851">
        <w:rPr>
          <w:rFonts w:ascii="Arial" w:hAnsi="Arial" w:cs="Arial"/>
          <w:sz w:val="24"/>
          <w:szCs w:val="24"/>
        </w:rPr>
        <w:t>eral</w:t>
      </w:r>
      <w:r w:rsidRPr="0006517A">
        <w:rPr>
          <w:rFonts w:ascii="Arial" w:hAnsi="Arial" w:cs="Arial"/>
          <w:sz w:val="24"/>
          <w:szCs w:val="24"/>
        </w:rPr>
        <w:t xml:space="preserve"> D)</w:t>
      </w:r>
      <w:r w:rsidR="00D303CF">
        <w:rPr>
          <w:rFonts w:ascii="Arial" w:hAnsi="Arial" w:cs="Arial"/>
          <w:sz w:val="24"/>
          <w:szCs w:val="24"/>
        </w:rPr>
        <w:t>;</w:t>
      </w:r>
      <w:r w:rsidR="00512C54">
        <w:rPr>
          <w:rFonts w:ascii="Arial" w:hAnsi="Arial" w:cs="Arial"/>
          <w:sz w:val="24"/>
          <w:szCs w:val="24"/>
        </w:rPr>
        <w:t xml:space="preserve"> y </w:t>
      </w:r>
      <w:r w:rsidR="00512C54" w:rsidRPr="00512C54">
        <w:rPr>
          <w:rFonts w:ascii="Arial" w:hAnsi="Arial" w:cs="Arial"/>
          <w:i/>
          <w:sz w:val="24"/>
          <w:szCs w:val="24"/>
        </w:rPr>
        <w:t>“p</w:t>
      </w:r>
      <w:r w:rsidRPr="00512C54">
        <w:rPr>
          <w:rFonts w:ascii="Arial" w:hAnsi="Arial" w:cs="Arial"/>
          <w:i/>
          <w:sz w:val="24"/>
          <w:szCs w:val="24"/>
        </w:rPr>
        <w:t>articipar en procesos de certificación de saberes o competencias técnicas”</w:t>
      </w:r>
      <w:r w:rsidRPr="0006517A">
        <w:rPr>
          <w:rFonts w:ascii="Arial" w:hAnsi="Arial" w:cs="Arial"/>
          <w:sz w:val="24"/>
          <w:szCs w:val="24"/>
        </w:rPr>
        <w:t xml:space="preserve"> (</w:t>
      </w:r>
      <w:r w:rsidR="00C47851">
        <w:rPr>
          <w:rFonts w:ascii="Arial" w:hAnsi="Arial" w:cs="Arial"/>
          <w:sz w:val="24"/>
          <w:szCs w:val="24"/>
        </w:rPr>
        <w:t>L</w:t>
      </w:r>
      <w:r w:rsidRPr="0006517A">
        <w:rPr>
          <w:rFonts w:ascii="Arial" w:hAnsi="Arial" w:cs="Arial"/>
          <w:sz w:val="24"/>
          <w:szCs w:val="24"/>
        </w:rPr>
        <w:t>it</w:t>
      </w:r>
      <w:r w:rsidR="00C47851">
        <w:rPr>
          <w:rFonts w:ascii="Arial" w:hAnsi="Arial" w:cs="Arial"/>
          <w:sz w:val="24"/>
          <w:szCs w:val="24"/>
        </w:rPr>
        <w:t>eral</w:t>
      </w:r>
      <w:r w:rsidR="00E02583">
        <w:rPr>
          <w:rFonts w:ascii="Arial" w:hAnsi="Arial" w:cs="Arial"/>
          <w:sz w:val="24"/>
          <w:szCs w:val="24"/>
        </w:rPr>
        <w:t xml:space="preserve"> E);</w:t>
      </w:r>
    </w:p>
    <w:p w:rsidR="00527A09" w:rsidRPr="00527A09" w:rsidRDefault="00527A09" w:rsidP="00C47851">
      <w:pPr>
        <w:spacing w:after="0" w:line="360" w:lineRule="auto"/>
        <w:ind w:firstLine="2977"/>
        <w:jc w:val="both"/>
        <w:rPr>
          <w:rFonts w:ascii="Arial" w:eastAsia="Times New Roman" w:hAnsi="Arial" w:cs="Arial"/>
          <w:sz w:val="24"/>
          <w:szCs w:val="19"/>
          <w:lang w:eastAsia="es-ES"/>
        </w:rPr>
      </w:pPr>
      <w:r>
        <w:rPr>
          <w:rFonts w:ascii="Arial" w:eastAsia="Times New Roman" w:hAnsi="Arial" w:cs="Times New Roman"/>
          <w:b/>
          <w:sz w:val="24"/>
          <w:szCs w:val="24"/>
          <w:lang w:eastAsia="es-ES"/>
        </w:rPr>
        <w:t>3</w:t>
      </w:r>
      <w:r w:rsidRPr="00527A09">
        <w:rPr>
          <w:rFonts w:ascii="Arial" w:eastAsia="Times New Roman" w:hAnsi="Arial" w:cs="Times New Roman"/>
          <w:b/>
          <w:sz w:val="24"/>
          <w:szCs w:val="24"/>
          <w:lang w:eastAsia="es-ES"/>
        </w:rPr>
        <w:t>)</w:t>
      </w:r>
      <w:r w:rsidRPr="00527A09">
        <w:rPr>
          <w:rFonts w:ascii="Arial" w:eastAsia="Times New Roman" w:hAnsi="Arial" w:cs="Times New Roman"/>
          <w:sz w:val="24"/>
          <w:szCs w:val="24"/>
          <w:lang w:eastAsia="es-ES"/>
        </w:rPr>
        <w:t xml:space="preserve"> que por  lo expresado, debe concluirse que el convenio a suscribir</w:t>
      </w:r>
      <w:r w:rsidR="00F77979">
        <w:rPr>
          <w:rFonts w:ascii="Arial" w:eastAsia="Times New Roman" w:hAnsi="Arial" w:cs="Times New Roman"/>
          <w:sz w:val="24"/>
          <w:szCs w:val="24"/>
          <w:lang w:eastAsia="es-ES"/>
        </w:rPr>
        <w:t xml:space="preserve"> encuadra en el marco de  </w:t>
      </w:r>
      <w:r w:rsidRPr="00527A09">
        <w:rPr>
          <w:rFonts w:ascii="Arial" w:eastAsia="Times New Roman" w:hAnsi="Arial" w:cs="Times New Roman"/>
          <w:sz w:val="24"/>
          <w:szCs w:val="24"/>
          <w:lang w:eastAsia="es-ES"/>
        </w:rPr>
        <w:t>competencia</w:t>
      </w:r>
      <w:r w:rsidR="00F77979">
        <w:rPr>
          <w:rFonts w:ascii="Arial" w:eastAsia="Times New Roman" w:hAnsi="Arial" w:cs="Times New Roman"/>
          <w:sz w:val="24"/>
          <w:szCs w:val="24"/>
          <w:lang w:eastAsia="es-ES"/>
        </w:rPr>
        <w:t>s</w:t>
      </w:r>
      <w:r w:rsidRPr="00527A09">
        <w:rPr>
          <w:rFonts w:ascii="Arial" w:eastAsia="Times New Roman" w:hAnsi="Arial" w:cs="Times New Roman"/>
          <w:sz w:val="24"/>
          <w:szCs w:val="24"/>
          <w:lang w:eastAsia="es-ES"/>
        </w:rPr>
        <w:t xml:space="preserve"> y cometidos </w:t>
      </w:r>
      <w:r w:rsidR="00F77979">
        <w:rPr>
          <w:rFonts w:ascii="Arial" w:eastAsia="Times New Roman" w:hAnsi="Arial" w:cs="Times New Roman"/>
          <w:sz w:val="24"/>
          <w:szCs w:val="24"/>
          <w:lang w:eastAsia="es-ES"/>
        </w:rPr>
        <w:t xml:space="preserve">que la Ley asigna a los </w:t>
      </w:r>
      <w:r w:rsidRPr="00527A09">
        <w:rPr>
          <w:rFonts w:ascii="Arial" w:eastAsia="Times New Roman" w:hAnsi="Arial" w:cs="Times New Roman"/>
          <w:sz w:val="24"/>
          <w:szCs w:val="24"/>
          <w:lang w:eastAsia="es-ES"/>
        </w:rPr>
        <w:t xml:space="preserve">organismos intervinientes, al tiempo que la selección </w:t>
      </w:r>
      <w:r w:rsidR="00F77979">
        <w:rPr>
          <w:rFonts w:ascii="Arial" w:eastAsia="Times New Roman" w:hAnsi="Arial" w:cs="Times New Roman"/>
          <w:sz w:val="24"/>
          <w:szCs w:val="24"/>
          <w:lang w:eastAsia="es-ES"/>
        </w:rPr>
        <w:t xml:space="preserve">directa </w:t>
      </w:r>
      <w:r w:rsidRPr="00527A09">
        <w:rPr>
          <w:rFonts w:ascii="Arial" w:eastAsia="Times New Roman" w:hAnsi="Arial" w:cs="Times New Roman"/>
          <w:sz w:val="24"/>
          <w:szCs w:val="24"/>
          <w:lang w:eastAsia="es-ES"/>
        </w:rPr>
        <w:t>de las partes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>,</w:t>
      </w:r>
      <w:r w:rsidRPr="00527A09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527A09">
        <w:rPr>
          <w:rFonts w:ascii="Arial" w:hAnsi="Arial" w:cs="Arial"/>
          <w:sz w:val="24"/>
          <w:szCs w:val="24"/>
        </w:rPr>
        <w:t>siendo ambos co-contratantes organismos públicos estatales</w:t>
      </w:r>
      <w:r>
        <w:rPr>
          <w:rFonts w:ascii="Arial" w:hAnsi="Arial" w:cs="Arial"/>
          <w:sz w:val="24"/>
          <w:szCs w:val="24"/>
        </w:rPr>
        <w:t>,</w:t>
      </w:r>
      <w:r w:rsidR="00F77979">
        <w:rPr>
          <w:rFonts w:ascii="Arial" w:eastAsia="Times New Roman" w:hAnsi="Arial" w:cs="Times New Roman"/>
          <w:sz w:val="24"/>
          <w:szCs w:val="24"/>
          <w:lang w:eastAsia="es-ES"/>
        </w:rPr>
        <w:t xml:space="preserve"> puede realizarse al amparo de la causal de excepción establecida en el </w:t>
      </w:r>
      <w:r w:rsidR="00C47851">
        <w:rPr>
          <w:rFonts w:ascii="Arial" w:eastAsia="Times New Roman" w:hAnsi="Arial" w:cs="Times New Roman"/>
          <w:sz w:val="24"/>
          <w:szCs w:val="24"/>
          <w:lang w:eastAsia="es-ES"/>
        </w:rPr>
        <w:t xml:space="preserve">           A</w:t>
      </w:r>
      <w:r w:rsidR="00F77979">
        <w:rPr>
          <w:rFonts w:ascii="Arial" w:eastAsia="Times New Roman" w:hAnsi="Arial" w:cs="Times New Roman"/>
          <w:sz w:val="24"/>
          <w:szCs w:val="24"/>
          <w:lang w:eastAsia="es-ES"/>
        </w:rPr>
        <w:t xml:space="preserve">rtículo </w:t>
      </w:r>
      <w:r w:rsidRPr="00527A09">
        <w:rPr>
          <w:rFonts w:ascii="Arial" w:eastAsia="Times New Roman" w:hAnsi="Arial" w:cs="Times New Roman"/>
          <w:sz w:val="24"/>
          <w:szCs w:val="24"/>
          <w:lang w:eastAsia="es-ES"/>
        </w:rPr>
        <w:t xml:space="preserve">33, </w:t>
      </w:r>
      <w:r w:rsidR="00C47851">
        <w:rPr>
          <w:rFonts w:ascii="Arial" w:eastAsia="Times New Roman" w:hAnsi="Arial" w:cs="Times New Roman"/>
          <w:sz w:val="24"/>
          <w:szCs w:val="24"/>
          <w:lang w:eastAsia="es-ES"/>
        </w:rPr>
        <w:t>L</w:t>
      </w:r>
      <w:r w:rsidRPr="00527A09">
        <w:rPr>
          <w:rFonts w:ascii="Arial" w:eastAsia="Times New Roman" w:hAnsi="Arial" w:cs="Times New Roman"/>
          <w:sz w:val="24"/>
          <w:szCs w:val="24"/>
          <w:lang w:eastAsia="es-ES"/>
        </w:rPr>
        <w:t>it</w:t>
      </w:r>
      <w:r w:rsidR="00C47851">
        <w:rPr>
          <w:rFonts w:ascii="Arial" w:eastAsia="Times New Roman" w:hAnsi="Arial" w:cs="Times New Roman"/>
          <w:sz w:val="24"/>
          <w:szCs w:val="24"/>
          <w:lang w:eastAsia="es-ES"/>
        </w:rPr>
        <w:t>eral</w:t>
      </w:r>
      <w:r w:rsidRPr="00527A09">
        <w:rPr>
          <w:rFonts w:ascii="Arial" w:eastAsia="Times New Roman" w:hAnsi="Arial" w:cs="Times New Roman"/>
          <w:sz w:val="24"/>
          <w:szCs w:val="24"/>
          <w:lang w:eastAsia="es-ES"/>
        </w:rPr>
        <w:t xml:space="preserve"> C), numeral 1</w:t>
      </w:r>
      <w:r w:rsidR="00804AAE">
        <w:rPr>
          <w:rFonts w:ascii="Arial" w:eastAsia="Times New Roman" w:hAnsi="Arial" w:cs="Times New Roman"/>
          <w:sz w:val="24"/>
          <w:szCs w:val="24"/>
          <w:lang w:eastAsia="es-ES"/>
        </w:rPr>
        <w:t>º</w:t>
      </w:r>
      <w:r w:rsidRPr="00527A09">
        <w:rPr>
          <w:rFonts w:ascii="Arial" w:eastAsia="Times New Roman" w:hAnsi="Arial" w:cs="Times New Roman"/>
          <w:sz w:val="24"/>
          <w:szCs w:val="24"/>
          <w:lang w:eastAsia="es-ES"/>
        </w:rPr>
        <w:t xml:space="preserve"> del TOCAF;</w:t>
      </w:r>
    </w:p>
    <w:p w:rsidR="00804AAE" w:rsidRPr="00C47851" w:rsidRDefault="004464E7" w:rsidP="00C4785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47851">
        <w:rPr>
          <w:rFonts w:ascii="Arial" w:hAnsi="Arial" w:cs="Arial"/>
          <w:b/>
          <w:bCs/>
          <w:sz w:val="24"/>
          <w:szCs w:val="24"/>
        </w:rPr>
        <w:t>ATENTO</w:t>
      </w:r>
      <w:r w:rsidR="00804AAE" w:rsidRPr="00C47851">
        <w:rPr>
          <w:rFonts w:ascii="Arial" w:hAnsi="Arial" w:cs="Arial"/>
          <w:b/>
          <w:sz w:val="24"/>
          <w:szCs w:val="24"/>
        </w:rPr>
        <w:t>:</w:t>
      </w:r>
      <w:r w:rsidRPr="00C47851">
        <w:rPr>
          <w:rFonts w:ascii="Arial" w:hAnsi="Arial" w:cs="Arial"/>
          <w:sz w:val="24"/>
          <w:szCs w:val="24"/>
        </w:rPr>
        <w:t xml:space="preserve"> a lo precedentemente expuesto y a lo dispuesto por el </w:t>
      </w:r>
      <w:r w:rsidR="00C47851" w:rsidRPr="00C47851">
        <w:rPr>
          <w:rFonts w:ascii="Arial" w:hAnsi="Arial" w:cs="Arial"/>
          <w:sz w:val="24"/>
          <w:szCs w:val="24"/>
        </w:rPr>
        <w:t>A</w:t>
      </w:r>
      <w:r w:rsidRPr="00C47851">
        <w:rPr>
          <w:rFonts w:ascii="Arial" w:hAnsi="Arial" w:cs="Arial"/>
          <w:sz w:val="24"/>
          <w:szCs w:val="24"/>
        </w:rPr>
        <w:t xml:space="preserve">rtículo 211 </w:t>
      </w:r>
      <w:r w:rsidR="00C47851" w:rsidRPr="00C47851">
        <w:rPr>
          <w:rFonts w:ascii="Arial" w:hAnsi="Arial" w:cs="Arial"/>
          <w:sz w:val="24"/>
          <w:szCs w:val="24"/>
        </w:rPr>
        <w:t>L</w:t>
      </w:r>
      <w:r w:rsidRPr="00C47851">
        <w:rPr>
          <w:rFonts w:ascii="Arial" w:hAnsi="Arial" w:cs="Arial"/>
          <w:sz w:val="24"/>
          <w:szCs w:val="24"/>
        </w:rPr>
        <w:t>iteral B) de la Constitución de la República;</w:t>
      </w:r>
    </w:p>
    <w:p w:rsidR="004464E7" w:rsidRPr="00C47851" w:rsidRDefault="004464E7" w:rsidP="0087018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C47851">
        <w:rPr>
          <w:rFonts w:ascii="Arial" w:hAnsi="Arial" w:cs="Arial"/>
          <w:b/>
          <w:sz w:val="24"/>
          <w:szCs w:val="24"/>
        </w:rPr>
        <w:t>EL TRIBUNAL ACUERDA</w:t>
      </w:r>
    </w:p>
    <w:p w:rsidR="00A128EB" w:rsidRPr="00A128EB" w:rsidRDefault="00C47851" w:rsidP="00AC69D5">
      <w:pPr>
        <w:pStyle w:val="Prrafodelista"/>
        <w:spacing w:line="360" w:lineRule="auto"/>
        <w:ind w:left="284" w:hanging="284"/>
        <w:jc w:val="both"/>
        <w:rPr>
          <w:rFonts w:cs="Arial"/>
          <w:lang w:val="es-MX"/>
        </w:rPr>
      </w:pPr>
      <w:r w:rsidRPr="00C47851">
        <w:rPr>
          <w:rFonts w:cs="Arial"/>
          <w:b/>
          <w:lang w:val="es-MX"/>
        </w:rPr>
        <w:t>1)</w:t>
      </w:r>
      <w:r>
        <w:rPr>
          <w:rFonts w:cs="Arial"/>
          <w:lang w:val="es-MX"/>
        </w:rPr>
        <w:t xml:space="preserve"> </w:t>
      </w:r>
      <w:r w:rsidR="00A128EB" w:rsidRPr="00C47851">
        <w:rPr>
          <w:rFonts w:cs="Arial"/>
          <w:lang w:val="es-MX"/>
        </w:rPr>
        <w:t>No formular observaciones al convenio proyectado</w:t>
      </w:r>
      <w:r w:rsidR="00527A09" w:rsidRPr="00C47851">
        <w:rPr>
          <w:rFonts w:cs="Arial"/>
          <w:lang w:val="es-MX"/>
        </w:rPr>
        <w:t xml:space="preserve"> entre el </w:t>
      </w:r>
      <w:r w:rsidR="00527A09" w:rsidRPr="00C47851">
        <w:rPr>
          <w:rFonts w:cs="Arial"/>
        </w:rPr>
        <w:t>Consejo</w:t>
      </w:r>
      <w:r w:rsidR="00527A09">
        <w:rPr>
          <w:rFonts w:cs="Arial"/>
        </w:rPr>
        <w:t xml:space="preserve"> de Educación Técnico Profesional de la Universidad del Trabajo del Uruguay y el Instituto Nacional de Empleo y Formación Profesional</w:t>
      </w:r>
      <w:r w:rsidR="00A128EB" w:rsidRPr="00A128EB">
        <w:rPr>
          <w:rFonts w:cs="Arial"/>
          <w:lang w:val="es-MX"/>
        </w:rPr>
        <w:t>;</w:t>
      </w:r>
    </w:p>
    <w:p w:rsidR="00A128EB" w:rsidRPr="00F77979" w:rsidRDefault="00AC69D5" w:rsidP="00AC69D5">
      <w:pPr>
        <w:pStyle w:val="Prrafodelista"/>
        <w:spacing w:line="360" w:lineRule="auto"/>
        <w:ind w:left="284" w:hanging="284"/>
        <w:jc w:val="both"/>
        <w:rPr>
          <w:rFonts w:cs="Arial"/>
        </w:rPr>
      </w:pPr>
      <w:r w:rsidRPr="00AC69D5">
        <w:rPr>
          <w:rFonts w:cs="Arial"/>
          <w:b/>
        </w:rPr>
        <w:t>2)</w:t>
      </w:r>
      <w:r>
        <w:rPr>
          <w:rFonts w:cs="Arial"/>
        </w:rPr>
        <w:t xml:space="preserve"> </w:t>
      </w:r>
      <w:r w:rsidR="00804AAE">
        <w:rPr>
          <w:rFonts w:cs="Arial"/>
        </w:rPr>
        <w:t>Suscripto el Convenio, c</w:t>
      </w:r>
      <w:r w:rsidR="0006517A" w:rsidRPr="00A128EB">
        <w:rPr>
          <w:rFonts w:cs="Arial"/>
        </w:rPr>
        <w:t>omete</w:t>
      </w:r>
      <w:r w:rsidR="00527A09">
        <w:rPr>
          <w:rFonts w:cs="Arial"/>
        </w:rPr>
        <w:t>r a la Contadora Delegada ante</w:t>
      </w:r>
      <w:r w:rsidR="0006517A" w:rsidRPr="00A128EB">
        <w:rPr>
          <w:rFonts w:cs="Arial"/>
        </w:rPr>
        <w:t xml:space="preserve"> </w:t>
      </w:r>
      <w:r w:rsidR="00527A09">
        <w:rPr>
          <w:rFonts w:cs="Arial"/>
          <w:lang w:val="es-MX"/>
        </w:rPr>
        <w:t xml:space="preserve">el </w:t>
      </w:r>
      <w:r w:rsidR="00527A09">
        <w:rPr>
          <w:rFonts w:cs="Arial"/>
        </w:rPr>
        <w:t>Consejo de Educación Técnico Profesional</w:t>
      </w:r>
      <w:r w:rsidR="0006517A" w:rsidRPr="00A128EB">
        <w:rPr>
          <w:rFonts w:cs="Arial"/>
        </w:rPr>
        <w:t xml:space="preserve">, la intervención de las eventuales erogaciones </w:t>
      </w:r>
      <w:r w:rsidR="00A128EB" w:rsidRPr="00A128EB">
        <w:rPr>
          <w:rFonts w:cs="Arial"/>
        </w:rPr>
        <w:t xml:space="preserve">a </w:t>
      </w:r>
      <w:r w:rsidR="0006517A" w:rsidRPr="00A128EB">
        <w:rPr>
          <w:rFonts w:cs="Arial"/>
        </w:rPr>
        <w:t>cargo del Consejo de Educación Técnico Profesional,</w:t>
      </w:r>
      <w:r w:rsidR="00F77979">
        <w:rPr>
          <w:rFonts w:cs="Arial"/>
        </w:rPr>
        <w:t xml:space="preserve"> derivada</w:t>
      </w:r>
      <w:r w:rsidR="00804AAE">
        <w:rPr>
          <w:rFonts w:cs="Arial"/>
        </w:rPr>
        <w:t xml:space="preserve">s </w:t>
      </w:r>
      <w:r w:rsidR="0006517A" w:rsidRPr="00A128EB">
        <w:rPr>
          <w:rFonts w:cs="Arial"/>
        </w:rPr>
        <w:t xml:space="preserve">de la ejecución del </w:t>
      </w:r>
      <w:r w:rsidR="00804AAE">
        <w:rPr>
          <w:rFonts w:cs="Arial"/>
        </w:rPr>
        <w:t>mismo</w:t>
      </w:r>
      <w:r w:rsidR="00A128EB">
        <w:rPr>
          <w:rFonts w:cs="Arial"/>
        </w:rPr>
        <w:t>,</w:t>
      </w:r>
      <w:r w:rsidR="00A128EB" w:rsidRPr="00A128EB">
        <w:rPr>
          <w:rFonts w:cs="Arial"/>
          <w:lang w:val="es-MX"/>
        </w:rPr>
        <w:t xml:space="preserve"> previo control de su imputación con cargo a </w:t>
      </w:r>
      <w:r w:rsidR="00F77979">
        <w:rPr>
          <w:rFonts w:cs="Arial"/>
          <w:lang w:val="es-MX"/>
        </w:rPr>
        <w:t>g</w:t>
      </w:r>
      <w:r w:rsidR="00A128EB" w:rsidRPr="00A128EB">
        <w:rPr>
          <w:rFonts w:cs="Arial"/>
          <w:lang w:val="es-MX"/>
        </w:rPr>
        <w:t>rupo adecuado con disponibilidad suficiente</w:t>
      </w:r>
      <w:r w:rsidR="00F77979">
        <w:rPr>
          <w:rFonts w:cs="Arial"/>
          <w:lang w:val="es-MX"/>
        </w:rPr>
        <w:t xml:space="preserve">, y </w:t>
      </w:r>
      <w:r w:rsidR="00804AAE" w:rsidRPr="00F77979">
        <w:rPr>
          <w:rFonts w:cs="Arial"/>
        </w:rPr>
        <w:t>que</w:t>
      </w:r>
      <w:r w:rsidR="00A128EB" w:rsidRPr="00F77979">
        <w:rPr>
          <w:rFonts w:cs="Arial"/>
          <w:lang w:val="es-MX"/>
        </w:rPr>
        <w:t xml:space="preserve"> las condiciones de</w:t>
      </w:r>
      <w:r w:rsidR="00F77979">
        <w:rPr>
          <w:rFonts w:cs="Arial"/>
          <w:lang w:val="es-MX"/>
        </w:rPr>
        <w:t xml:space="preserve"> dicho convenio</w:t>
      </w:r>
      <w:r w:rsidR="00804AAE" w:rsidRPr="00F77979">
        <w:rPr>
          <w:rFonts w:cs="Arial"/>
          <w:lang w:val="es-MX"/>
        </w:rPr>
        <w:t>,</w:t>
      </w:r>
      <w:r w:rsidR="00D24A4E">
        <w:rPr>
          <w:rFonts w:cs="Arial"/>
          <w:lang w:val="es-MX"/>
        </w:rPr>
        <w:t xml:space="preserve"> se ajusta</w:t>
      </w:r>
      <w:r w:rsidR="00804AAE" w:rsidRPr="00F77979">
        <w:rPr>
          <w:rFonts w:cs="Arial"/>
          <w:lang w:val="es-MX"/>
        </w:rPr>
        <w:t>n</w:t>
      </w:r>
      <w:r w:rsidR="00F77979">
        <w:rPr>
          <w:rFonts w:cs="Arial"/>
          <w:lang w:val="es-MX"/>
        </w:rPr>
        <w:t xml:space="preserve"> a las</w:t>
      </w:r>
      <w:r w:rsidR="00A128EB" w:rsidRPr="00F77979">
        <w:rPr>
          <w:rFonts w:cs="Arial"/>
          <w:lang w:val="es-MX"/>
        </w:rPr>
        <w:t xml:space="preserve"> remitid</w:t>
      </w:r>
      <w:r w:rsidR="00F77979">
        <w:rPr>
          <w:rFonts w:cs="Arial"/>
          <w:lang w:val="es-MX"/>
        </w:rPr>
        <w:t>a</w:t>
      </w:r>
      <w:r w:rsidR="00804AAE" w:rsidRPr="00F77979">
        <w:rPr>
          <w:rFonts w:cs="Arial"/>
          <w:lang w:val="es-MX"/>
        </w:rPr>
        <w:t>s</w:t>
      </w:r>
      <w:r w:rsidR="00A128EB" w:rsidRPr="00F77979">
        <w:rPr>
          <w:rFonts w:cs="Arial"/>
          <w:lang w:val="es-MX"/>
        </w:rPr>
        <w:t xml:space="preserve"> a </w:t>
      </w:r>
      <w:r w:rsidR="00F77979">
        <w:rPr>
          <w:rFonts w:cs="Arial"/>
          <w:lang w:val="es-MX"/>
        </w:rPr>
        <w:t xml:space="preserve">consideración de </w:t>
      </w:r>
      <w:r w:rsidR="00A128EB" w:rsidRPr="00F77979">
        <w:rPr>
          <w:rFonts w:cs="Arial"/>
          <w:lang w:val="es-MX"/>
        </w:rPr>
        <w:t>este Tribunal</w:t>
      </w:r>
      <w:r w:rsidR="00804AAE" w:rsidRPr="00F77979">
        <w:rPr>
          <w:rFonts w:cs="Arial"/>
          <w:lang w:val="es-MX"/>
        </w:rPr>
        <w:t>;</w:t>
      </w:r>
    </w:p>
    <w:p w:rsidR="00527A09" w:rsidRPr="00527A09" w:rsidRDefault="00AC69D5" w:rsidP="00AC69D5">
      <w:pPr>
        <w:pStyle w:val="Prrafodelista"/>
        <w:spacing w:line="360" w:lineRule="auto"/>
        <w:ind w:left="0"/>
        <w:jc w:val="both"/>
        <w:rPr>
          <w:rFonts w:cs="Arial"/>
          <w:lang w:val="es-MX"/>
        </w:rPr>
      </w:pPr>
      <w:r w:rsidRPr="00AC69D5">
        <w:rPr>
          <w:rFonts w:cs="Arial"/>
          <w:b/>
          <w:lang w:val="es-MX"/>
        </w:rPr>
        <w:t>3)</w:t>
      </w:r>
      <w:r>
        <w:rPr>
          <w:rFonts w:cs="Arial"/>
          <w:lang w:val="es-MX"/>
        </w:rPr>
        <w:t xml:space="preserve"> </w:t>
      </w:r>
      <w:r w:rsidR="00527A09">
        <w:rPr>
          <w:rFonts w:cs="Arial"/>
          <w:lang w:val="es-MX"/>
        </w:rPr>
        <w:t>Comu</w:t>
      </w:r>
      <w:r w:rsidR="00527A09" w:rsidRPr="00527A09">
        <w:rPr>
          <w:rFonts w:cs="Arial"/>
          <w:lang w:val="es-MX"/>
        </w:rPr>
        <w:t>nicar a la Contadora Delegada</w:t>
      </w:r>
      <w:r w:rsidR="00527A09">
        <w:rPr>
          <w:rFonts w:cs="Arial"/>
          <w:lang w:val="es-MX"/>
        </w:rPr>
        <w:t>; y</w:t>
      </w:r>
    </w:p>
    <w:p w:rsidR="004464E7" w:rsidRPr="003F5DAD" w:rsidRDefault="00AC69D5" w:rsidP="00AC69D5">
      <w:pPr>
        <w:pStyle w:val="Prrafodelista"/>
        <w:spacing w:line="360" w:lineRule="auto"/>
        <w:ind w:left="0"/>
        <w:jc w:val="both"/>
        <w:rPr>
          <w:rFonts w:cs="Arial"/>
          <w:b/>
          <w:i/>
          <w:lang w:val="es-MX"/>
        </w:rPr>
      </w:pPr>
      <w:r w:rsidRPr="00AC69D5">
        <w:rPr>
          <w:b/>
        </w:rPr>
        <w:t>4)</w:t>
      </w:r>
      <w:r>
        <w:t xml:space="preserve"> </w:t>
      </w:r>
      <w:r w:rsidR="0006517A">
        <w:t>Devolver los antecedentes</w:t>
      </w:r>
      <w:r w:rsidR="00527A09">
        <w:t>.</w:t>
      </w:r>
    </w:p>
    <w:p w:rsidR="003F5DAD" w:rsidRPr="00527A09" w:rsidRDefault="003F5DAD" w:rsidP="00870185">
      <w:pPr>
        <w:pStyle w:val="Prrafodelista"/>
        <w:spacing w:line="360" w:lineRule="auto"/>
        <w:ind w:left="0"/>
        <w:jc w:val="both"/>
        <w:rPr>
          <w:rFonts w:cs="Arial"/>
          <w:b/>
          <w:i/>
          <w:lang w:val="es-MX"/>
        </w:rPr>
      </w:pPr>
    </w:p>
    <w:p w:rsidR="007B0CFC" w:rsidRPr="003F5DAD" w:rsidRDefault="003F5DAD" w:rsidP="0087018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 w:rsidRPr="003F5DAD">
        <w:rPr>
          <w:rFonts w:ascii="Arial" w:hAnsi="Arial" w:cs="Arial"/>
          <w:bCs/>
          <w:iCs/>
          <w:sz w:val="24"/>
          <w:szCs w:val="24"/>
          <w:lang w:val="es-MX"/>
        </w:rPr>
        <w:t>ag</w:t>
      </w:r>
      <w:proofErr w:type="spellEnd"/>
      <w:proofErr w:type="gramEnd"/>
    </w:p>
    <w:sectPr w:rsidR="007B0CFC" w:rsidRPr="003F5DAD" w:rsidSect="00E35AC5">
      <w:footerReference w:type="default" r:id="rId8"/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582" w:rsidRDefault="009C0582" w:rsidP="00D6024A">
      <w:pPr>
        <w:spacing w:after="0" w:line="240" w:lineRule="auto"/>
      </w:pPr>
      <w:r>
        <w:separator/>
      </w:r>
    </w:p>
  </w:endnote>
  <w:endnote w:type="continuationSeparator" w:id="0">
    <w:p w:rsidR="009C0582" w:rsidRDefault="009C0582" w:rsidP="00D60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7130897"/>
      <w:docPartObj>
        <w:docPartGallery w:val="Page Numbers (Bottom of Page)"/>
        <w:docPartUnique/>
      </w:docPartObj>
    </w:sdtPr>
    <w:sdtEndPr/>
    <w:sdtContent>
      <w:p w:rsidR="007F1F4A" w:rsidRDefault="007F1F4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2583">
          <w:rPr>
            <w:noProof/>
          </w:rPr>
          <w:t>1</w:t>
        </w:r>
        <w:r>
          <w:fldChar w:fldCharType="end"/>
        </w:r>
      </w:p>
    </w:sdtContent>
  </w:sdt>
  <w:p w:rsidR="007F1F4A" w:rsidRDefault="007F1F4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582" w:rsidRDefault="009C0582" w:rsidP="00D6024A">
      <w:pPr>
        <w:spacing w:after="0" w:line="240" w:lineRule="auto"/>
      </w:pPr>
      <w:r>
        <w:separator/>
      </w:r>
    </w:p>
  </w:footnote>
  <w:footnote w:type="continuationSeparator" w:id="0">
    <w:p w:rsidR="009C0582" w:rsidRDefault="009C0582" w:rsidP="00D602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A7C49"/>
    <w:multiLevelType w:val="multilevel"/>
    <w:tmpl w:val="88465636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5474E"/>
    <w:multiLevelType w:val="hybridMultilevel"/>
    <w:tmpl w:val="CA3A90BE"/>
    <w:lvl w:ilvl="0" w:tplc="C96A9B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64D407A"/>
    <w:multiLevelType w:val="hybridMultilevel"/>
    <w:tmpl w:val="9D7C33D4"/>
    <w:lvl w:ilvl="0" w:tplc="A87E7504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/>
        <w:i w:val="0"/>
        <w:lang w:val="es-MX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330"/>
    <w:rsid w:val="0006517A"/>
    <w:rsid w:val="00091C06"/>
    <w:rsid w:val="00107DED"/>
    <w:rsid w:val="001555BE"/>
    <w:rsid w:val="00161C6A"/>
    <w:rsid w:val="00191911"/>
    <w:rsid w:val="001B03F8"/>
    <w:rsid w:val="00210A40"/>
    <w:rsid w:val="00230F61"/>
    <w:rsid w:val="002A6C2D"/>
    <w:rsid w:val="002D7BFA"/>
    <w:rsid w:val="002F0A83"/>
    <w:rsid w:val="00301307"/>
    <w:rsid w:val="00381FEE"/>
    <w:rsid w:val="00394371"/>
    <w:rsid w:val="003A098B"/>
    <w:rsid w:val="003A13AD"/>
    <w:rsid w:val="003F5DAD"/>
    <w:rsid w:val="00404E24"/>
    <w:rsid w:val="00424AD7"/>
    <w:rsid w:val="00432C12"/>
    <w:rsid w:val="004464E7"/>
    <w:rsid w:val="004E4BCF"/>
    <w:rsid w:val="004F45AE"/>
    <w:rsid w:val="005070AE"/>
    <w:rsid w:val="00512C54"/>
    <w:rsid w:val="00522B87"/>
    <w:rsid w:val="00527A09"/>
    <w:rsid w:val="005445CE"/>
    <w:rsid w:val="0055281A"/>
    <w:rsid w:val="00565D7D"/>
    <w:rsid w:val="00581BC9"/>
    <w:rsid w:val="005853FD"/>
    <w:rsid w:val="005D388B"/>
    <w:rsid w:val="00626CBA"/>
    <w:rsid w:val="00637452"/>
    <w:rsid w:val="006722AB"/>
    <w:rsid w:val="006A6D0B"/>
    <w:rsid w:val="006C0DD8"/>
    <w:rsid w:val="00727DB3"/>
    <w:rsid w:val="00750F62"/>
    <w:rsid w:val="00776423"/>
    <w:rsid w:val="007B0CFC"/>
    <w:rsid w:val="007B6526"/>
    <w:rsid w:val="007E5330"/>
    <w:rsid w:val="007F1F4A"/>
    <w:rsid w:val="00804AAE"/>
    <w:rsid w:val="00870185"/>
    <w:rsid w:val="008D6D7A"/>
    <w:rsid w:val="00993D64"/>
    <w:rsid w:val="009C0582"/>
    <w:rsid w:val="009D54E0"/>
    <w:rsid w:val="00A128EB"/>
    <w:rsid w:val="00AC69D5"/>
    <w:rsid w:val="00B05AE6"/>
    <w:rsid w:val="00B36EB5"/>
    <w:rsid w:val="00B76F00"/>
    <w:rsid w:val="00C47851"/>
    <w:rsid w:val="00C74C7E"/>
    <w:rsid w:val="00CD6DAA"/>
    <w:rsid w:val="00D110C5"/>
    <w:rsid w:val="00D14163"/>
    <w:rsid w:val="00D24A4E"/>
    <w:rsid w:val="00D303CF"/>
    <w:rsid w:val="00D6024A"/>
    <w:rsid w:val="00DE505C"/>
    <w:rsid w:val="00E02583"/>
    <w:rsid w:val="00E35AC5"/>
    <w:rsid w:val="00E54E56"/>
    <w:rsid w:val="00E9702C"/>
    <w:rsid w:val="00EC38FE"/>
    <w:rsid w:val="00ED480F"/>
    <w:rsid w:val="00ED6144"/>
    <w:rsid w:val="00EF1D4C"/>
    <w:rsid w:val="00F77979"/>
    <w:rsid w:val="00FB4C39"/>
    <w:rsid w:val="00FB774A"/>
    <w:rsid w:val="00FD112A"/>
    <w:rsid w:val="00FD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02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024A"/>
  </w:style>
  <w:style w:type="paragraph" w:styleId="Piedepgina">
    <w:name w:val="footer"/>
    <w:basedOn w:val="Normal"/>
    <w:link w:val="PiedepginaCar"/>
    <w:uiPriority w:val="99"/>
    <w:unhideWhenUsed/>
    <w:rsid w:val="00D602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024A"/>
  </w:style>
  <w:style w:type="paragraph" w:styleId="Prrafodelista">
    <w:name w:val="List Paragraph"/>
    <w:basedOn w:val="Normal"/>
    <w:uiPriority w:val="34"/>
    <w:qFormat/>
    <w:rsid w:val="004464E7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07D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107D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7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7D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02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024A"/>
  </w:style>
  <w:style w:type="paragraph" w:styleId="Piedepgina">
    <w:name w:val="footer"/>
    <w:basedOn w:val="Normal"/>
    <w:link w:val="PiedepginaCar"/>
    <w:uiPriority w:val="99"/>
    <w:unhideWhenUsed/>
    <w:rsid w:val="00D602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024A"/>
  </w:style>
  <w:style w:type="paragraph" w:styleId="Prrafodelista">
    <w:name w:val="List Paragraph"/>
    <w:basedOn w:val="Normal"/>
    <w:uiPriority w:val="34"/>
    <w:qFormat/>
    <w:rsid w:val="004464E7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07D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107D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7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7D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1073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13</cp:revision>
  <cp:lastPrinted>2018-05-18T18:35:00Z</cp:lastPrinted>
  <dcterms:created xsi:type="dcterms:W3CDTF">2018-06-11T15:45:00Z</dcterms:created>
  <dcterms:modified xsi:type="dcterms:W3CDTF">2018-09-20T17:54:00Z</dcterms:modified>
</cp:coreProperties>
</file>