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29C" w:rsidRPr="00786EEB" w:rsidRDefault="0082729C"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/18</w:t>
      </w:r>
    </w:p>
    <w:p w:rsidR="0082729C" w:rsidRDefault="0082729C" w:rsidP="00786EEB">
      <w:pPr>
        <w:tabs>
          <w:tab w:val="center" w:pos="4253"/>
        </w:tabs>
        <w:suppressAutoHyphens/>
        <w:jc w:val="right"/>
        <w:rPr>
          <w:rFonts w:ascii="Arial" w:hAnsi="Arial" w:cs="Arial"/>
          <w:b/>
          <w:lang w:val="es-ES_tradnl"/>
        </w:rPr>
      </w:pPr>
    </w:p>
    <w:p w:rsidR="0082729C" w:rsidRPr="0082729C" w:rsidRDefault="0082729C" w:rsidP="0082729C">
      <w:pPr>
        <w:tabs>
          <w:tab w:val="center" w:pos="4253"/>
        </w:tabs>
        <w:suppressAutoHyphens/>
        <w:spacing w:after="0" w:line="240" w:lineRule="auto"/>
        <w:jc w:val="center"/>
        <w:rPr>
          <w:rFonts w:ascii="Arial" w:hAnsi="Arial" w:cs="Arial"/>
          <w:b/>
          <w:sz w:val="24"/>
          <w:szCs w:val="24"/>
          <w:lang w:val="es-ES_tradnl"/>
        </w:rPr>
      </w:pPr>
      <w:r w:rsidRPr="0082729C">
        <w:rPr>
          <w:rFonts w:ascii="Arial" w:hAnsi="Arial" w:cs="Arial"/>
          <w:b/>
          <w:sz w:val="24"/>
          <w:szCs w:val="24"/>
          <w:lang w:val="es-ES_tradnl"/>
        </w:rPr>
        <w:t>RESOLUCION ADOPTADA POR EL</w:t>
      </w:r>
    </w:p>
    <w:p w:rsidR="0082729C" w:rsidRPr="0082729C" w:rsidRDefault="0082729C" w:rsidP="0082729C">
      <w:pPr>
        <w:tabs>
          <w:tab w:val="left" w:pos="-720"/>
        </w:tabs>
        <w:suppressAutoHyphens/>
        <w:spacing w:after="0" w:line="240" w:lineRule="auto"/>
        <w:jc w:val="center"/>
        <w:rPr>
          <w:rFonts w:ascii="Arial" w:hAnsi="Arial" w:cs="Arial"/>
          <w:b/>
          <w:sz w:val="24"/>
          <w:szCs w:val="24"/>
          <w:lang w:val="es-ES_tradnl"/>
        </w:rPr>
      </w:pPr>
    </w:p>
    <w:p w:rsidR="0082729C" w:rsidRPr="0082729C" w:rsidRDefault="0082729C" w:rsidP="0082729C">
      <w:pPr>
        <w:tabs>
          <w:tab w:val="center" w:pos="4253"/>
        </w:tabs>
        <w:suppressAutoHyphens/>
        <w:spacing w:after="0" w:line="240" w:lineRule="auto"/>
        <w:jc w:val="center"/>
        <w:rPr>
          <w:rFonts w:ascii="Arial" w:hAnsi="Arial" w:cs="Arial"/>
          <w:b/>
          <w:sz w:val="24"/>
          <w:szCs w:val="24"/>
          <w:lang w:val="es-ES_tradnl"/>
        </w:rPr>
      </w:pPr>
      <w:r w:rsidRPr="0082729C">
        <w:rPr>
          <w:rFonts w:ascii="Arial" w:hAnsi="Arial" w:cs="Arial"/>
          <w:b/>
          <w:sz w:val="24"/>
          <w:szCs w:val="24"/>
          <w:lang w:val="es-ES_tradnl"/>
        </w:rPr>
        <w:t>TRIBUNAL DE CUENTAS</w:t>
      </w:r>
    </w:p>
    <w:p w:rsidR="0082729C" w:rsidRPr="0082729C" w:rsidRDefault="0082729C" w:rsidP="0082729C">
      <w:pPr>
        <w:tabs>
          <w:tab w:val="left" w:pos="-720"/>
        </w:tabs>
        <w:suppressAutoHyphens/>
        <w:spacing w:after="0" w:line="240" w:lineRule="auto"/>
        <w:jc w:val="center"/>
        <w:rPr>
          <w:rFonts w:ascii="Arial" w:hAnsi="Arial" w:cs="Arial"/>
          <w:b/>
          <w:sz w:val="24"/>
          <w:szCs w:val="24"/>
          <w:lang w:val="es-ES_tradnl"/>
        </w:rPr>
      </w:pPr>
    </w:p>
    <w:p w:rsidR="0082729C" w:rsidRPr="0082729C" w:rsidRDefault="0082729C" w:rsidP="0082729C">
      <w:pPr>
        <w:tabs>
          <w:tab w:val="center" w:pos="4253"/>
        </w:tabs>
        <w:suppressAutoHyphens/>
        <w:spacing w:after="0" w:line="240" w:lineRule="auto"/>
        <w:jc w:val="center"/>
        <w:rPr>
          <w:rFonts w:ascii="Arial" w:hAnsi="Arial" w:cs="Arial"/>
          <w:b/>
          <w:sz w:val="24"/>
          <w:szCs w:val="24"/>
          <w:lang w:val="es-ES_tradnl"/>
        </w:rPr>
      </w:pPr>
      <w:r w:rsidRPr="0082729C">
        <w:rPr>
          <w:rFonts w:ascii="Arial" w:hAnsi="Arial" w:cs="Arial"/>
          <w:b/>
          <w:sz w:val="24"/>
          <w:szCs w:val="24"/>
          <w:lang w:val="es-ES_tradnl"/>
        </w:rPr>
        <w:t xml:space="preserve">EN SESION DE FECHA 1 DE AGOSTO </w:t>
      </w:r>
      <w:r w:rsidRPr="0082729C">
        <w:rPr>
          <w:rFonts w:ascii="Helvetica" w:hAnsi="Helvetica"/>
          <w:b/>
          <w:sz w:val="24"/>
          <w:szCs w:val="24"/>
          <w:lang w:val="es-ES_tradnl"/>
        </w:rPr>
        <w:t>DE 2018</w:t>
      </w:r>
    </w:p>
    <w:p w:rsidR="0082729C" w:rsidRPr="0082729C" w:rsidRDefault="0082729C" w:rsidP="0082729C">
      <w:pPr>
        <w:tabs>
          <w:tab w:val="center" w:pos="4253"/>
        </w:tabs>
        <w:suppressAutoHyphens/>
        <w:spacing w:after="0" w:line="240" w:lineRule="auto"/>
        <w:jc w:val="center"/>
        <w:rPr>
          <w:rFonts w:ascii="Arial" w:hAnsi="Arial" w:cs="Arial"/>
          <w:b/>
          <w:sz w:val="24"/>
          <w:szCs w:val="24"/>
          <w:lang w:val="es-ES_tradnl"/>
        </w:rPr>
      </w:pPr>
    </w:p>
    <w:p w:rsidR="0082729C" w:rsidRPr="0082729C" w:rsidRDefault="0082729C">
      <w:pPr>
        <w:tabs>
          <w:tab w:val="center" w:pos="4253"/>
        </w:tabs>
        <w:suppressAutoHyphens/>
        <w:jc w:val="center"/>
        <w:rPr>
          <w:rFonts w:ascii="Arial" w:hAnsi="Arial" w:cs="Arial"/>
          <w:b/>
          <w:sz w:val="24"/>
          <w:szCs w:val="24"/>
          <w:lang w:val="en-US"/>
        </w:rPr>
      </w:pPr>
      <w:r w:rsidRPr="0082729C">
        <w:rPr>
          <w:rFonts w:ascii="Arial" w:hAnsi="Arial" w:cs="Arial"/>
          <w:b/>
          <w:sz w:val="24"/>
          <w:szCs w:val="24"/>
          <w:lang w:val="en-US"/>
        </w:rPr>
        <w:t>(E. E. Nº 2018-17-1-0004729, Ent. N° 3655/18)</w:t>
      </w:r>
    </w:p>
    <w:p w:rsidR="00B65A32" w:rsidRDefault="00ED1246" w:rsidP="0009043C">
      <w:pPr>
        <w:spacing w:after="0" w:line="360" w:lineRule="auto"/>
        <w:ind w:firstLine="851"/>
        <w:jc w:val="both"/>
        <w:rPr>
          <w:rFonts w:ascii="Arial" w:hAnsi="Arial" w:cs="Arial"/>
          <w:sz w:val="24"/>
          <w:szCs w:val="24"/>
        </w:rPr>
      </w:pPr>
      <w:r>
        <w:rPr>
          <w:rFonts w:ascii="Arial" w:hAnsi="Arial" w:cs="Arial"/>
          <w:b/>
          <w:sz w:val="24"/>
          <w:szCs w:val="24"/>
        </w:rPr>
        <w:t>VISTO:</w:t>
      </w:r>
      <w:r w:rsidR="002D0898" w:rsidRPr="002D0898">
        <w:rPr>
          <w:rFonts w:ascii="Arial" w:hAnsi="Arial" w:cs="Arial"/>
          <w:sz w:val="24"/>
          <w:szCs w:val="24"/>
        </w:rPr>
        <w:t xml:space="preserve"> las</w:t>
      </w:r>
      <w:r w:rsidR="002D0898">
        <w:rPr>
          <w:rFonts w:ascii="Arial" w:hAnsi="Arial" w:cs="Arial"/>
          <w:sz w:val="24"/>
          <w:szCs w:val="24"/>
        </w:rPr>
        <w:t xml:space="preserve"> actuaciones remitidas por el Banco de Previsión Social, relacionadas con la compra directa por excepción</w:t>
      </w:r>
      <w:r>
        <w:rPr>
          <w:rFonts w:ascii="Arial" w:hAnsi="Arial" w:cs="Arial"/>
          <w:sz w:val="24"/>
          <w:szCs w:val="24"/>
        </w:rPr>
        <w:t xml:space="preserve"> para la contratación de un fiduciario para la administración</w:t>
      </w:r>
      <w:r w:rsidR="002D0898">
        <w:rPr>
          <w:rFonts w:ascii="Arial" w:hAnsi="Arial" w:cs="Arial"/>
          <w:sz w:val="24"/>
          <w:szCs w:val="24"/>
        </w:rPr>
        <w:t xml:space="preserve"> de</w:t>
      </w:r>
      <w:r>
        <w:rPr>
          <w:rFonts w:ascii="Arial" w:hAnsi="Arial" w:cs="Arial"/>
          <w:sz w:val="24"/>
          <w:szCs w:val="24"/>
        </w:rPr>
        <w:t>l</w:t>
      </w:r>
      <w:r w:rsidR="002D0898">
        <w:rPr>
          <w:rFonts w:ascii="Arial" w:hAnsi="Arial" w:cs="Arial"/>
          <w:sz w:val="24"/>
          <w:szCs w:val="24"/>
        </w:rPr>
        <w:t xml:space="preserve"> </w:t>
      </w:r>
      <w:r w:rsidR="00BA5986">
        <w:rPr>
          <w:rFonts w:ascii="Arial" w:hAnsi="Arial" w:cs="Arial"/>
          <w:sz w:val="24"/>
          <w:szCs w:val="24"/>
        </w:rPr>
        <w:t>“F</w:t>
      </w:r>
      <w:r w:rsidR="002D0898">
        <w:rPr>
          <w:rFonts w:ascii="Arial" w:hAnsi="Arial" w:cs="Arial"/>
          <w:sz w:val="24"/>
          <w:szCs w:val="24"/>
        </w:rPr>
        <w:t>ideicomiso de la Seguridad S</w:t>
      </w:r>
      <w:r w:rsidR="002D0898" w:rsidRPr="002D0898">
        <w:rPr>
          <w:rFonts w:ascii="Arial" w:hAnsi="Arial" w:cs="Arial"/>
          <w:sz w:val="24"/>
          <w:szCs w:val="24"/>
        </w:rPr>
        <w:t>ocial</w:t>
      </w:r>
      <w:r w:rsidR="00BA5986">
        <w:rPr>
          <w:rFonts w:ascii="Arial" w:hAnsi="Arial" w:cs="Arial"/>
          <w:sz w:val="24"/>
          <w:szCs w:val="24"/>
        </w:rPr>
        <w:t>”</w:t>
      </w:r>
      <w:r w:rsidR="00FE3D9E">
        <w:rPr>
          <w:rFonts w:ascii="Arial" w:hAnsi="Arial" w:cs="Arial"/>
          <w:sz w:val="24"/>
          <w:szCs w:val="24"/>
        </w:rPr>
        <w:t>, de conf</w:t>
      </w:r>
      <w:r w:rsidR="0009043C">
        <w:rPr>
          <w:rFonts w:ascii="Arial" w:hAnsi="Arial" w:cs="Arial"/>
          <w:sz w:val="24"/>
          <w:szCs w:val="24"/>
        </w:rPr>
        <w:t>ormidad con lo previsto por la Ley N°</w:t>
      </w:r>
      <w:r w:rsidR="00FE3D9E">
        <w:rPr>
          <w:rFonts w:ascii="Arial" w:hAnsi="Arial" w:cs="Arial"/>
          <w:sz w:val="24"/>
          <w:szCs w:val="24"/>
        </w:rPr>
        <w:t xml:space="preserve"> 19.590 de fecha </w:t>
      </w:r>
      <w:r w:rsidR="00516287">
        <w:rPr>
          <w:rFonts w:ascii="Arial" w:hAnsi="Arial" w:cs="Arial"/>
          <w:sz w:val="24"/>
          <w:szCs w:val="24"/>
        </w:rPr>
        <w:t>9/1/18;</w:t>
      </w:r>
    </w:p>
    <w:p w:rsidR="00B65A32" w:rsidRDefault="00993CF7" w:rsidP="00B65A32">
      <w:pPr>
        <w:spacing w:after="0" w:line="360" w:lineRule="auto"/>
        <w:ind w:firstLine="851"/>
        <w:jc w:val="both"/>
        <w:rPr>
          <w:rFonts w:ascii="Arial" w:hAnsi="Arial" w:cs="Arial"/>
          <w:sz w:val="24"/>
          <w:szCs w:val="24"/>
        </w:rPr>
      </w:pPr>
      <w:r w:rsidRPr="00993CF7">
        <w:rPr>
          <w:rFonts w:ascii="Arial" w:hAnsi="Arial" w:cs="Arial"/>
          <w:b/>
          <w:sz w:val="24"/>
          <w:szCs w:val="24"/>
        </w:rPr>
        <w:t xml:space="preserve">REAULTANDO: 1) </w:t>
      </w:r>
      <w:r w:rsidRPr="00993CF7">
        <w:rPr>
          <w:rFonts w:ascii="Arial" w:hAnsi="Arial" w:cs="Arial"/>
          <w:sz w:val="24"/>
          <w:szCs w:val="24"/>
        </w:rPr>
        <w:t>que</w:t>
      </w:r>
      <w:r>
        <w:rPr>
          <w:rFonts w:ascii="Arial" w:hAnsi="Arial" w:cs="Arial"/>
          <w:sz w:val="24"/>
          <w:szCs w:val="24"/>
        </w:rPr>
        <w:t xml:space="preserve"> el Directorio del BPS, con fecha 20/6/18, adoptó la RD No. 20-2/2018, por la que se aprueba el Pliego de Condiciones para la contratación de un fideicomiso, al </w:t>
      </w:r>
      <w:r w:rsidR="00B65A32">
        <w:rPr>
          <w:rFonts w:ascii="Arial" w:hAnsi="Arial" w:cs="Arial"/>
          <w:sz w:val="24"/>
          <w:szCs w:val="24"/>
        </w:rPr>
        <w:t>amparo de lo establecido en el N</w:t>
      </w:r>
      <w:r>
        <w:rPr>
          <w:rFonts w:ascii="Arial" w:hAnsi="Arial" w:cs="Arial"/>
          <w:sz w:val="24"/>
          <w:szCs w:val="24"/>
        </w:rPr>
        <w:t>umeral 1</w:t>
      </w:r>
      <w:r w:rsidR="00ED1246">
        <w:rPr>
          <w:rFonts w:ascii="Arial" w:hAnsi="Arial" w:cs="Arial"/>
          <w:sz w:val="24"/>
          <w:szCs w:val="24"/>
        </w:rPr>
        <w:t>º</w:t>
      </w:r>
      <w:r w:rsidR="00B65A32">
        <w:rPr>
          <w:rFonts w:ascii="Arial" w:hAnsi="Arial" w:cs="Arial"/>
          <w:sz w:val="24"/>
          <w:szCs w:val="24"/>
        </w:rPr>
        <w:t xml:space="preserve"> del Literal C) del A</w:t>
      </w:r>
      <w:r>
        <w:rPr>
          <w:rFonts w:ascii="Arial" w:hAnsi="Arial" w:cs="Arial"/>
          <w:sz w:val="24"/>
          <w:szCs w:val="24"/>
        </w:rPr>
        <w:t>rtículo 33 del TOCAF;</w:t>
      </w:r>
    </w:p>
    <w:p w:rsidR="00B65A32" w:rsidRDefault="00993CF7" w:rsidP="00B65A32">
      <w:pPr>
        <w:spacing w:after="0" w:line="360" w:lineRule="auto"/>
        <w:ind w:firstLine="2835"/>
        <w:jc w:val="both"/>
        <w:rPr>
          <w:rFonts w:ascii="Arial" w:hAnsi="Arial" w:cs="Arial"/>
          <w:sz w:val="24"/>
          <w:szCs w:val="24"/>
        </w:rPr>
      </w:pPr>
      <w:r w:rsidRPr="00993CF7">
        <w:rPr>
          <w:rFonts w:ascii="Arial" w:hAnsi="Arial" w:cs="Arial"/>
          <w:b/>
          <w:sz w:val="24"/>
          <w:szCs w:val="24"/>
        </w:rPr>
        <w:t>2)</w:t>
      </w:r>
      <w:r>
        <w:rPr>
          <w:rFonts w:ascii="Arial" w:hAnsi="Arial" w:cs="Arial"/>
          <w:b/>
          <w:sz w:val="24"/>
          <w:szCs w:val="24"/>
        </w:rPr>
        <w:t xml:space="preserve"> </w:t>
      </w:r>
      <w:r w:rsidR="00FE3D9E">
        <w:rPr>
          <w:rFonts w:ascii="Arial" w:hAnsi="Arial" w:cs="Arial"/>
          <w:sz w:val="24"/>
          <w:szCs w:val="24"/>
        </w:rPr>
        <w:t xml:space="preserve">que </w:t>
      </w:r>
      <w:r w:rsidR="00ED1246">
        <w:rPr>
          <w:rFonts w:ascii="Arial" w:hAnsi="Arial" w:cs="Arial"/>
          <w:sz w:val="24"/>
          <w:szCs w:val="24"/>
        </w:rPr>
        <w:t>consta invitación al</w:t>
      </w:r>
      <w:r w:rsidR="00113768">
        <w:rPr>
          <w:rFonts w:ascii="Arial" w:hAnsi="Arial" w:cs="Arial"/>
          <w:sz w:val="24"/>
          <w:szCs w:val="24"/>
        </w:rPr>
        <w:t xml:space="preserve"> llamado </w:t>
      </w:r>
      <w:r w:rsidR="00ED1246">
        <w:rPr>
          <w:rFonts w:ascii="Arial" w:hAnsi="Arial" w:cs="Arial"/>
          <w:sz w:val="24"/>
          <w:szCs w:val="24"/>
        </w:rPr>
        <w:t xml:space="preserve">realizado a </w:t>
      </w:r>
      <w:r w:rsidR="00113768">
        <w:rPr>
          <w:rFonts w:ascii="Arial" w:hAnsi="Arial" w:cs="Arial"/>
          <w:sz w:val="24"/>
          <w:szCs w:val="24"/>
        </w:rPr>
        <w:t>las siguientes empresas: Corporación Nacional p</w:t>
      </w:r>
      <w:r w:rsidR="000836F7">
        <w:rPr>
          <w:rFonts w:ascii="Arial" w:hAnsi="Arial" w:cs="Arial"/>
          <w:sz w:val="24"/>
          <w:szCs w:val="24"/>
        </w:rPr>
        <w:t>ara el Desarrollo y República N</w:t>
      </w:r>
      <w:r w:rsidR="00113768">
        <w:rPr>
          <w:rFonts w:ascii="Arial" w:hAnsi="Arial" w:cs="Arial"/>
          <w:sz w:val="24"/>
          <w:szCs w:val="24"/>
        </w:rPr>
        <w:t xml:space="preserve">egocios </w:t>
      </w:r>
      <w:r w:rsidR="000836F7">
        <w:rPr>
          <w:rFonts w:ascii="Arial" w:hAnsi="Arial" w:cs="Arial"/>
          <w:sz w:val="24"/>
          <w:szCs w:val="24"/>
        </w:rPr>
        <w:t>F</w:t>
      </w:r>
      <w:r w:rsidR="00113768">
        <w:rPr>
          <w:rFonts w:ascii="Arial" w:hAnsi="Arial" w:cs="Arial"/>
          <w:sz w:val="24"/>
          <w:szCs w:val="24"/>
        </w:rPr>
        <w:t>iduciarios;</w:t>
      </w:r>
    </w:p>
    <w:p w:rsidR="00B65A32" w:rsidRDefault="00113768" w:rsidP="00B65A32">
      <w:pPr>
        <w:spacing w:after="0" w:line="360" w:lineRule="auto"/>
        <w:ind w:firstLine="2835"/>
        <w:jc w:val="both"/>
        <w:rPr>
          <w:rFonts w:ascii="Arial" w:hAnsi="Arial" w:cs="Arial"/>
          <w:sz w:val="24"/>
          <w:szCs w:val="24"/>
        </w:rPr>
      </w:pPr>
      <w:r w:rsidRPr="00113768">
        <w:rPr>
          <w:rFonts w:ascii="Arial" w:hAnsi="Arial" w:cs="Arial"/>
          <w:b/>
          <w:sz w:val="24"/>
          <w:szCs w:val="24"/>
        </w:rPr>
        <w:t xml:space="preserve">3) </w:t>
      </w:r>
      <w:r>
        <w:rPr>
          <w:rFonts w:ascii="Arial" w:hAnsi="Arial" w:cs="Arial"/>
          <w:sz w:val="24"/>
          <w:szCs w:val="24"/>
        </w:rPr>
        <w:t>que el Fideicomiso t</w:t>
      </w:r>
      <w:r w:rsidR="00FE3D9E">
        <w:rPr>
          <w:rFonts w:ascii="Arial" w:hAnsi="Arial" w:cs="Arial"/>
          <w:sz w:val="24"/>
          <w:szCs w:val="24"/>
        </w:rPr>
        <w:t>endrá por objeto:</w:t>
      </w:r>
    </w:p>
    <w:p w:rsidR="00B65A32" w:rsidRDefault="00ED1246" w:rsidP="00B65A32">
      <w:pPr>
        <w:spacing w:after="0" w:line="360" w:lineRule="auto"/>
        <w:ind w:firstLine="2835"/>
        <w:jc w:val="both"/>
        <w:rPr>
          <w:rFonts w:ascii="Arial" w:hAnsi="Arial" w:cs="Arial"/>
          <w:sz w:val="24"/>
          <w:szCs w:val="24"/>
        </w:rPr>
      </w:pPr>
      <w:r w:rsidRPr="002901CB">
        <w:rPr>
          <w:rFonts w:ascii="Arial" w:hAnsi="Arial" w:cs="Arial"/>
          <w:b/>
          <w:sz w:val="24"/>
          <w:szCs w:val="24"/>
        </w:rPr>
        <w:t>3.1</w:t>
      </w:r>
      <w:r w:rsidR="00B65A32" w:rsidRPr="00B65A32">
        <w:rPr>
          <w:rFonts w:ascii="Arial" w:hAnsi="Arial" w:cs="Arial"/>
          <w:b/>
          <w:sz w:val="24"/>
          <w:szCs w:val="24"/>
        </w:rPr>
        <w:t>)</w:t>
      </w:r>
      <w:r w:rsidR="00FE3D9E">
        <w:rPr>
          <w:rFonts w:ascii="Arial" w:hAnsi="Arial" w:cs="Arial"/>
          <w:sz w:val="24"/>
          <w:szCs w:val="24"/>
        </w:rPr>
        <w:t xml:space="preserve"> la administración por parte del fiduciario</w:t>
      </w:r>
      <w:r>
        <w:rPr>
          <w:rFonts w:ascii="Arial" w:hAnsi="Arial" w:cs="Arial"/>
          <w:sz w:val="24"/>
          <w:szCs w:val="24"/>
        </w:rPr>
        <w:t xml:space="preserve"> </w:t>
      </w:r>
      <w:r w:rsidR="00FE3D9E">
        <w:rPr>
          <w:rFonts w:ascii="Arial" w:hAnsi="Arial" w:cs="Arial"/>
          <w:sz w:val="24"/>
          <w:szCs w:val="24"/>
        </w:rPr>
        <w:t>de la totalidad de los fondos acumulados correspondientes a las transferencias de aportes que se realicen por desafiliaciones del régimen de jubilación</w:t>
      </w:r>
      <w:r w:rsidR="00113768">
        <w:rPr>
          <w:rFonts w:ascii="Arial" w:hAnsi="Arial" w:cs="Arial"/>
          <w:sz w:val="24"/>
          <w:szCs w:val="24"/>
        </w:rPr>
        <w:t xml:space="preserve"> d</w:t>
      </w:r>
      <w:r w:rsidR="00B65A32">
        <w:rPr>
          <w:rFonts w:ascii="Arial" w:hAnsi="Arial" w:cs="Arial"/>
          <w:sz w:val="24"/>
          <w:szCs w:val="24"/>
        </w:rPr>
        <w:t>e ahorro obligatorio, conforme con lo previsto en el A</w:t>
      </w:r>
      <w:r w:rsidR="00113768">
        <w:rPr>
          <w:rFonts w:ascii="Arial" w:hAnsi="Arial" w:cs="Arial"/>
          <w:sz w:val="24"/>
          <w:szCs w:val="24"/>
        </w:rPr>
        <w:t>rtículo</w:t>
      </w:r>
      <w:r w:rsidR="00B65A32">
        <w:rPr>
          <w:rFonts w:ascii="Arial" w:hAnsi="Arial" w:cs="Arial"/>
          <w:sz w:val="24"/>
          <w:szCs w:val="24"/>
        </w:rPr>
        <w:t xml:space="preserve"> 1º de la Ley N°</w:t>
      </w:r>
      <w:r w:rsidR="00113768">
        <w:rPr>
          <w:rFonts w:ascii="Arial" w:hAnsi="Arial" w:cs="Arial"/>
          <w:sz w:val="24"/>
          <w:szCs w:val="24"/>
        </w:rPr>
        <w:t xml:space="preserve"> 19.590</w:t>
      </w:r>
      <w:r>
        <w:rPr>
          <w:rFonts w:ascii="Arial" w:hAnsi="Arial" w:cs="Arial"/>
          <w:sz w:val="24"/>
          <w:szCs w:val="24"/>
        </w:rPr>
        <w:t>,</w:t>
      </w:r>
      <w:r w:rsidR="00113768">
        <w:rPr>
          <w:rFonts w:ascii="Arial" w:hAnsi="Arial" w:cs="Arial"/>
          <w:sz w:val="24"/>
          <w:szCs w:val="24"/>
        </w:rPr>
        <w:t xml:space="preserve"> cumpliendo con el objetivo d</w:t>
      </w:r>
      <w:r w:rsidR="00B65A32">
        <w:rPr>
          <w:rFonts w:ascii="Arial" w:hAnsi="Arial" w:cs="Arial"/>
          <w:sz w:val="24"/>
          <w:szCs w:val="24"/>
        </w:rPr>
        <w:t>el fideicomiso enunciado en el A</w:t>
      </w:r>
      <w:r w:rsidR="00113768">
        <w:rPr>
          <w:rFonts w:ascii="Arial" w:hAnsi="Arial" w:cs="Arial"/>
          <w:sz w:val="24"/>
          <w:szCs w:val="24"/>
        </w:rPr>
        <w:t xml:space="preserve">rtículo </w:t>
      </w:r>
      <w:r w:rsidR="00B65A32">
        <w:rPr>
          <w:rFonts w:ascii="Arial" w:hAnsi="Arial" w:cs="Arial"/>
          <w:sz w:val="24"/>
          <w:szCs w:val="24"/>
        </w:rPr>
        <w:t>25 del Decreto Reglamentario N°</w:t>
      </w:r>
      <w:r w:rsidR="00113768">
        <w:rPr>
          <w:rFonts w:ascii="Arial" w:hAnsi="Arial" w:cs="Arial"/>
          <w:sz w:val="24"/>
          <w:szCs w:val="24"/>
        </w:rPr>
        <w:t xml:space="preserve"> 71/18;</w:t>
      </w:r>
    </w:p>
    <w:p w:rsidR="00B65A32" w:rsidRDefault="00B65A32" w:rsidP="00B65A32">
      <w:pPr>
        <w:spacing w:after="0" w:line="360" w:lineRule="auto"/>
        <w:ind w:firstLine="2835"/>
        <w:jc w:val="both"/>
        <w:rPr>
          <w:rFonts w:ascii="Arial" w:hAnsi="Arial" w:cs="Arial"/>
          <w:sz w:val="24"/>
          <w:szCs w:val="24"/>
        </w:rPr>
      </w:pPr>
      <w:r>
        <w:rPr>
          <w:rFonts w:ascii="Arial" w:hAnsi="Arial" w:cs="Arial"/>
          <w:b/>
          <w:sz w:val="24"/>
          <w:szCs w:val="24"/>
        </w:rPr>
        <w:t>3.2)</w:t>
      </w:r>
      <w:r w:rsidR="00113768">
        <w:rPr>
          <w:rFonts w:ascii="Arial" w:hAnsi="Arial" w:cs="Arial"/>
          <w:sz w:val="24"/>
          <w:szCs w:val="24"/>
        </w:rPr>
        <w:t xml:space="preserve"> distribuir las rentas netas de con</w:t>
      </w:r>
      <w:r>
        <w:rPr>
          <w:rFonts w:ascii="Arial" w:hAnsi="Arial" w:cs="Arial"/>
          <w:sz w:val="24"/>
          <w:szCs w:val="24"/>
        </w:rPr>
        <w:t>formidad con lo previsto en el Artículo 13 de la L</w:t>
      </w:r>
      <w:r w:rsidR="00113768">
        <w:rPr>
          <w:rFonts w:ascii="Arial" w:hAnsi="Arial" w:cs="Arial"/>
          <w:sz w:val="24"/>
          <w:szCs w:val="24"/>
        </w:rPr>
        <w:t xml:space="preserve">ey </w:t>
      </w:r>
      <w:r>
        <w:rPr>
          <w:rFonts w:ascii="Arial" w:hAnsi="Arial" w:cs="Arial"/>
          <w:sz w:val="24"/>
          <w:szCs w:val="24"/>
        </w:rPr>
        <w:t>N°</w:t>
      </w:r>
      <w:r w:rsidR="00113768">
        <w:rPr>
          <w:rFonts w:ascii="Arial" w:hAnsi="Arial" w:cs="Arial"/>
          <w:sz w:val="24"/>
          <w:szCs w:val="24"/>
        </w:rPr>
        <w:t xml:space="preserve"> 19.590</w:t>
      </w:r>
      <w:r w:rsidR="000836F7">
        <w:rPr>
          <w:rFonts w:ascii="Arial" w:hAnsi="Arial" w:cs="Arial"/>
          <w:sz w:val="24"/>
          <w:szCs w:val="24"/>
        </w:rPr>
        <w:t xml:space="preserve"> de fecha 9/1/18</w:t>
      </w:r>
      <w:r w:rsidR="00113768">
        <w:rPr>
          <w:rFonts w:ascii="Arial" w:hAnsi="Arial" w:cs="Arial"/>
          <w:sz w:val="24"/>
          <w:szCs w:val="24"/>
        </w:rPr>
        <w:t>;</w:t>
      </w:r>
    </w:p>
    <w:p w:rsidR="00B65A32" w:rsidRDefault="00113768" w:rsidP="00B65A32">
      <w:pPr>
        <w:spacing w:after="0" w:line="360" w:lineRule="auto"/>
        <w:ind w:firstLine="2835"/>
        <w:jc w:val="both"/>
        <w:rPr>
          <w:rFonts w:ascii="Arial" w:hAnsi="Arial" w:cs="Arial"/>
          <w:sz w:val="24"/>
          <w:szCs w:val="24"/>
        </w:rPr>
      </w:pPr>
      <w:r>
        <w:rPr>
          <w:rFonts w:ascii="Arial" w:hAnsi="Arial" w:cs="Arial"/>
          <w:b/>
          <w:sz w:val="24"/>
          <w:szCs w:val="24"/>
        </w:rPr>
        <w:lastRenderedPageBreak/>
        <w:t>4</w:t>
      </w:r>
      <w:r w:rsidRPr="00113768">
        <w:rPr>
          <w:rFonts w:ascii="Arial" w:hAnsi="Arial" w:cs="Arial"/>
          <w:b/>
          <w:sz w:val="24"/>
          <w:szCs w:val="24"/>
        </w:rPr>
        <w:t>)</w:t>
      </w:r>
      <w:r>
        <w:rPr>
          <w:rFonts w:ascii="Arial" w:hAnsi="Arial" w:cs="Arial"/>
          <w:b/>
          <w:sz w:val="24"/>
          <w:szCs w:val="24"/>
        </w:rPr>
        <w:t xml:space="preserve"> </w:t>
      </w:r>
      <w:r w:rsidRPr="00D91CCE">
        <w:rPr>
          <w:rFonts w:ascii="Arial" w:hAnsi="Arial" w:cs="Arial"/>
          <w:sz w:val="24"/>
          <w:szCs w:val="24"/>
        </w:rPr>
        <w:t>que el objetivo</w:t>
      </w:r>
      <w:r w:rsidR="00ED1246">
        <w:rPr>
          <w:rFonts w:ascii="Arial" w:hAnsi="Arial" w:cs="Arial"/>
          <w:sz w:val="24"/>
          <w:szCs w:val="24"/>
        </w:rPr>
        <w:t xml:space="preserve"> del fideicomiso</w:t>
      </w:r>
      <w:r w:rsidRPr="00D91CCE">
        <w:rPr>
          <w:rFonts w:ascii="Arial" w:hAnsi="Arial" w:cs="Arial"/>
          <w:sz w:val="24"/>
          <w:szCs w:val="24"/>
        </w:rPr>
        <w:t xml:space="preserve"> consiste en preservar el capital y maximizar la rentabilidad de los fondos administrados, mediante una gestión prudente </w:t>
      </w:r>
      <w:r w:rsidR="00D91CCE" w:rsidRPr="00D91CCE">
        <w:rPr>
          <w:rFonts w:ascii="Arial" w:hAnsi="Arial" w:cs="Arial"/>
          <w:sz w:val="24"/>
          <w:szCs w:val="24"/>
        </w:rPr>
        <w:t>de riesgos</w:t>
      </w:r>
      <w:r w:rsidR="00D91CCE">
        <w:rPr>
          <w:rFonts w:ascii="Arial" w:hAnsi="Arial" w:cs="Arial"/>
          <w:sz w:val="24"/>
          <w:szCs w:val="24"/>
        </w:rPr>
        <w:t xml:space="preserve"> </w:t>
      </w:r>
      <w:r w:rsidR="00D91CCE" w:rsidRPr="00D91CCE">
        <w:rPr>
          <w:rFonts w:ascii="Arial" w:hAnsi="Arial" w:cs="Arial"/>
          <w:sz w:val="24"/>
          <w:szCs w:val="24"/>
        </w:rPr>
        <w:t>en un horizonte de inversión adecuados;</w:t>
      </w:r>
    </w:p>
    <w:p w:rsidR="00B65A32" w:rsidRDefault="00D91CCE" w:rsidP="00B65A32">
      <w:pPr>
        <w:spacing w:after="0" w:line="360" w:lineRule="auto"/>
        <w:ind w:firstLine="2835"/>
        <w:jc w:val="both"/>
        <w:rPr>
          <w:rFonts w:ascii="Arial" w:hAnsi="Arial" w:cs="Arial"/>
          <w:sz w:val="24"/>
          <w:szCs w:val="24"/>
        </w:rPr>
      </w:pPr>
      <w:r w:rsidRPr="008C2717">
        <w:rPr>
          <w:rFonts w:ascii="Arial" w:hAnsi="Arial" w:cs="Arial"/>
          <w:b/>
          <w:sz w:val="24"/>
          <w:szCs w:val="24"/>
        </w:rPr>
        <w:t>5)</w:t>
      </w:r>
      <w:r>
        <w:rPr>
          <w:rFonts w:ascii="Arial" w:hAnsi="Arial" w:cs="Arial"/>
          <w:sz w:val="24"/>
          <w:szCs w:val="24"/>
        </w:rPr>
        <w:t xml:space="preserve"> que se crea una Comisión de Seguimiento, con el cometido de monitorear el cumplimiento de los objetivos</w:t>
      </w:r>
      <w:r w:rsidR="008C2717">
        <w:rPr>
          <w:rFonts w:ascii="Arial" w:hAnsi="Arial" w:cs="Arial"/>
          <w:sz w:val="24"/>
          <w:szCs w:val="24"/>
        </w:rPr>
        <w:t>, así como de las obligaciones contraídas por el fiduciario;</w:t>
      </w:r>
    </w:p>
    <w:p w:rsidR="00D17150" w:rsidRPr="00B65A32" w:rsidRDefault="00D17150" w:rsidP="00B65A32">
      <w:pPr>
        <w:spacing w:after="0" w:line="360" w:lineRule="auto"/>
        <w:ind w:firstLine="2835"/>
        <w:jc w:val="both"/>
        <w:rPr>
          <w:rFonts w:ascii="Arial" w:hAnsi="Arial" w:cs="Arial"/>
          <w:sz w:val="24"/>
          <w:szCs w:val="24"/>
        </w:rPr>
      </w:pPr>
      <w:r w:rsidRPr="00D17150">
        <w:rPr>
          <w:rFonts w:ascii="Arial" w:hAnsi="Arial" w:cs="Arial"/>
          <w:b/>
          <w:sz w:val="24"/>
          <w:szCs w:val="24"/>
        </w:rPr>
        <w:t>6)</w:t>
      </w:r>
      <w:r w:rsidRPr="00D17150">
        <w:rPr>
          <w:rFonts w:ascii="Arial" w:hAnsi="Arial" w:cs="Arial"/>
          <w:sz w:val="24"/>
          <w:szCs w:val="24"/>
        </w:rPr>
        <w:t xml:space="preserve"> que el portafo</w:t>
      </w:r>
      <w:r>
        <w:rPr>
          <w:rFonts w:ascii="Arial" w:hAnsi="Arial" w:cs="Arial"/>
          <w:sz w:val="24"/>
          <w:szCs w:val="24"/>
        </w:rPr>
        <w:t>l</w:t>
      </w:r>
      <w:r w:rsidRPr="00D17150">
        <w:rPr>
          <w:rFonts w:ascii="Arial" w:hAnsi="Arial" w:cs="Arial"/>
          <w:sz w:val="24"/>
          <w:szCs w:val="24"/>
        </w:rPr>
        <w:t>io del fideicomiso podrá estar</w:t>
      </w:r>
      <w:r>
        <w:rPr>
          <w:rFonts w:ascii="Arial" w:hAnsi="Arial" w:cs="Arial"/>
          <w:sz w:val="24"/>
          <w:szCs w:val="24"/>
        </w:rPr>
        <w:t xml:space="preserve"> </w:t>
      </w:r>
      <w:r w:rsidRPr="00D17150">
        <w:rPr>
          <w:rFonts w:ascii="Arial" w:hAnsi="Arial" w:cs="Arial"/>
          <w:sz w:val="24"/>
          <w:szCs w:val="24"/>
        </w:rPr>
        <w:t>conformado</w:t>
      </w:r>
      <w:r>
        <w:rPr>
          <w:rFonts w:ascii="Arial" w:hAnsi="Arial" w:cs="Arial"/>
          <w:sz w:val="24"/>
          <w:szCs w:val="24"/>
        </w:rPr>
        <w:t xml:space="preserve"> por</w:t>
      </w:r>
      <w:r w:rsidR="00E154DB">
        <w:rPr>
          <w:rFonts w:ascii="Arial" w:hAnsi="Arial" w:cs="Arial"/>
          <w:sz w:val="24"/>
          <w:szCs w:val="24"/>
        </w:rPr>
        <w:t xml:space="preserve"> los activos previ</w:t>
      </w:r>
      <w:r w:rsidR="00B65A32">
        <w:rPr>
          <w:rFonts w:ascii="Arial" w:hAnsi="Arial" w:cs="Arial"/>
          <w:sz w:val="24"/>
          <w:szCs w:val="24"/>
        </w:rPr>
        <w:t>stos en el Artículo 10 de la Ley N°</w:t>
      </w:r>
      <w:r w:rsidR="00E154DB">
        <w:rPr>
          <w:rFonts w:ascii="Arial" w:hAnsi="Arial" w:cs="Arial"/>
          <w:sz w:val="24"/>
          <w:szCs w:val="24"/>
        </w:rPr>
        <w:t xml:space="preserve"> 19.590, con </w:t>
      </w:r>
      <w:r w:rsidR="00B65A32" w:rsidRPr="00B65A32">
        <w:rPr>
          <w:rFonts w:ascii="Arial" w:hAnsi="Arial" w:cs="Arial"/>
          <w:sz w:val="24"/>
          <w:szCs w:val="24"/>
        </w:rPr>
        <w:t>los máximos establecidos en el A</w:t>
      </w:r>
      <w:r w:rsidR="00E154DB" w:rsidRPr="00B65A32">
        <w:rPr>
          <w:rFonts w:ascii="Arial" w:hAnsi="Arial" w:cs="Arial"/>
          <w:sz w:val="24"/>
          <w:szCs w:val="24"/>
        </w:rPr>
        <w:t>rtículo 28 del Dec</w:t>
      </w:r>
      <w:r w:rsidR="00ED1246" w:rsidRPr="00B65A32">
        <w:rPr>
          <w:rFonts w:ascii="Arial" w:hAnsi="Arial" w:cs="Arial"/>
          <w:sz w:val="24"/>
          <w:szCs w:val="24"/>
        </w:rPr>
        <w:t>reto</w:t>
      </w:r>
      <w:r w:rsidR="00E154DB" w:rsidRPr="00B65A32">
        <w:rPr>
          <w:rFonts w:ascii="Arial" w:hAnsi="Arial" w:cs="Arial"/>
          <w:sz w:val="24"/>
          <w:szCs w:val="24"/>
        </w:rPr>
        <w:t xml:space="preserve"> 71/18</w:t>
      </w:r>
      <w:r w:rsidR="00ED1246" w:rsidRPr="00B65A32">
        <w:rPr>
          <w:rFonts w:ascii="Arial" w:hAnsi="Arial" w:cs="Arial"/>
          <w:sz w:val="24"/>
          <w:szCs w:val="24"/>
        </w:rPr>
        <w:t>,</w:t>
      </w:r>
      <w:r w:rsidR="00E154DB" w:rsidRPr="00B65A32">
        <w:rPr>
          <w:rFonts w:ascii="Arial" w:hAnsi="Arial" w:cs="Arial"/>
          <w:sz w:val="24"/>
          <w:szCs w:val="24"/>
        </w:rPr>
        <w:t xml:space="preserve"> a saber: </w:t>
      </w:r>
      <w:r w:rsidRPr="00B65A32">
        <w:rPr>
          <w:rFonts w:ascii="Arial" w:hAnsi="Arial" w:cs="Arial"/>
          <w:sz w:val="24"/>
          <w:szCs w:val="24"/>
        </w:rPr>
        <w:t xml:space="preserve"> </w:t>
      </w:r>
    </w:p>
    <w:p w:rsidR="00D17150" w:rsidRDefault="00D17150" w:rsidP="0009043C">
      <w:pPr>
        <w:spacing w:after="0" w:line="360" w:lineRule="auto"/>
        <w:jc w:val="both"/>
        <w:rPr>
          <w:rFonts w:ascii="Arial" w:hAnsi="Arial" w:cs="Arial"/>
          <w:sz w:val="24"/>
          <w:szCs w:val="24"/>
        </w:rPr>
      </w:pPr>
      <w:r w:rsidRPr="00B65A32">
        <w:rPr>
          <w:rFonts w:ascii="Arial" w:hAnsi="Arial" w:cs="Arial"/>
          <w:b/>
          <w:sz w:val="24"/>
          <w:szCs w:val="24"/>
        </w:rPr>
        <w:t>A)</w:t>
      </w:r>
      <w:r w:rsidR="00B65A32">
        <w:rPr>
          <w:rFonts w:ascii="Arial" w:hAnsi="Arial" w:cs="Arial"/>
          <w:sz w:val="24"/>
          <w:szCs w:val="24"/>
        </w:rPr>
        <w:t xml:space="preserve"> (100</w:t>
      </w:r>
      <w:r>
        <w:rPr>
          <w:rFonts w:ascii="Arial" w:hAnsi="Arial" w:cs="Arial"/>
          <w:sz w:val="24"/>
          <w:szCs w:val="24"/>
        </w:rPr>
        <w:t xml:space="preserve">%) Valores emitidos por el Estado Uruguayo e instrumentos de regulación monetaria emitidos por el Banco Central del Uruguay; </w:t>
      </w:r>
    </w:p>
    <w:p w:rsidR="00B65A32" w:rsidRPr="00B65A32" w:rsidRDefault="00D17150" w:rsidP="0009043C">
      <w:pPr>
        <w:spacing w:after="0" w:line="360" w:lineRule="auto"/>
        <w:jc w:val="both"/>
        <w:rPr>
          <w:rFonts w:ascii="Arial" w:hAnsi="Arial" w:cs="Arial"/>
          <w:b/>
          <w:sz w:val="24"/>
          <w:szCs w:val="24"/>
        </w:rPr>
      </w:pPr>
      <w:r w:rsidRPr="00B65A32">
        <w:rPr>
          <w:rFonts w:ascii="Arial" w:hAnsi="Arial" w:cs="Arial"/>
          <w:b/>
          <w:sz w:val="24"/>
          <w:szCs w:val="24"/>
        </w:rPr>
        <w:t>B)</w:t>
      </w:r>
      <w:r w:rsidR="00B65A32">
        <w:rPr>
          <w:rFonts w:ascii="Arial" w:hAnsi="Arial" w:cs="Arial"/>
          <w:sz w:val="24"/>
          <w:szCs w:val="24"/>
        </w:rPr>
        <w:t xml:space="preserve"> (10</w:t>
      </w:r>
      <w:r>
        <w:rPr>
          <w:rFonts w:ascii="Arial" w:hAnsi="Arial" w:cs="Arial"/>
          <w:sz w:val="24"/>
          <w:szCs w:val="24"/>
        </w:rPr>
        <w:t>%) Depósitos a la vista y a plazo fijo, en instituciones de intermediaci</w:t>
      </w:r>
      <w:r w:rsidR="00B65A32">
        <w:rPr>
          <w:rFonts w:ascii="Arial" w:hAnsi="Arial" w:cs="Arial"/>
          <w:sz w:val="24"/>
          <w:szCs w:val="24"/>
        </w:rPr>
        <w:t>ón financiera instaladas en el p</w:t>
      </w:r>
      <w:r>
        <w:rPr>
          <w:rFonts w:ascii="Arial" w:hAnsi="Arial" w:cs="Arial"/>
          <w:sz w:val="24"/>
          <w:szCs w:val="24"/>
        </w:rPr>
        <w:t xml:space="preserve">aís, autorizadas a captar depósitos, </w:t>
      </w:r>
      <w:r w:rsidR="00B65A32">
        <w:rPr>
          <w:rFonts w:ascii="Arial" w:hAnsi="Arial" w:cs="Arial"/>
          <w:sz w:val="24"/>
          <w:szCs w:val="24"/>
        </w:rPr>
        <w:t xml:space="preserve">en moneda </w:t>
      </w:r>
      <w:bookmarkStart w:id="0" w:name="_GoBack"/>
      <w:r w:rsidR="00B65A32" w:rsidRPr="00A63FA4">
        <w:rPr>
          <w:rFonts w:ascii="Arial" w:hAnsi="Arial" w:cs="Arial"/>
          <w:sz w:val="24"/>
          <w:szCs w:val="24"/>
        </w:rPr>
        <w:t>nacional y extranjera;</w:t>
      </w:r>
      <w:bookmarkEnd w:id="0"/>
    </w:p>
    <w:p w:rsidR="00B65A32" w:rsidRDefault="00D17150" w:rsidP="0009043C">
      <w:pPr>
        <w:spacing w:after="0" w:line="360" w:lineRule="auto"/>
        <w:jc w:val="both"/>
        <w:rPr>
          <w:rFonts w:ascii="Arial" w:hAnsi="Arial" w:cs="Arial"/>
          <w:sz w:val="24"/>
          <w:szCs w:val="24"/>
        </w:rPr>
      </w:pPr>
      <w:r w:rsidRPr="00B65A32">
        <w:rPr>
          <w:rFonts w:ascii="Arial" w:hAnsi="Arial" w:cs="Arial"/>
          <w:b/>
          <w:sz w:val="24"/>
          <w:szCs w:val="24"/>
        </w:rPr>
        <w:t>C)</w:t>
      </w:r>
      <w:r w:rsidR="00B65A32">
        <w:rPr>
          <w:rFonts w:ascii="Arial" w:hAnsi="Arial" w:cs="Arial"/>
          <w:sz w:val="24"/>
          <w:szCs w:val="24"/>
        </w:rPr>
        <w:t xml:space="preserve"> (10</w:t>
      </w:r>
      <w:r>
        <w:rPr>
          <w:rFonts w:ascii="Arial" w:hAnsi="Arial" w:cs="Arial"/>
          <w:sz w:val="24"/>
          <w:szCs w:val="24"/>
        </w:rPr>
        <w:t>%) Valores de renta fija emitidos por organismos internacionales de crédito o por gobiernos extranjeros de m</w:t>
      </w:r>
      <w:r w:rsidR="00B65A32">
        <w:rPr>
          <w:rFonts w:ascii="Arial" w:hAnsi="Arial" w:cs="Arial"/>
          <w:sz w:val="24"/>
          <w:szCs w:val="24"/>
        </w:rPr>
        <w:t>uy alta calificación crediticia.</w:t>
      </w:r>
      <w:r>
        <w:rPr>
          <w:rFonts w:ascii="Arial" w:hAnsi="Arial" w:cs="Arial"/>
          <w:sz w:val="24"/>
          <w:szCs w:val="24"/>
        </w:rPr>
        <w:t xml:space="preserve"> </w:t>
      </w:r>
    </w:p>
    <w:p w:rsidR="00B65A32" w:rsidRDefault="00ED1246" w:rsidP="0009043C">
      <w:pPr>
        <w:spacing w:after="0" w:line="360" w:lineRule="auto"/>
        <w:jc w:val="both"/>
        <w:rPr>
          <w:rFonts w:ascii="Arial" w:hAnsi="Arial" w:cs="Arial"/>
          <w:sz w:val="24"/>
          <w:szCs w:val="24"/>
        </w:rPr>
      </w:pPr>
      <w:r>
        <w:rPr>
          <w:rFonts w:ascii="Arial" w:hAnsi="Arial" w:cs="Arial"/>
          <w:sz w:val="24"/>
          <w:szCs w:val="24"/>
        </w:rPr>
        <w:t>Se señala que l</w:t>
      </w:r>
      <w:r w:rsidR="00D17150">
        <w:rPr>
          <w:rFonts w:ascii="Arial" w:hAnsi="Arial" w:cs="Arial"/>
          <w:sz w:val="24"/>
          <w:szCs w:val="24"/>
        </w:rPr>
        <w:t>os activos denominados en moneda extranjera no podrán superar el</w:t>
      </w:r>
      <w:r w:rsidR="00B65A32">
        <w:rPr>
          <w:rFonts w:ascii="Arial" w:hAnsi="Arial" w:cs="Arial"/>
          <w:sz w:val="24"/>
          <w:szCs w:val="24"/>
        </w:rPr>
        <w:t xml:space="preserve"> 15</w:t>
      </w:r>
      <w:r w:rsidR="00D17150">
        <w:rPr>
          <w:rFonts w:ascii="Arial" w:hAnsi="Arial" w:cs="Arial"/>
          <w:sz w:val="24"/>
          <w:szCs w:val="24"/>
        </w:rPr>
        <w:t>% del total de activos del fideicomiso;</w:t>
      </w:r>
    </w:p>
    <w:p w:rsidR="00B65A32" w:rsidRDefault="00E154DB" w:rsidP="00B65A32">
      <w:pPr>
        <w:spacing w:after="0" w:line="360" w:lineRule="auto"/>
        <w:ind w:firstLine="2835"/>
        <w:jc w:val="both"/>
        <w:rPr>
          <w:rFonts w:ascii="Arial" w:hAnsi="Arial" w:cs="Arial"/>
          <w:sz w:val="24"/>
          <w:szCs w:val="24"/>
        </w:rPr>
      </w:pPr>
      <w:r w:rsidRPr="005910BC">
        <w:rPr>
          <w:rFonts w:ascii="Arial" w:hAnsi="Arial" w:cs="Arial"/>
          <w:b/>
          <w:sz w:val="24"/>
          <w:szCs w:val="24"/>
        </w:rPr>
        <w:t xml:space="preserve">7) </w:t>
      </w:r>
      <w:r w:rsidR="00ED1246">
        <w:rPr>
          <w:rFonts w:ascii="Arial" w:hAnsi="Arial" w:cs="Arial"/>
          <w:sz w:val="24"/>
          <w:szCs w:val="24"/>
        </w:rPr>
        <w:t xml:space="preserve">que en el Capítulo IV “De la evaluación de las ofertas y </w:t>
      </w:r>
      <w:r w:rsidR="00770501">
        <w:rPr>
          <w:rFonts w:ascii="Arial" w:hAnsi="Arial" w:cs="Arial"/>
          <w:sz w:val="24"/>
          <w:szCs w:val="24"/>
        </w:rPr>
        <w:t xml:space="preserve">adjudicación” </w:t>
      </w:r>
      <w:r w:rsidR="00B65A32">
        <w:rPr>
          <w:rFonts w:ascii="Arial" w:hAnsi="Arial" w:cs="Arial"/>
          <w:sz w:val="24"/>
          <w:szCs w:val="24"/>
        </w:rPr>
        <w:t>A</w:t>
      </w:r>
      <w:r w:rsidR="005910BC">
        <w:rPr>
          <w:rFonts w:ascii="Arial" w:hAnsi="Arial" w:cs="Arial"/>
          <w:sz w:val="24"/>
          <w:szCs w:val="24"/>
        </w:rPr>
        <w:t xml:space="preserve">rtículo 1.4.1, </w:t>
      </w:r>
      <w:r w:rsidR="00770501">
        <w:rPr>
          <w:rFonts w:ascii="Arial" w:hAnsi="Arial" w:cs="Arial"/>
          <w:sz w:val="24"/>
          <w:szCs w:val="24"/>
        </w:rPr>
        <w:t>se establece que la ponderación de las o</w:t>
      </w:r>
      <w:r w:rsidR="00B65A32">
        <w:rPr>
          <w:rFonts w:ascii="Arial" w:hAnsi="Arial" w:cs="Arial"/>
          <w:sz w:val="24"/>
          <w:szCs w:val="24"/>
        </w:rPr>
        <w:t>fertas se realizará de acuerdo con</w:t>
      </w:r>
      <w:r w:rsidR="00770501">
        <w:rPr>
          <w:rFonts w:ascii="Arial" w:hAnsi="Arial" w:cs="Arial"/>
          <w:sz w:val="24"/>
          <w:szCs w:val="24"/>
        </w:rPr>
        <w:t xml:space="preserve"> los factores que se detallan a continuación:</w:t>
      </w:r>
      <w:r w:rsidR="005910BC">
        <w:rPr>
          <w:rFonts w:ascii="Arial" w:hAnsi="Arial" w:cs="Arial"/>
          <w:sz w:val="24"/>
          <w:szCs w:val="24"/>
        </w:rPr>
        <w:t xml:space="preserve"> 90 puntos </w:t>
      </w:r>
      <w:r w:rsidR="00770501">
        <w:rPr>
          <w:rFonts w:ascii="Arial" w:hAnsi="Arial" w:cs="Arial"/>
          <w:sz w:val="24"/>
          <w:szCs w:val="24"/>
        </w:rPr>
        <w:t xml:space="preserve">para </w:t>
      </w:r>
      <w:r w:rsidR="005910BC">
        <w:rPr>
          <w:rFonts w:ascii="Arial" w:hAnsi="Arial" w:cs="Arial"/>
          <w:sz w:val="24"/>
          <w:szCs w:val="24"/>
        </w:rPr>
        <w:t xml:space="preserve">la propuesta económica y 10 puntos </w:t>
      </w:r>
      <w:r w:rsidR="00770501">
        <w:rPr>
          <w:rFonts w:ascii="Arial" w:hAnsi="Arial" w:cs="Arial"/>
          <w:sz w:val="24"/>
          <w:szCs w:val="24"/>
        </w:rPr>
        <w:t xml:space="preserve">para los </w:t>
      </w:r>
      <w:r w:rsidR="005910BC">
        <w:rPr>
          <w:rFonts w:ascii="Arial" w:hAnsi="Arial" w:cs="Arial"/>
          <w:sz w:val="24"/>
          <w:szCs w:val="24"/>
        </w:rPr>
        <w:t>antecedentes;</w:t>
      </w:r>
    </w:p>
    <w:p w:rsidR="00CC257F" w:rsidRDefault="005910BC" w:rsidP="00B65A32">
      <w:pPr>
        <w:spacing w:after="0" w:line="360" w:lineRule="auto"/>
        <w:ind w:firstLine="2835"/>
        <w:jc w:val="both"/>
        <w:rPr>
          <w:rFonts w:ascii="Arial" w:hAnsi="Arial" w:cs="Arial"/>
          <w:b/>
          <w:sz w:val="24"/>
          <w:szCs w:val="24"/>
        </w:rPr>
      </w:pPr>
      <w:r w:rsidRPr="005910BC">
        <w:rPr>
          <w:rFonts w:ascii="Arial" w:hAnsi="Arial" w:cs="Arial"/>
          <w:b/>
          <w:sz w:val="24"/>
          <w:szCs w:val="24"/>
        </w:rPr>
        <w:t>8)</w:t>
      </w:r>
      <w:r w:rsidR="00B65A32">
        <w:rPr>
          <w:rFonts w:ascii="Arial" w:hAnsi="Arial" w:cs="Arial"/>
          <w:b/>
          <w:sz w:val="24"/>
          <w:szCs w:val="24"/>
        </w:rPr>
        <w:t xml:space="preserve"> </w:t>
      </w:r>
      <w:r>
        <w:rPr>
          <w:rFonts w:ascii="Arial" w:hAnsi="Arial" w:cs="Arial"/>
          <w:sz w:val="24"/>
          <w:szCs w:val="24"/>
        </w:rPr>
        <w:t>que con fecha 6/7/18, se recibieron las ofertas presentadas</w:t>
      </w:r>
      <w:r w:rsidR="00770501">
        <w:rPr>
          <w:rFonts w:ascii="Arial" w:hAnsi="Arial" w:cs="Arial"/>
          <w:sz w:val="24"/>
          <w:szCs w:val="24"/>
        </w:rPr>
        <w:t xml:space="preserve"> por</w:t>
      </w:r>
      <w:r>
        <w:rPr>
          <w:rFonts w:ascii="Arial" w:hAnsi="Arial" w:cs="Arial"/>
          <w:sz w:val="24"/>
          <w:szCs w:val="24"/>
        </w:rPr>
        <w:t xml:space="preserve"> República Negocios Fiduciarios (RNF)</w:t>
      </w:r>
      <w:r w:rsidR="000836F7">
        <w:rPr>
          <w:rFonts w:ascii="Arial" w:hAnsi="Arial" w:cs="Arial"/>
          <w:sz w:val="24"/>
          <w:szCs w:val="24"/>
        </w:rPr>
        <w:t xml:space="preserve"> y</w:t>
      </w:r>
      <w:r>
        <w:rPr>
          <w:rFonts w:ascii="Arial" w:hAnsi="Arial" w:cs="Arial"/>
          <w:sz w:val="24"/>
          <w:szCs w:val="24"/>
        </w:rPr>
        <w:t xml:space="preserve"> CONAFIN AFISA</w:t>
      </w:r>
      <w:r w:rsidR="000836F7">
        <w:rPr>
          <w:rFonts w:ascii="Arial" w:hAnsi="Arial" w:cs="Arial"/>
          <w:sz w:val="24"/>
          <w:szCs w:val="24"/>
        </w:rPr>
        <w:t xml:space="preserve"> </w:t>
      </w:r>
      <w:r w:rsidR="00770501">
        <w:rPr>
          <w:rFonts w:ascii="Arial" w:hAnsi="Arial" w:cs="Arial"/>
          <w:sz w:val="24"/>
          <w:szCs w:val="24"/>
        </w:rPr>
        <w:t>–</w:t>
      </w:r>
      <w:r>
        <w:rPr>
          <w:rFonts w:ascii="Arial" w:hAnsi="Arial" w:cs="Arial"/>
          <w:sz w:val="24"/>
          <w:szCs w:val="24"/>
        </w:rPr>
        <w:t xml:space="preserve"> CND</w:t>
      </w:r>
      <w:r w:rsidR="00770501">
        <w:rPr>
          <w:rFonts w:ascii="Arial" w:hAnsi="Arial" w:cs="Arial"/>
          <w:sz w:val="24"/>
          <w:szCs w:val="24"/>
        </w:rPr>
        <w:t xml:space="preserve"> y</w:t>
      </w:r>
      <w:r w:rsidR="00CC257F">
        <w:rPr>
          <w:rFonts w:ascii="Arial" w:hAnsi="Arial" w:cs="Arial"/>
          <w:sz w:val="24"/>
          <w:szCs w:val="24"/>
        </w:rPr>
        <w:t xml:space="preserve"> con fecha 13/7/18 se procedió a realizar la evaluación económica y de antecedentes </w:t>
      </w:r>
      <w:r w:rsidR="00770501">
        <w:rPr>
          <w:rFonts w:ascii="Arial" w:hAnsi="Arial" w:cs="Arial"/>
          <w:sz w:val="24"/>
          <w:szCs w:val="24"/>
        </w:rPr>
        <w:t xml:space="preserve">de dichas ofertas, </w:t>
      </w:r>
      <w:r w:rsidR="00CC257F">
        <w:rPr>
          <w:rFonts w:ascii="Arial" w:hAnsi="Arial" w:cs="Arial"/>
          <w:sz w:val="24"/>
          <w:szCs w:val="24"/>
        </w:rPr>
        <w:t>l</w:t>
      </w:r>
      <w:r w:rsidR="00770501">
        <w:rPr>
          <w:rFonts w:ascii="Arial" w:hAnsi="Arial" w:cs="Arial"/>
          <w:sz w:val="24"/>
          <w:szCs w:val="24"/>
        </w:rPr>
        <w:t>o</w:t>
      </w:r>
      <w:r w:rsidR="00CC257F">
        <w:rPr>
          <w:rFonts w:ascii="Arial" w:hAnsi="Arial" w:cs="Arial"/>
          <w:sz w:val="24"/>
          <w:szCs w:val="24"/>
        </w:rPr>
        <w:t xml:space="preserve"> que </w:t>
      </w:r>
      <w:r w:rsidR="00770501">
        <w:rPr>
          <w:rFonts w:ascii="Arial" w:hAnsi="Arial" w:cs="Arial"/>
          <w:sz w:val="24"/>
          <w:szCs w:val="24"/>
        </w:rPr>
        <w:t>determinó los siguientes puntajes:</w:t>
      </w:r>
      <w:r w:rsidR="00D17150" w:rsidRPr="005910BC">
        <w:rPr>
          <w:rFonts w:ascii="Arial" w:hAnsi="Arial" w:cs="Arial"/>
          <w:b/>
          <w:sz w:val="24"/>
          <w:szCs w:val="24"/>
        </w:rPr>
        <w:t xml:space="preserve"> </w:t>
      </w:r>
    </w:p>
    <w:p w:rsidR="00BA5926" w:rsidRDefault="00BA5926" w:rsidP="00B65A32">
      <w:pPr>
        <w:spacing w:after="0" w:line="360" w:lineRule="auto"/>
        <w:ind w:firstLine="2835"/>
        <w:jc w:val="both"/>
        <w:rPr>
          <w:rFonts w:ascii="Arial" w:hAnsi="Arial" w:cs="Arial"/>
          <w:b/>
          <w:sz w:val="24"/>
          <w:szCs w:val="24"/>
        </w:rPr>
      </w:pPr>
    </w:p>
    <w:tbl>
      <w:tblPr>
        <w:tblStyle w:val="Tablaconcuadrcula"/>
        <w:tblpPr w:leftFromText="141" w:rightFromText="141" w:vertAnchor="text" w:tblpX="250" w:tblpY="1"/>
        <w:tblOverlap w:val="never"/>
        <w:tblW w:w="0" w:type="auto"/>
        <w:tblLayout w:type="fixed"/>
        <w:tblLook w:val="04A0" w:firstRow="1" w:lastRow="0" w:firstColumn="1" w:lastColumn="0" w:noHBand="0" w:noVBand="1"/>
      </w:tblPr>
      <w:tblGrid>
        <w:gridCol w:w="1809"/>
        <w:gridCol w:w="1985"/>
        <w:gridCol w:w="1843"/>
        <w:gridCol w:w="1635"/>
      </w:tblGrid>
      <w:tr w:rsidR="00CC257F" w:rsidTr="00BA5926">
        <w:trPr>
          <w:trHeight w:val="485"/>
        </w:trPr>
        <w:tc>
          <w:tcPr>
            <w:tcW w:w="1809" w:type="dxa"/>
          </w:tcPr>
          <w:p w:rsidR="00CC257F" w:rsidRDefault="00CC257F" w:rsidP="00BA5926">
            <w:pPr>
              <w:spacing w:line="360" w:lineRule="auto"/>
              <w:jc w:val="center"/>
              <w:rPr>
                <w:rFonts w:ascii="Arial" w:hAnsi="Arial" w:cs="Arial"/>
                <w:b/>
                <w:sz w:val="24"/>
                <w:szCs w:val="24"/>
              </w:rPr>
            </w:pPr>
            <w:r>
              <w:rPr>
                <w:rFonts w:ascii="Arial" w:hAnsi="Arial" w:cs="Arial"/>
                <w:b/>
                <w:sz w:val="24"/>
                <w:szCs w:val="24"/>
              </w:rPr>
              <w:lastRenderedPageBreak/>
              <w:t>EMPRESA</w:t>
            </w:r>
          </w:p>
        </w:tc>
        <w:tc>
          <w:tcPr>
            <w:tcW w:w="1985" w:type="dxa"/>
          </w:tcPr>
          <w:p w:rsidR="00CC257F" w:rsidRDefault="00CC257F" w:rsidP="00BA5926">
            <w:pPr>
              <w:spacing w:line="360" w:lineRule="auto"/>
              <w:jc w:val="center"/>
              <w:rPr>
                <w:rFonts w:ascii="Arial" w:hAnsi="Arial" w:cs="Arial"/>
                <w:b/>
                <w:sz w:val="24"/>
                <w:szCs w:val="24"/>
              </w:rPr>
            </w:pPr>
            <w:r>
              <w:rPr>
                <w:rFonts w:ascii="Arial" w:hAnsi="Arial" w:cs="Arial"/>
                <w:b/>
                <w:sz w:val="24"/>
                <w:szCs w:val="24"/>
              </w:rPr>
              <w:t xml:space="preserve">PUNTAJE ECONÓMICO </w:t>
            </w:r>
          </w:p>
        </w:tc>
        <w:tc>
          <w:tcPr>
            <w:tcW w:w="1843" w:type="dxa"/>
          </w:tcPr>
          <w:p w:rsidR="00CC257F" w:rsidRDefault="00CC257F" w:rsidP="00BA5926">
            <w:pPr>
              <w:spacing w:line="360" w:lineRule="auto"/>
              <w:jc w:val="center"/>
              <w:rPr>
                <w:rFonts w:ascii="Arial" w:hAnsi="Arial" w:cs="Arial"/>
                <w:b/>
                <w:sz w:val="24"/>
                <w:szCs w:val="24"/>
              </w:rPr>
            </w:pPr>
            <w:r>
              <w:rPr>
                <w:rFonts w:ascii="Arial" w:hAnsi="Arial" w:cs="Arial"/>
                <w:b/>
                <w:sz w:val="24"/>
                <w:szCs w:val="24"/>
              </w:rPr>
              <w:t>PUNTAJE ANTECEDENTES</w:t>
            </w:r>
          </w:p>
        </w:tc>
        <w:tc>
          <w:tcPr>
            <w:tcW w:w="1635" w:type="dxa"/>
          </w:tcPr>
          <w:p w:rsidR="00CC257F" w:rsidRDefault="00CC257F" w:rsidP="00BA5926">
            <w:pPr>
              <w:spacing w:line="360" w:lineRule="auto"/>
              <w:jc w:val="center"/>
              <w:rPr>
                <w:rFonts w:ascii="Arial" w:hAnsi="Arial" w:cs="Arial"/>
                <w:b/>
                <w:sz w:val="24"/>
                <w:szCs w:val="24"/>
              </w:rPr>
            </w:pPr>
            <w:r>
              <w:rPr>
                <w:rFonts w:ascii="Arial" w:hAnsi="Arial" w:cs="Arial"/>
                <w:b/>
                <w:sz w:val="24"/>
                <w:szCs w:val="24"/>
              </w:rPr>
              <w:t xml:space="preserve">PUNTAJE TOTAL </w:t>
            </w:r>
          </w:p>
        </w:tc>
      </w:tr>
      <w:tr w:rsidR="00CC257F" w:rsidTr="00BA5926">
        <w:trPr>
          <w:trHeight w:val="465"/>
        </w:trPr>
        <w:tc>
          <w:tcPr>
            <w:tcW w:w="1809" w:type="dxa"/>
          </w:tcPr>
          <w:p w:rsidR="00CC257F" w:rsidRPr="00CC257F" w:rsidRDefault="00CC257F" w:rsidP="00BA5926">
            <w:pPr>
              <w:spacing w:line="360" w:lineRule="auto"/>
              <w:jc w:val="center"/>
              <w:rPr>
                <w:rFonts w:ascii="Arial" w:hAnsi="Arial" w:cs="Arial"/>
                <w:sz w:val="24"/>
                <w:szCs w:val="24"/>
              </w:rPr>
            </w:pPr>
            <w:r>
              <w:rPr>
                <w:rFonts w:ascii="Arial" w:hAnsi="Arial" w:cs="Arial"/>
                <w:sz w:val="24"/>
                <w:szCs w:val="24"/>
              </w:rPr>
              <w:t>RNF</w:t>
            </w:r>
          </w:p>
        </w:tc>
        <w:tc>
          <w:tcPr>
            <w:tcW w:w="1985" w:type="dxa"/>
          </w:tcPr>
          <w:p w:rsidR="00CC257F" w:rsidRPr="00CC257F" w:rsidRDefault="00CC257F" w:rsidP="00BA5926">
            <w:pPr>
              <w:spacing w:line="360" w:lineRule="auto"/>
              <w:jc w:val="center"/>
              <w:rPr>
                <w:rFonts w:ascii="Arial" w:hAnsi="Arial" w:cs="Arial"/>
                <w:sz w:val="24"/>
                <w:szCs w:val="24"/>
              </w:rPr>
            </w:pPr>
            <w:r w:rsidRPr="00CC257F">
              <w:rPr>
                <w:rFonts w:ascii="Arial" w:hAnsi="Arial" w:cs="Arial"/>
                <w:sz w:val="24"/>
                <w:szCs w:val="24"/>
              </w:rPr>
              <w:t xml:space="preserve">20 puntos </w:t>
            </w:r>
          </w:p>
        </w:tc>
        <w:tc>
          <w:tcPr>
            <w:tcW w:w="1843" w:type="dxa"/>
          </w:tcPr>
          <w:p w:rsidR="00CC257F" w:rsidRPr="00CC257F" w:rsidRDefault="00CC257F" w:rsidP="00BA5926">
            <w:pPr>
              <w:spacing w:line="360" w:lineRule="auto"/>
              <w:jc w:val="center"/>
              <w:rPr>
                <w:rFonts w:ascii="Arial" w:hAnsi="Arial" w:cs="Arial"/>
                <w:sz w:val="24"/>
                <w:szCs w:val="24"/>
              </w:rPr>
            </w:pPr>
            <w:r w:rsidRPr="00CC257F">
              <w:rPr>
                <w:rFonts w:ascii="Arial" w:hAnsi="Arial" w:cs="Arial"/>
                <w:sz w:val="24"/>
                <w:szCs w:val="24"/>
              </w:rPr>
              <w:t xml:space="preserve">10 puntos </w:t>
            </w:r>
          </w:p>
        </w:tc>
        <w:tc>
          <w:tcPr>
            <w:tcW w:w="1635" w:type="dxa"/>
          </w:tcPr>
          <w:p w:rsidR="00CC257F" w:rsidRPr="00CC257F" w:rsidRDefault="00CC257F" w:rsidP="00BA5926">
            <w:pPr>
              <w:spacing w:line="360" w:lineRule="auto"/>
              <w:jc w:val="center"/>
              <w:rPr>
                <w:rFonts w:ascii="Arial" w:hAnsi="Arial" w:cs="Arial"/>
                <w:sz w:val="24"/>
                <w:szCs w:val="24"/>
              </w:rPr>
            </w:pPr>
            <w:r w:rsidRPr="00CC257F">
              <w:rPr>
                <w:rFonts w:ascii="Arial" w:hAnsi="Arial" w:cs="Arial"/>
                <w:sz w:val="24"/>
                <w:szCs w:val="24"/>
              </w:rPr>
              <w:t xml:space="preserve">30 puntos </w:t>
            </w:r>
          </w:p>
        </w:tc>
      </w:tr>
      <w:tr w:rsidR="00CC257F" w:rsidRPr="00CC257F" w:rsidTr="00BA5926">
        <w:trPr>
          <w:trHeight w:val="485"/>
        </w:trPr>
        <w:tc>
          <w:tcPr>
            <w:tcW w:w="1809" w:type="dxa"/>
          </w:tcPr>
          <w:p w:rsidR="00CC257F" w:rsidRPr="00CC257F" w:rsidRDefault="00CC257F" w:rsidP="00BA5926">
            <w:pPr>
              <w:spacing w:line="360" w:lineRule="auto"/>
              <w:jc w:val="center"/>
              <w:rPr>
                <w:rFonts w:ascii="Arial" w:hAnsi="Arial" w:cs="Arial"/>
                <w:sz w:val="24"/>
                <w:szCs w:val="24"/>
              </w:rPr>
            </w:pPr>
            <w:r w:rsidRPr="00CC257F">
              <w:rPr>
                <w:rFonts w:ascii="Arial" w:hAnsi="Arial" w:cs="Arial"/>
                <w:sz w:val="24"/>
                <w:szCs w:val="24"/>
              </w:rPr>
              <w:t>CND-CONAFISA</w:t>
            </w:r>
          </w:p>
        </w:tc>
        <w:tc>
          <w:tcPr>
            <w:tcW w:w="1985" w:type="dxa"/>
          </w:tcPr>
          <w:p w:rsidR="00CC257F" w:rsidRPr="00CC257F" w:rsidRDefault="00CC257F" w:rsidP="00BA5926">
            <w:pPr>
              <w:tabs>
                <w:tab w:val="left" w:pos="201"/>
              </w:tabs>
              <w:spacing w:line="360" w:lineRule="auto"/>
              <w:rPr>
                <w:rFonts w:ascii="Arial" w:hAnsi="Arial" w:cs="Arial"/>
                <w:sz w:val="24"/>
                <w:szCs w:val="24"/>
              </w:rPr>
            </w:pPr>
            <w:r w:rsidRPr="00CC257F">
              <w:rPr>
                <w:rFonts w:ascii="Arial" w:hAnsi="Arial" w:cs="Arial"/>
                <w:sz w:val="24"/>
                <w:szCs w:val="24"/>
              </w:rPr>
              <w:tab/>
              <w:t xml:space="preserve">90 puntos </w:t>
            </w:r>
          </w:p>
        </w:tc>
        <w:tc>
          <w:tcPr>
            <w:tcW w:w="1843" w:type="dxa"/>
          </w:tcPr>
          <w:p w:rsidR="00CC257F" w:rsidRPr="00CC257F" w:rsidRDefault="00CC257F" w:rsidP="00BA5926">
            <w:pPr>
              <w:spacing w:line="360" w:lineRule="auto"/>
              <w:jc w:val="center"/>
              <w:rPr>
                <w:rFonts w:ascii="Arial" w:hAnsi="Arial" w:cs="Arial"/>
                <w:sz w:val="24"/>
                <w:szCs w:val="24"/>
              </w:rPr>
            </w:pPr>
            <w:r w:rsidRPr="00CC257F">
              <w:rPr>
                <w:rFonts w:ascii="Arial" w:hAnsi="Arial" w:cs="Arial"/>
                <w:sz w:val="24"/>
                <w:szCs w:val="24"/>
              </w:rPr>
              <w:t xml:space="preserve">10 puntos </w:t>
            </w:r>
          </w:p>
        </w:tc>
        <w:tc>
          <w:tcPr>
            <w:tcW w:w="1635" w:type="dxa"/>
          </w:tcPr>
          <w:p w:rsidR="00CC257F" w:rsidRPr="00CC257F" w:rsidRDefault="00CC257F" w:rsidP="00BA5926">
            <w:pPr>
              <w:spacing w:line="360" w:lineRule="auto"/>
              <w:jc w:val="center"/>
              <w:rPr>
                <w:rFonts w:ascii="Arial" w:hAnsi="Arial" w:cs="Arial"/>
                <w:sz w:val="24"/>
                <w:szCs w:val="24"/>
              </w:rPr>
            </w:pPr>
            <w:r w:rsidRPr="00CC257F">
              <w:rPr>
                <w:rFonts w:ascii="Arial" w:hAnsi="Arial" w:cs="Arial"/>
                <w:sz w:val="24"/>
                <w:szCs w:val="24"/>
              </w:rPr>
              <w:t xml:space="preserve">100 puntos </w:t>
            </w:r>
          </w:p>
        </w:tc>
      </w:tr>
    </w:tbl>
    <w:p w:rsidR="00660F4D" w:rsidRDefault="00CC257F" w:rsidP="0009043C">
      <w:pPr>
        <w:spacing w:after="0" w:line="360" w:lineRule="auto"/>
        <w:jc w:val="both"/>
        <w:rPr>
          <w:rFonts w:ascii="Arial" w:hAnsi="Arial" w:cs="Arial"/>
          <w:b/>
          <w:sz w:val="24"/>
          <w:szCs w:val="24"/>
        </w:rPr>
      </w:pPr>
      <w:r w:rsidRPr="00CC257F">
        <w:rPr>
          <w:rFonts w:ascii="Arial" w:hAnsi="Arial" w:cs="Arial"/>
          <w:sz w:val="24"/>
          <w:szCs w:val="24"/>
        </w:rPr>
        <w:br w:type="textWrapping" w:clear="all"/>
      </w:r>
      <w:r w:rsidR="00D17150" w:rsidRPr="00CC257F">
        <w:rPr>
          <w:rFonts w:ascii="Arial" w:hAnsi="Arial" w:cs="Arial"/>
          <w:sz w:val="24"/>
          <w:szCs w:val="24"/>
        </w:rPr>
        <w:t xml:space="preserve">       </w:t>
      </w:r>
      <w:r w:rsidR="00D17150" w:rsidRPr="005910BC">
        <w:rPr>
          <w:rFonts w:ascii="Arial" w:hAnsi="Arial" w:cs="Arial"/>
          <w:b/>
          <w:sz w:val="24"/>
          <w:szCs w:val="24"/>
        </w:rPr>
        <w:t xml:space="preserve">  </w:t>
      </w:r>
      <w:r w:rsidR="008C2717" w:rsidRPr="005910BC">
        <w:rPr>
          <w:rFonts w:ascii="Arial" w:hAnsi="Arial" w:cs="Arial"/>
          <w:b/>
          <w:sz w:val="24"/>
          <w:szCs w:val="24"/>
        </w:rPr>
        <w:t xml:space="preserve"> </w:t>
      </w:r>
      <w:r w:rsidR="00D91CCE" w:rsidRPr="005910BC">
        <w:rPr>
          <w:rFonts w:ascii="Arial" w:hAnsi="Arial" w:cs="Arial"/>
          <w:b/>
          <w:sz w:val="24"/>
          <w:szCs w:val="24"/>
        </w:rPr>
        <w:t xml:space="preserve">    </w:t>
      </w:r>
      <w:r w:rsidR="00113768" w:rsidRPr="005910BC">
        <w:rPr>
          <w:rFonts w:ascii="Arial" w:hAnsi="Arial" w:cs="Arial"/>
          <w:b/>
          <w:sz w:val="24"/>
          <w:szCs w:val="24"/>
        </w:rPr>
        <w:t xml:space="preserve">     </w:t>
      </w:r>
      <w:r w:rsidR="00FE3D9E" w:rsidRPr="005910BC">
        <w:rPr>
          <w:rFonts w:ascii="Arial" w:hAnsi="Arial" w:cs="Arial"/>
          <w:b/>
          <w:sz w:val="24"/>
          <w:szCs w:val="24"/>
        </w:rPr>
        <w:t xml:space="preserve">            </w:t>
      </w:r>
      <w:r w:rsidR="00993CF7" w:rsidRPr="005910BC">
        <w:rPr>
          <w:rFonts w:ascii="Arial" w:hAnsi="Arial" w:cs="Arial"/>
          <w:b/>
          <w:sz w:val="24"/>
          <w:szCs w:val="24"/>
        </w:rPr>
        <w:t xml:space="preserve">      </w:t>
      </w:r>
      <w:r w:rsidR="002D0898" w:rsidRPr="005910BC">
        <w:rPr>
          <w:rFonts w:ascii="Arial" w:hAnsi="Arial" w:cs="Arial"/>
          <w:b/>
          <w:sz w:val="24"/>
          <w:szCs w:val="24"/>
          <w:u w:val="single"/>
        </w:rPr>
        <w:t xml:space="preserve"> </w:t>
      </w:r>
      <w:r w:rsidR="002D0898" w:rsidRPr="005910BC">
        <w:rPr>
          <w:rFonts w:ascii="Arial" w:hAnsi="Arial" w:cs="Arial"/>
          <w:b/>
          <w:sz w:val="24"/>
          <w:szCs w:val="24"/>
        </w:rPr>
        <w:t xml:space="preserve">  </w:t>
      </w:r>
    </w:p>
    <w:p w:rsidR="00CC257F" w:rsidRDefault="00770501" w:rsidP="00BA5926">
      <w:pPr>
        <w:spacing w:after="0" w:line="360" w:lineRule="auto"/>
        <w:ind w:firstLine="2835"/>
        <w:jc w:val="both"/>
        <w:rPr>
          <w:rFonts w:ascii="Arial" w:hAnsi="Arial" w:cs="Arial"/>
          <w:sz w:val="24"/>
          <w:szCs w:val="24"/>
        </w:rPr>
      </w:pPr>
      <w:r w:rsidRPr="00770501">
        <w:rPr>
          <w:rFonts w:ascii="Arial" w:hAnsi="Arial" w:cs="Arial"/>
          <w:b/>
          <w:sz w:val="24"/>
          <w:szCs w:val="24"/>
        </w:rPr>
        <w:t>9)</w:t>
      </w:r>
      <w:r>
        <w:rPr>
          <w:rFonts w:ascii="Arial" w:hAnsi="Arial" w:cs="Arial"/>
          <w:sz w:val="24"/>
          <w:szCs w:val="24"/>
        </w:rPr>
        <w:t xml:space="preserve"> que d</w:t>
      </w:r>
      <w:r w:rsidR="00BA5926">
        <w:rPr>
          <w:rFonts w:ascii="Arial" w:hAnsi="Arial" w:cs="Arial"/>
          <w:sz w:val="24"/>
          <w:szCs w:val="24"/>
        </w:rPr>
        <w:t>e acuerdo con el</w:t>
      </w:r>
      <w:r w:rsidR="00CC257F" w:rsidRPr="00CC257F">
        <w:rPr>
          <w:rFonts w:ascii="Arial" w:hAnsi="Arial" w:cs="Arial"/>
          <w:sz w:val="24"/>
          <w:szCs w:val="24"/>
        </w:rPr>
        <w:t xml:space="preserve"> puntaje obtenido, </w:t>
      </w:r>
      <w:r>
        <w:rPr>
          <w:rFonts w:ascii="Arial" w:hAnsi="Arial" w:cs="Arial"/>
          <w:sz w:val="24"/>
          <w:szCs w:val="24"/>
        </w:rPr>
        <w:t>la Comisión Asesora Ampliada de Adjudicaciones del BPS</w:t>
      </w:r>
      <w:r w:rsidR="00CC257F" w:rsidRPr="00CC257F">
        <w:rPr>
          <w:rFonts w:ascii="Arial" w:hAnsi="Arial" w:cs="Arial"/>
          <w:sz w:val="24"/>
          <w:szCs w:val="24"/>
        </w:rPr>
        <w:t xml:space="preserve"> recomienda adjudicar el llamado a la Empresa Corporación </w:t>
      </w:r>
      <w:r w:rsidR="000836F7">
        <w:rPr>
          <w:rFonts w:ascii="Arial" w:hAnsi="Arial" w:cs="Arial"/>
          <w:sz w:val="24"/>
          <w:szCs w:val="24"/>
        </w:rPr>
        <w:t>N</w:t>
      </w:r>
      <w:r w:rsidR="00CC257F" w:rsidRPr="00CC257F">
        <w:rPr>
          <w:rFonts w:ascii="Arial" w:hAnsi="Arial" w:cs="Arial"/>
          <w:sz w:val="24"/>
          <w:szCs w:val="24"/>
        </w:rPr>
        <w:t xml:space="preserve">acional </w:t>
      </w:r>
      <w:r w:rsidR="00BA5926">
        <w:rPr>
          <w:rFonts w:ascii="Arial" w:hAnsi="Arial" w:cs="Arial"/>
          <w:sz w:val="24"/>
          <w:szCs w:val="24"/>
        </w:rPr>
        <w:t>para el Desarrollo, de acuerdo con</w:t>
      </w:r>
      <w:r w:rsidR="00CC257F" w:rsidRPr="00CC257F">
        <w:rPr>
          <w:rFonts w:ascii="Arial" w:hAnsi="Arial" w:cs="Arial"/>
          <w:sz w:val="24"/>
          <w:szCs w:val="24"/>
        </w:rPr>
        <w:t xml:space="preserve"> lo siguiente</w:t>
      </w:r>
      <w:r>
        <w:rPr>
          <w:rFonts w:ascii="Arial" w:hAnsi="Arial" w:cs="Arial"/>
          <w:sz w:val="24"/>
          <w:szCs w:val="24"/>
        </w:rPr>
        <w:t xml:space="preserve"> detalle</w:t>
      </w:r>
      <w:r w:rsidR="00CC257F" w:rsidRPr="00CC257F">
        <w:rPr>
          <w:rFonts w:ascii="Arial" w:hAnsi="Arial" w:cs="Arial"/>
          <w:sz w:val="24"/>
          <w:szCs w:val="24"/>
        </w:rPr>
        <w:t xml:space="preserve">:  </w:t>
      </w:r>
    </w:p>
    <w:p w:rsidR="00CC257F" w:rsidRDefault="00770501" w:rsidP="0009043C">
      <w:pPr>
        <w:spacing w:after="0" w:line="360" w:lineRule="auto"/>
        <w:jc w:val="both"/>
        <w:rPr>
          <w:rFonts w:ascii="Arial" w:hAnsi="Arial" w:cs="Arial"/>
          <w:sz w:val="24"/>
          <w:szCs w:val="24"/>
        </w:rPr>
      </w:pPr>
      <w:r w:rsidRPr="00BA5926">
        <w:rPr>
          <w:rFonts w:ascii="Arial" w:hAnsi="Arial" w:cs="Arial"/>
          <w:b/>
          <w:sz w:val="24"/>
          <w:szCs w:val="24"/>
        </w:rPr>
        <w:t>a)</w:t>
      </w:r>
      <w:r>
        <w:rPr>
          <w:rFonts w:ascii="Arial" w:hAnsi="Arial" w:cs="Arial"/>
          <w:sz w:val="24"/>
          <w:szCs w:val="24"/>
        </w:rPr>
        <w:t xml:space="preserve"> </w:t>
      </w:r>
      <w:r w:rsidR="00BA5926">
        <w:rPr>
          <w:rFonts w:ascii="Arial" w:hAnsi="Arial" w:cs="Arial"/>
          <w:sz w:val="24"/>
          <w:szCs w:val="24"/>
        </w:rPr>
        <w:t>Honorarios variables: 0,30</w:t>
      </w:r>
      <w:r w:rsidR="00CC257F">
        <w:rPr>
          <w:rFonts w:ascii="Arial" w:hAnsi="Arial" w:cs="Arial"/>
          <w:sz w:val="24"/>
          <w:szCs w:val="24"/>
        </w:rPr>
        <w:t xml:space="preserve">% anual de la rentabilidad en pesos uruguayos. </w:t>
      </w:r>
    </w:p>
    <w:p w:rsidR="00CC257F" w:rsidRDefault="00770501" w:rsidP="0009043C">
      <w:pPr>
        <w:spacing w:after="0" w:line="360" w:lineRule="auto"/>
        <w:jc w:val="both"/>
        <w:rPr>
          <w:rFonts w:ascii="Arial" w:hAnsi="Arial" w:cs="Arial"/>
          <w:sz w:val="24"/>
          <w:szCs w:val="24"/>
        </w:rPr>
      </w:pPr>
      <w:r w:rsidRPr="00BA5926">
        <w:rPr>
          <w:rFonts w:ascii="Arial" w:hAnsi="Arial" w:cs="Arial"/>
          <w:b/>
          <w:sz w:val="24"/>
          <w:szCs w:val="24"/>
        </w:rPr>
        <w:t>b)</w:t>
      </w:r>
      <w:r>
        <w:rPr>
          <w:rFonts w:ascii="Arial" w:hAnsi="Arial" w:cs="Arial"/>
          <w:sz w:val="24"/>
          <w:szCs w:val="24"/>
        </w:rPr>
        <w:t xml:space="preserve"> </w:t>
      </w:r>
      <w:r w:rsidR="00CC257F">
        <w:rPr>
          <w:rFonts w:ascii="Arial" w:hAnsi="Arial" w:cs="Arial"/>
          <w:sz w:val="24"/>
          <w:szCs w:val="24"/>
        </w:rPr>
        <w:t xml:space="preserve">Mínima comisión: 220.000 Unidades indexadas mensuales, equivalentes a 2:640.000 Unidades Indexadas anuales. </w:t>
      </w:r>
    </w:p>
    <w:p w:rsidR="009F1C90" w:rsidRDefault="00770501" w:rsidP="0009043C">
      <w:pPr>
        <w:spacing w:after="0" w:line="360" w:lineRule="auto"/>
        <w:jc w:val="both"/>
        <w:rPr>
          <w:rFonts w:ascii="Arial" w:hAnsi="Arial" w:cs="Arial"/>
          <w:sz w:val="24"/>
          <w:szCs w:val="24"/>
        </w:rPr>
      </w:pPr>
      <w:r w:rsidRPr="00BA5926">
        <w:rPr>
          <w:rFonts w:ascii="Arial" w:hAnsi="Arial" w:cs="Arial"/>
          <w:b/>
          <w:sz w:val="24"/>
          <w:szCs w:val="24"/>
        </w:rPr>
        <w:t>c)</w:t>
      </w:r>
      <w:r>
        <w:rPr>
          <w:rFonts w:ascii="Arial" w:hAnsi="Arial" w:cs="Arial"/>
          <w:sz w:val="24"/>
          <w:szCs w:val="24"/>
        </w:rPr>
        <w:t xml:space="preserve"> </w:t>
      </w:r>
      <w:r w:rsidR="00CC257F">
        <w:rPr>
          <w:rFonts w:ascii="Arial" w:hAnsi="Arial" w:cs="Arial"/>
          <w:sz w:val="24"/>
          <w:szCs w:val="24"/>
        </w:rPr>
        <w:t>Máxima comisión: 1:800.000 unidades Indexadas</w:t>
      </w:r>
      <w:r w:rsidR="009F1C90">
        <w:rPr>
          <w:rFonts w:ascii="Arial" w:hAnsi="Arial" w:cs="Arial"/>
          <w:sz w:val="24"/>
          <w:szCs w:val="24"/>
        </w:rPr>
        <w:t xml:space="preserve"> semestral, equivalentes a 3:600.000 Unidades Indexadas anuales. </w:t>
      </w:r>
    </w:p>
    <w:p w:rsidR="00BA5926" w:rsidRDefault="00770501" w:rsidP="0009043C">
      <w:pPr>
        <w:spacing w:after="0" w:line="360" w:lineRule="auto"/>
        <w:jc w:val="both"/>
        <w:rPr>
          <w:rFonts w:ascii="Arial" w:hAnsi="Arial" w:cs="Arial"/>
          <w:sz w:val="24"/>
          <w:szCs w:val="24"/>
        </w:rPr>
      </w:pPr>
      <w:r w:rsidRPr="00BA5926">
        <w:rPr>
          <w:rFonts w:ascii="Arial" w:hAnsi="Arial" w:cs="Arial"/>
          <w:b/>
          <w:sz w:val="24"/>
          <w:szCs w:val="24"/>
        </w:rPr>
        <w:t>d)</w:t>
      </w:r>
      <w:r>
        <w:rPr>
          <w:rFonts w:ascii="Arial" w:hAnsi="Arial" w:cs="Arial"/>
          <w:sz w:val="24"/>
          <w:szCs w:val="24"/>
        </w:rPr>
        <w:t xml:space="preserve"> </w:t>
      </w:r>
      <w:r w:rsidR="009F1C90">
        <w:rPr>
          <w:rFonts w:ascii="Arial" w:hAnsi="Arial" w:cs="Arial"/>
          <w:sz w:val="24"/>
          <w:szCs w:val="24"/>
        </w:rPr>
        <w:t>Otros gastos: Hasta 15.000 unidades indexadas mensuales, equivalentes a 180.000 unidades indexadas anuales y Custodia de títulos valores en cartera, costo actualmente establecido por el Comunicado 2013</w:t>
      </w:r>
      <w:r w:rsidR="00BA5926">
        <w:rPr>
          <w:rFonts w:ascii="Arial" w:hAnsi="Arial" w:cs="Arial"/>
          <w:sz w:val="24"/>
          <w:szCs w:val="24"/>
        </w:rPr>
        <w:t>/081 de fecha 5/6/13 del Banco C</w:t>
      </w:r>
      <w:r w:rsidR="009F1C90">
        <w:rPr>
          <w:rFonts w:ascii="Arial" w:hAnsi="Arial" w:cs="Arial"/>
          <w:sz w:val="24"/>
          <w:szCs w:val="24"/>
        </w:rPr>
        <w:t>entral del Urugua</w:t>
      </w:r>
      <w:r w:rsidR="00BA5926">
        <w:rPr>
          <w:rFonts w:ascii="Arial" w:hAnsi="Arial" w:cs="Arial"/>
          <w:sz w:val="24"/>
          <w:szCs w:val="24"/>
        </w:rPr>
        <w:t>y que se modificará de acuerdo con</w:t>
      </w:r>
      <w:r w:rsidR="009F1C90">
        <w:rPr>
          <w:rFonts w:ascii="Arial" w:hAnsi="Arial" w:cs="Arial"/>
          <w:sz w:val="24"/>
          <w:szCs w:val="24"/>
        </w:rPr>
        <w:t xml:space="preserve"> las decisiones que determine el citado Banco;</w:t>
      </w:r>
    </w:p>
    <w:p w:rsidR="00E11B67" w:rsidRDefault="009F1C90" w:rsidP="00BA5926">
      <w:pPr>
        <w:spacing w:after="0" w:line="360" w:lineRule="auto"/>
        <w:ind w:firstLine="2835"/>
        <w:jc w:val="both"/>
        <w:rPr>
          <w:rFonts w:ascii="Arial" w:hAnsi="Arial" w:cs="Arial"/>
          <w:sz w:val="24"/>
          <w:szCs w:val="24"/>
        </w:rPr>
      </w:pPr>
      <w:r w:rsidRPr="009F1C90">
        <w:rPr>
          <w:rFonts w:ascii="Arial" w:hAnsi="Arial" w:cs="Arial"/>
          <w:b/>
          <w:sz w:val="24"/>
          <w:szCs w:val="24"/>
        </w:rPr>
        <w:t xml:space="preserve">10) </w:t>
      </w:r>
      <w:r w:rsidR="003541AB">
        <w:rPr>
          <w:rFonts w:ascii="Arial" w:hAnsi="Arial" w:cs="Arial"/>
          <w:sz w:val="24"/>
          <w:szCs w:val="24"/>
        </w:rPr>
        <w:t>que el Directorio del BPS con</w:t>
      </w:r>
      <w:r w:rsidR="00BA5926">
        <w:rPr>
          <w:rFonts w:ascii="Arial" w:hAnsi="Arial" w:cs="Arial"/>
          <w:sz w:val="24"/>
          <w:szCs w:val="24"/>
        </w:rPr>
        <w:t xml:space="preserve"> fecha 17/7/18, adoptó la RD N°</w:t>
      </w:r>
      <w:r w:rsidR="003541AB">
        <w:rPr>
          <w:rFonts w:ascii="Arial" w:hAnsi="Arial" w:cs="Arial"/>
          <w:sz w:val="24"/>
          <w:szCs w:val="24"/>
        </w:rPr>
        <w:t xml:space="preserve"> 24-9/2018, por la que adjudica la contratación en calidad de Fiduciario a la </w:t>
      </w:r>
      <w:r w:rsidR="00287A49">
        <w:rPr>
          <w:rFonts w:ascii="Arial" w:hAnsi="Arial" w:cs="Arial"/>
          <w:sz w:val="24"/>
          <w:szCs w:val="24"/>
        </w:rPr>
        <w:t>“</w:t>
      </w:r>
      <w:r w:rsidR="003541AB">
        <w:rPr>
          <w:rFonts w:ascii="Arial" w:hAnsi="Arial" w:cs="Arial"/>
          <w:sz w:val="24"/>
          <w:szCs w:val="24"/>
        </w:rPr>
        <w:t>Corporación Nacional para el Desarrollo</w:t>
      </w:r>
      <w:r w:rsidR="00287A49">
        <w:rPr>
          <w:rFonts w:ascii="Arial" w:hAnsi="Arial" w:cs="Arial"/>
          <w:sz w:val="24"/>
          <w:szCs w:val="24"/>
        </w:rPr>
        <w:t>”</w:t>
      </w:r>
      <w:r w:rsidR="00770501">
        <w:rPr>
          <w:rFonts w:ascii="Arial" w:hAnsi="Arial" w:cs="Arial"/>
          <w:sz w:val="24"/>
          <w:szCs w:val="24"/>
        </w:rPr>
        <w:t>,</w:t>
      </w:r>
      <w:r w:rsidR="003541AB">
        <w:rPr>
          <w:rFonts w:ascii="Arial" w:hAnsi="Arial" w:cs="Arial"/>
          <w:sz w:val="24"/>
          <w:szCs w:val="24"/>
        </w:rPr>
        <w:t xml:space="preserve"> </w:t>
      </w:r>
      <w:r w:rsidR="00770501">
        <w:rPr>
          <w:rFonts w:ascii="Arial" w:hAnsi="Arial" w:cs="Arial"/>
          <w:sz w:val="24"/>
          <w:szCs w:val="24"/>
        </w:rPr>
        <w:t>conforme la recomendación de la Comisión Asesora Ampliada de Adjudicaciones,</w:t>
      </w:r>
      <w:r w:rsidR="003541AB">
        <w:rPr>
          <w:rFonts w:ascii="Arial" w:hAnsi="Arial" w:cs="Arial"/>
          <w:sz w:val="24"/>
          <w:szCs w:val="24"/>
        </w:rPr>
        <w:t xml:space="preserve"> aceptando la subcontratación por parte del fiduciario seleccionado de la Empresa CONAFINAFISA, por el plazo contractual de 26 años. El monto total adjudicado es de un máximo de hasta 3:780.000 Unidades Indexadas;   </w:t>
      </w:r>
    </w:p>
    <w:p w:rsidR="00BA5926" w:rsidRDefault="00E11B67" w:rsidP="00BA5926">
      <w:pPr>
        <w:spacing w:after="0" w:line="360" w:lineRule="auto"/>
        <w:ind w:firstLine="851"/>
        <w:jc w:val="both"/>
        <w:rPr>
          <w:rFonts w:ascii="Arial" w:hAnsi="Arial" w:cs="Arial"/>
          <w:sz w:val="24"/>
          <w:szCs w:val="24"/>
        </w:rPr>
      </w:pPr>
      <w:r w:rsidRPr="00E11B67">
        <w:rPr>
          <w:rFonts w:ascii="Arial" w:hAnsi="Arial" w:cs="Arial"/>
          <w:b/>
          <w:sz w:val="24"/>
          <w:szCs w:val="24"/>
        </w:rPr>
        <w:lastRenderedPageBreak/>
        <w:t>CONSIDERANDO: 1)</w:t>
      </w:r>
      <w:r w:rsidR="00BA5926">
        <w:rPr>
          <w:rFonts w:ascii="Arial" w:hAnsi="Arial" w:cs="Arial"/>
          <w:sz w:val="24"/>
          <w:szCs w:val="24"/>
        </w:rPr>
        <w:t xml:space="preserve"> que el Artículo 9 de la Ley N°</w:t>
      </w:r>
      <w:r>
        <w:rPr>
          <w:rFonts w:ascii="Arial" w:hAnsi="Arial" w:cs="Arial"/>
          <w:sz w:val="24"/>
          <w:szCs w:val="24"/>
        </w:rPr>
        <w:t xml:space="preserve"> 15.590, establece:</w:t>
      </w:r>
      <w:r w:rsidR="00770501">
        <w:rPr>
          <w:rFonts w:ascii="Arial" w:hAnsi="Arial" w:cs="Arial"/>
          <w:sz w:val="24"/>
          <w:szCs w:val="24"/>
        </w:rPr>
        <w:t xml:space="preserve"> </w:t>
      </w:r>
      <w:r w:rsidR="00770501" w:rsidRPr="00770501">
        <w:rPr>
          <w:rFonts w:ascii="Arial" w:hAnsi="Arial" w:cs="Arial"/>
          <w:i/>
          <w:sz w:val="24"/>
          <w:szCs w:val="24"/>
        </w:rPr>
        <w:t>“</w:t>
      </w:r>
      <w:r w:rsidRPr="00770501">
        <w:rPr>
          <w:rFonts w:ascii="Arial" w:hAnsi="Arial" w:cs="Arial"/>
          <w:i/>
          <w:sz w:val="24"/>
          <w:szCs w:val="24"/>
        </w:rPr>
        <w:t>(Fideicomiso)</w:t>
      </w:r>
      <w:r w:rsidR="00770501" w:rsidRPr="00770501">
        <w:rPr>
          <w:rFonts w:ascii="Arial" w:hAnsi="Arial" w:cs="Arial"/>
          <w:i/>
          <w:sz w:val="24"/>
          <w:szCs w:val="24"/>
        </w:rPr>
        <w:t>:</w:t>
      </w:r>
      <w:r w:rsidRPr="00770501">
        <w:rPr>
          <w:rFonts w:ascii="Arial" w:hAnsi="Arial" w:cs="Arial"/>
          <w:i/>
          <w:sz w:val="24"/>
          <w:szCs w:val="24"/>
        </w:rPr>
        <w:t xml:space="preserve"> Encomiéndase al Banco de Previsión Social en carácter de fideicomitente, a celebrar un contrato de fideicomiso de administración (“Fideicomiso de la Seguridad Social”). El fiduciario será seleccionado de acuerdo con lo previsto por el Numeral 1) del Literal C) del artículo 33 del TOCAF. El mismo se constituirá con la totalidad de los fondos acumulados correspondientes a las personas que  opten por desafiliarse del régimen de jubilación por ahorro obligatorio, conforme a lo previsto en el artículo 1º. El beneficiario de dicho fondo será el BPS</w:t>
      </w:r>
      <w:r w:rsidR="00770501">
        <w:rPr>
          <w:rFonts w:ascii="Arial" w:hAnsi="Arial" w:cs="Arial"/>
          <w:sz w:val="24"/>
          <w:szCs w:val="24"/>
        </w:rPr>
        <w:t>”</w:t>
      </w:r>
      <w:r>
        <w:rPr>
          <w:rFonts w:ascii="Arial" w:hAnsi="Arial" w:cs="Arial"/>
          <w:sz w:val="24"/>
          <w:szCs w:val="24"/>
        </w:rPr>
        <w:t>;</w:t>
      </w:r>
    </w:p>
    <w:p w:rsidR="00BA5926" w:rsidRDefault="00710D9B" w:rsidP="00BA5926">
      <w:pPr>
        <w:spacing w:after="0" w:line="360" w:lineRule="auto"/>
        <w:ind w:firstLine="3119"/>
        <w:jc w:val="both"/>
        <w:rPr>
          <w:rFonts w:ascii="Arial" w:hAnsi="Arial" w:cs="Arial"/>
          <w:sz w:val="24"/>
          <w:szCs w:val="24"/>
        </w:rPr>
      </w:pPr>
      <w:r w:rsidRPr="00710D9B">
        <w:rPr>
          <w:rFonts w:ascii="Arial" w:hAnsi="Arial" w:cs="Arial"/>
          <w:b/>
          <w:sz w:val="24"/>
          <w:szCs w:val="24"/>
        </w:rPr>
        <w:t xml:space="preserve">2) </w:t>
      </w:r>
      <w:r w:rsidRPr="00710D9B">
        <w:rPr>
          <w:rFonts w:ascii="Arial" w:hAnsi="Arial" w:cs="Arial"/>
          <w:sz w:val="24"/>
          <w:szCs w:val="24"/>
        </w:rPr>
        <w:t>que CONAFIN AFISA es una persona jurídica de derecho privado, constituida como sociedad anónima cerrada, con acciones nominativas, en su totalidad propiedad de la Corporación Nacional para el Desarrollo, cuya actividad principal es la administración de fondos de inversión y la actuación como fiduciario en fideicomisos financieros;</w:t>
      </w:r>
    </w:p>
    <w:p w:rsidR="00E11B67" w:rsidRPr="00BA5986" w:rsidRDefault="00710D9B" w:rsidP="00BA5926">
      <w:pPr>
        <w:spacing w:after="0" w:line="360" w:lineRule="auto"/>
        <w:ind w:firstLine="3119"/>
        <w:jc w:val="both"/>
        <w:rPr>
          <w:rFonts w:ascii="Arial" w:hAnsi="Arial" w:cs="Arial"/>
          <w:sz w:val="24"/>
          <w:szCs w:val="24"/>
        </w:rPr>
      </w:pPr>
      <w:r>
        <w:rPr>
          <w:rFonts w:ascii="Arial" w:hAnsi="Arial" w:cs="Arial"/>
          <w:b/>
          <w:bCs/>
          <w:sz w:val="24"/>
          <w:szCs w:val="24"/>
        </w:rPr>
        <w:t>3</w:t>
      </w:r>
      <w:r w:rsidRPr="00710D9B">
        <w:rPr>
          <w:rFonts w:ascii="Arial" w:hAnsi="Arial" w:cs="Arial"/>
          <w:b/>
          <w:bCs/>
          <w:sz w:val="24"/>
          <w:szCs w:val="24"/>
        </w:rPr>
        <w:t>)</w:t>
      </w:r>
      <w:r w:rsidRPr="00710D9B">
        <w:rPr>
          <w:rFonts w:ascii="Arial" w:hAnsi="Arial" w:cs="Arial"/>
          <w:sz w:val="24"/>
          <w:szCs w:val="24"/>
        </w:rPr>
        <w:t xml:space="preserve"> que la contratación directa </w:t>
      </w:r>
      <w:r>
        <w:rPr>
          <w:rFonts w:ascii="Arial" w:hAnsi="Arial" w:cs="Arial"/>
          <w:sz w:val="24"/>
          <w:szCs w:val="24"/>
        </w:rPr>
        <w:t>de la Corporación Nacional para el Desarrollo, y la subcontratación de CONAFINAFISA</w:t>
      </w:r>
      <w:r w:rsidR="00770501">
        <w:rPr>
          <w:rFonts w:ascii="Arial" w:hAnsi="Arial" w:cs="Arial"/>
          <w:sz w:val="24"/>
          <w:szCs w:val="24"/>
        </w:rPr>
        <w:t xml:space="preserve"> por la última</w:t>
      </w:r>
      <w:r>
        <w:rPr>
          <w:rFonts w:ascii="Arial" w:hAnsi="Arial" w:cs="Arial"/>
          <w:sz w:val="24"/>
          <w:szCs w:val="24"/>
        </w:rPr>
        <w:t xml:space="preserve">, </w:t>
      </w:r>
      <w:r w:rsidRPr="00710D9B">
        <w:rPr>
          <w:rFonts w:ascii="Arial" w:hAnsi="Arial" w:cs="Arial"/>
          <w:sz w:val="24"/>
          <w:szCs w:val="24"/>
        </w:rPr>
        <w:t>se encuentra</w:t>
      </w:r>
      <w:r w:rsidR="00770501">
        <w:rPr>
          <w:rFonts w:ascii="Arial" w:hAnsi="Arial" w:cs="Arial"/>
          <w:sz w:val="24"/>
          <w:szCs w:val="24"/>
        </w:rPr>
        <w:t>n</w:t>
      </w:r>
      <w:r w:rsidRPr="00710D9B">
        <w:rPr>
          <w:rFonts w:ascii="Arial" w:hAnsi="Arial" w:cs="Arial"/>
          <w:sz w:val="24"/>
          <w:szCs w:val="24"/>
        </w:rPr>
        <w:t xml:space="preserve"> amparada en lo previsto </w:t>
      </w:r>
      <w:r>
        <w:rPr>
          <w:rFonts w:ascii="Arial" w:hAnsi="Arial" w:cs="Arial"/>
          <w:sz w:val="24"/>
          <w:szCs w:val="24"/>
        </w:rPr>
        <w:t>por</w:t>
      </w:r>
      <w:r w:rsidR="00BA5926">
        <w:rPr>
          <w:rFonts w:ascii="Arial" w:hAnsi="Arial" w:cs="Arial"/>
          <w:sz w:val="24"/>
          <w:szCs w:val="24"/>
        </w:rPr>
        <w:t xml:space="preserve"> el Literal C</w:t>
      </w:r>
      <w:r w:rsidRPr="00710D9B">
        <w:rPr>
          <w:rFonts w:ascii="Arial" w:hAnsi="Arial" w:cs="Arial"/>
          <w:sz w:val="24"/>
          <w:szCs w:val="24"/>
        </w:rPr>
        <w:t>) Numeral 1</w:t>
      </w:r>
      <w:r w:rsidR="00770501">
        <w:rPr>
          <w:rFonts w:ascii="Arial" w:hAnsi="Arial" w:cs="Arial"/>
          <w:sz w:val="24"/>
          <w:szCs w:val="24"/>
        </w:rPr>
        <w:t>º</w:t>
      </w:r>
      <w:r w:rsidR="00BA5926">
        <w:rPr>
          <w:rFonts w:ascii="Arial" w:hAnsi="Arial" w:cs="Arial"/>
          <w:sz w:val="24"/>
          <w:szCs w:val="24"/>
        </w:rPr>
        <w:t xml:space="preserve"> del A</w:t>
      </w:r>
      <w:r w:rsidRPr="00710D9B">
        <w:rPr>
          <w:rFonts w:ascii="Arial" w:hAnsi="Arial" w:cs="Arial"/>
          <w:sz w:val="24"/>
          <w:szCs w:val="24"/>
        </w:rPr>
        <w:t>rtículo 33 del TOCAF</w:t>
      </w:r>
      <w:r w:rsidR="00770501">
        <w:rPr>
          <w:rFonts w:ascii="Arial" w:hAnsi="Arial" w:cs="Arial"/>
          <w:sz w:val="24"/>
          <w:szCs w:val="24"/>
        </w:rPr>
        <w:t>, por lo que el procedimiento no merece objeciones legales</w:t>
      </w:r>
      <w:r w:rsidRPr="00710D9B">
        <w:rPr>
          <w:rFonts w:ascii="Arial" w:hAnsi="Arial" w:cs="Arial"/>
          <w:sz w:val="24"/>
          <w:szCs w:val="24"/>
        </w:rPr>
        <w:t>;</w:t>
      </w:r>
    </w:p>
    <w:p w:rsidR="00BA5986" w:rsidRPr="00BA5986" w:rsidRDefault="00BA5986" w:rsidP="00BA5926">
      <w:pPr>
        <w:spacing w:after="0" w:line="360" w:lineRule="auto"/>
        <w:ind w:firstLine="851"/>
        <w:jc w:val="both"/>
        <w:rPr>
          <w:rFonts w:ascii="Arial" w:hAnsi="Arial" w:cs="Arial"/>
          <w:bCs/>
          <w:sz w:val="24"/>
          <w:szCs w:val="24"/>
          <w:lang w:val="es-MX"/>
        </w:rPr>
      </w:pPr>
      <w:r w:rsidRPr="00BA5986">
        <w:rPr>
          <w:rFonts w:ascii="Arial" w:hAnsi="Arial" w:cs="Arial"/>
          <w:b/>
          <w:sz w:val="24"/>
          <w:szCs w:val="24"/>
        </w:rPr>
        <w:t>A</w:t>
      </w:r>
      <w:r w:rsidRPr="00BA5986">
        <w:rPr>
          <w:rFonts w:ascii="Arial" w:hAnsi="Arial" w:cs="Arial"/>
          <w:b/>
          <w:bCs/>
          <w:sz w:val="24"/>
          <w:szCs w:val="24"/>
        </w:rPr>
        <w:t>TENTO:</w:t>
      </w:r>
      <w:r w:rsidR="00BA5926">
        <w:rPr>
          <w:rFonts w:ascii="Arial" w:hAnsi="Arial" w:cs="Arial"/>
          <w:sz w:val="24"/>
          <w:szCs w:val="24"/>
        </w:rPr>
        <w:t xml:space="preserve"> a lo dispuesto por el A</w:t>
      </w:r>
      <w:r w:rsidRPr="00BA5986">
        <w:rPr>
          <w:rFonts w:ascii="Arial" w:hAnsi="Arial" w:cs="Arial"/>
          <w:sz w:val="24"/>
          <w:szCs w:val="24"/>
        </w:rPr>
        <w:t>rt</w:t>
      </w:r>
      <w:r w:rsidR="00BA5926">
        <w:rPr>
          <w:rFonts w:ascii="Arial" w:hAnsi="Arial" w:cs="Arial"/>
          <w:sz w:val="24"/>
          <w:szCs w:val="24"/>
        </w:rPr>
        <w:t>ículo</w:t>
      </w:r>
      <w:r w:rsidRPr="00BA5986">
        <w:rPr>
          <w:rFonts w:ascii="Arial" w:hAnsi="Arial" w:cs="Arial"/>
          <w:sz w:val="24"/>
          <w:szCs w:val="24"/>
        </w:rPr>
        <w:t xml:space="preserve"> 211 </w:t>
      </w:r>
      <w:r w:rsidR="00BA5926">
        <w:rPr>
          <w:rFonts w:ascii="Arial" w:hAnsi="Arial" w:cs="Arial"/>
          <w:sz w:val="24"/>
          <w:szCs w:val="24"/>
        </w:rPr>
        <w:t>L</w:t>
      </w:r>
      <w:r w:rsidRPr="00BA5986">
        <w:rPr>
          <w:rFonts w:ascii="Arial" w:hAnsi="Arial" w:cs="Arial"/>
          <w:sz w:val="24"/>
          <w:szCs w:val="24"/>
        </w:rPr>
        <w:t>iteral B) de la Constitución de la República;</w:t>
      </w:r>
    </w:p>
    <w:p w:rsidR="00BA5986" w:rsidRPr="00BA5986" w:rsidRDefault="00BA5986" w:rsidP="0009043C">
      <w:pPr>
        <w:spacing w:after="0" w:line="360" w:lineRule="auto"/>
        <w:jc w:val="center"/>
        <w:rPr>
          <w:rFonts w:ascii="Arial" w:hAnsi="Arial" w:cs="Arial"/>
          <w:b/>
          <w:sz w:val="24"/>
          <w:szCs w:val="24"/>
        </w:rPr>
      </w:pPr>
      <w:r w:rsidRPr="00BA5986">
        <w:rPr>
          <w:rFonts w:ascii="Arial" w:hAnsi="Arial" w:cs="Arial"/>
          <w:b/>
          <w:sz w:val="24"/>
          <w:szCs w:val="24"/>
        </w:rPr>
        <w:t>EL TRIBUNAL ACUERDA</w:t>
      </w:r>
    </w:p>
    <w:p w:rsidR="00770501" w:rsidRPr="0082729C" w:rsidRDefault="00BA5986" w:rsidP="00BA5926">
      <w:pPr>
        <w:numPr>
          <w:ilvl w:val="0"/>
          <w:numId w:val="1"/>
        </w:numPr>
        <w:tabs>
          <w:tab w:val="clear" w:pos="720"/>
          <w:tab w:val="left" w:pos="284"/>
        </w:tabs>
        <w:spacing w:after="0" w:line="360" w:lineRule="auto"/>
        <w:ind w:left="284" w:hanging="284"/>
        <w:jc w:val="both"/>
        <w:rPr>
          <w:lang w:val="es-MX"/>
        </w:rPr>
      </w:pPr>
      <w:r w:rsidRPr="00770501">
        <w:rPr>
          <w:rFonts w:ascii="Arial" w:hAnsi="Arial" w:cs="Arial"/>
          <w:sz w:val="24"/>
          <w:szCs w:val="24"/>
          <w:lang w:val="es-MX"/>
        </w:rPr>
        <w:t xml:space="preserve">No formular observaciones al contrato </w:t>
      </w:r>
      <w:r w:rsidRPr="00770501">
        <w:rPr>
          <w:rFonts w:ascii="Arial" w:hAnsi="Arial" w:cs="Arial"/>
          <w:sz w:val="24"/>
          <w:szCs w:val="24"/>
        </w:rPr>
        <w:t>“Fideicomiso de la Seguridad Social” a susc</w:t>
      </w:r>
      <w:r w:rsidRPr="00770501">
        <w:rPr>
          <w:rFonts w:ascii="Arial" w:hAnsi="Arial" w:cs="Arial"/>
          <w:sz w:val="24"/>
          <w:szCs w:val="24"/>
          <w:lang w:val="es-MX"/>
        </w:rPr>
        <w:t>ribirse entre el Banco de Previsión Social y la Corporación Nacional para el Desarrollo, así como también la sub contratación con CONAFINAFISA;</w:t>
      </w:r>
    </w:p>
    <w:p w:rsidR="0082729C" w:rsidRPr="00770501" w:rsidRDefault="0082729C" w:rsidP="0082729C">
      <w:pPr>
        <w:tabs>
          <w:tab w:val="left" w:pos="284"/>
        </w:tabs>
        <w:spacing w:after="0" w:line="360" w:lineRule="auto"/>
        <w:jc w:val="both"/>
        <w:rPr>
          <w:lang w:val="es-MX"/>
        </w:rPr>
      </w:pPr>
    </w:p>
    <w:p w:rsidR="00BA5986" w:rsidRPr="00770501" w:rsidRDefault="004F1DBB" w:rsidP="00BA5926">
      <w:pPr>
        <w:numPr>
          <w:ilvl w:val="0"/>
          <w:numId w:val="1"/>
        </w:numPr>
        <w:tabs>
          <w:tab w:val="clear" w:pos="720"/>
          <w:tab w:val="num" w:pos="284"/>
        </w:tabs>
        <w:spacing w:after="0" w:line="360" w:lineRule="auto"/>
        <w:ind w:left="284" w:hanging="284"/>
        <w:jc w:val="both"/>
        <w:rPr>
          <w:lang w:val="es-MX"/>
        </w:rPr>
      </w:pPr>
      <w:r>
        <w:rPr>
          <w:rFonts w:ascii="Arial" w:hAnsi="Arial" w:cs="Arial"/>
          <w:sz w:val="24"/>
          <w:szCs w:val="24"/>
          <w:lang w:val="es-MX"/>
        </w:rPr>
        <w:lastRenderedPageBreak/>
        <w:t xml:space="preserve">Cometer a la Contadora Delegada en </w:t>
      </w:r>
      <w:r w:rsidR="00BA5986" w:rsidRPr="00770501">
        <w:rPr>
          <w:rFonts w:ascii="Arial" w:hAnsi="Arial" w:cs="Arial"/>
          <w:sz w:val="24"/>
          <w:szCs w:val="24"/>
          <w:lang w:val="es-MX"/>
        </w:rPr>
        <w:t>el Banco de Previsión Social, la intervención de las erogaciones que se realicen con motivo del presente Fideicomiso, dándose cuenta de las mismas al Tribunal de Cuentas;</w:t>
      </w:r>
    </w:p>
    <w:p w:rsidR="00BA5986" w:rsidRPr="00C013ED" w:rsidRDefault="00BA5986" w:rsidP="00BA5926">
      <w:pPr>
        <w:numPr>
          <w:ilvl w:val="0"/>
          <w:numId w:val="1"/>
        </w:numPr>
        <w:tabs>
          <w:tab w:val="clear" w:pos="720"/>
          <w:tab w:val="left" w:pos="284"/>
        </w:tabs>
        <w:spacing w:after="0" w:line="360" w:lineRule="auto"/>
        <w:ind w:left="0" w:firstLine="0"/>
        <w:jc w:val="both"/>
        <w:rPr>
          <w:lang w:val="es-MX"/>
        </w:rPr>
      </w:pPr>
      <w:r w:rsidRPr="00BA5986">
        <w:rPr>
          <w:rFonts w:ascii="Arial" w:hAnsi="Arial" w:cs="Arial"/>
          <w:sz w:val="24"/>
          <w:szCs w:val="24"/>
          <w:lang w:val="es-MX"/>
        </w:rPr>
        <w:t>Devolver los antecedentes.</w:t>
      </w:r>
    </w:p>
    <w:p w:rsidR="00C013ED" w:rsidRDefault="00C013ED" w:rsidP="00C013ED">
      <w:pPr>
        <w:tabs>
          <w:tab w:val="left" w:pos="284"/>
        </w:tabs>
        <w:spacing w:after="0" w:line="360" w:lineRule="auto"/>
        <w:jc w:val="both"/>
        <w:rPr>
          <w:rFonts w:ascii="Arial" w:hAnsi="Arial" w:cs="Arial"/>
          <w:sz w:val="24"/>
          <w:szCs w:val="24"/>
          <w:lang w:val="es-MX"/>
        </w:rPr>
      </w:pPr>
    </w:p>
    <w:p w:rsidR="00C013ED" w:rsidRDefault="00C013ED" w:rsidP="00C013ED">
      <w:pPr>
        <w:tabs>
          <w:tab w:val="left" w:pos="284"/>
        </w:tabs>
        <w:spacing w:after="0" w:line="360" w:lineRule="auto"/>
        <w:jc w:val="both"/>
        <w:rPr>
          <w:rFonts w:ascii="Arial" w:hAnsi="Arial" w:cs="Arial"/>
          <w:sz w:val="24"/>
          <w:szCs w:val="24"/>
          <w:lang w:val="es-MX"/>
        </w:rPr>
      </w:pPr>
    </w:p>
    <w:p w:rsidR="00C013ED" w:rsidRDefault="00C013ED" w:rsidP="00C013ED">
      <w:pPr>
        <w:tabs>
          <w:tab w:val="left" w:pos="284"/>
        </w:tabs>
        <w:spacing w:after="0" w:line="360" w:lineRule="auto"/>
        <w:jc w:val="both"/>
        <w:rPr>
          <w:rFonts w:ascii="Arial" w:hAnsi="Arial" w:cs="Arial"/>
          <w:sz w:val="24"/>
          <w:szCs w:val="24"/>
          <w:lang w:val="es-MX"/>
        </w:rPr>
      </w:pPr>
    </w:p>
    <w:p w:rsidR="00C013ED" w:rsidRPr="00BA5986" w:rsidRDefault="00C013ED" w:rsidP="00C013ED">
      <w:pPr>
        <w:tabs>
          <w:tab w:val="left" w:pos="284"/>
        </w:tabs>
        <w:spacing w:after="0" w:line="360" w:lineRule="auto"/>
        <w:ind w:hanging="284"/>
        <w:jc w:val="both"/>
        <w:rPr>
          <w:lang w:val="es-MX"/>
        </w:rPr>
      </w:pPr>
      <w:r>
        <w:rPr>
          <w:rFonts w:ascii="Arial" w:hAnsi="Arial" w:cs="Arial"/>
          <w:sz w:val="24"/>
          <w:szCs w:val="24"/>
          <w:lang w:val="es-MX"/>
        </w:rPr>
        <w:t>dc</w:t>
      </w:r>
    </w:p>
    <w:sectPr w:rsidR="00C013ED" w:rsidRPr="00BA5986" w:rsidSect="00A63FA4">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738" w:rsidRDefault="00B00738" w:rsidP="00CC257F">
      <w:pPr>
        <w:spacing w:after="0" w:line="240" w:lineRule="auto"/>
      </w:pPr>
      <w:r>
        <w:separator/>
      </w:r>
    </w:p>
  </w:endnote>
  <w:endnote w:type="continuationSeparator" w:id="0">
    <w:p w:rsidR="00B00738" w:rsidRDefault="00B00738" w:rsidP="00CC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056248"/>
      <w:docPartObj>
        <w:docPartGallery w:val="Page Numbers (Bottom of Page)"/>
        <w:docPartUnique/>
      </w:docPartObj>
    </w:sdtPr>
    <w:sdtEndPr/>
    <w:sdtContent>
      <w:p w:rsidR="00B65A32" w:rsidRDefault="00B65A32">
        <w:pPr>
          <w:pStyle w:val="Piedepgina"/>
          <w:jc w:val="center"/>
        </w:pPr>
        <w:r>
          <w:fldChar w:fldCharType="begin"/>
        </w:r>
        <w:r>
          <w:instrText>PAGE   \* MERGEFORMAT</w:instrText>
        </w:r>
        <w:r>
          <w:fldChar w:fldCharType="separate"/>
        </w:r>
        <w:r w:rsidR="00A63FA4">
          <w:rPr>
            <w:noProof/>
          </w:rPr>
          <w:t>2</w:t>
        </w:r>
        <w:r>
          <w:fldChar w:fldCharType="end"/>
        </w:r>
      </w:p>
    </w:sdtContent>
  </w:sdt>
  <w:p w:rsidR="00B65A32" w:rsidRDefault="00B65A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738" w:rsidRDefault="00B00738" w:rsidP="00CC257F">
      <w:pPr>
        <w:spacing w:after="0" w:line="240" w:lineRule="auto"/>
      </w:pPr>
      <w:r>
        <w:separator/>
      </w:r>
    </w:p>
  </w:footnote>
  <w:footnote w:type="continuationSeparator" w:id="0">
    <w:p w:rsidR="00B00738" w:rsidRDefault="00B00738" w:rsidP="00CC2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1DB8"/>
    <w:multiLevelType w:val="hybridMultilevel"/>
    <w:tmpl w:val="9828DA98"/>
    <w:lvl w:ilvl="0" w:tplc="A7EC9FEE">
      <w:start w:val="1"/>
      <w:numFmt w:val="decimal"/>
      <w:lvlText w:val="%1)"/>
      <w:lvlJc w:val="left"/>
      <w:pPr>
        <w:tabs>
          <w:tab w:val="num" w:pos="720"/>
        </w:tabs>
        <w:ind w:left="720" w:hanging="360"/>
      </w:pPr>
      <w:rPr>
        <w:rFonts w:ascii="Arial" w:hAnsi="Arial" w:cs="Arial"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7214BCE"/>
    <w:multiLevelType w:val="hybridMultilevel"/>
    <w:tmpl w:val="5538B876"/>
    <w:lvl w:ilvl="0" w:tplc="317E126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F4D"/>
    <w:rsid w:val="00067B6C"/>
    <w:rsid w:val="000836F7"/>
    <w:rsid w:val="0009043C"/>
    <w:rsid w:val="00113768"/>
    <w:rsid w:val="001B4107"/>
    <w:rsid w:val="00287A49"/>
    <w:rsid w:val="002901CB"/>
    <w:rsid w:val="002A6C2D"/>
    <w:rsid w:val="002D0898"/>
    <w:rsid w:val="003138D6"/>
    <w:rsid w:val="003541AB"/>
    <w:rsid w:val="004F1DBB"/>
    <w:rsid w:val="00516287"/>
    <w:rsid w:val="00581BC9"/>
    <w:rsid w:val="005910BC"/>
    <w:rsid w:val="005B626A"/>
    <w:rsid w:val="00626CBA"/>
    <w:rsid w:val="00660F4D"/>
    <w:rsid w:val="006B0D93"/>
    <w:rsid w:val="00710D9B"/>
    <w:rsid w:val="00770501"/>
    <w:rsid w:val="0082729C"/>
    <w:rsid w:val="008C2717"/>
    <w:rsid w:val="00993CF7"/>
    <w:rsid w:val="009F1C90"/>
    <w:rsid w:val="00A56087"/>
    <w:rsid w:val="00A63FA4"/>
    <w:rsid w:val="00B00738"/>
    <w:rsid w:val="00B65A32"/>
    <w:rsid w:val="00BA5926"/>
    <w:rsid w:val="00BA5986"/>
    <w:rsid w:val="00C013ED"/>
    <w:rsid w:val="00CC257F"/>
    <w:rsid w:val="00D17150"/>
    <w:rsid w:val="00D71D0A"/>
    <w:rsid w:val="00D904E4"/>
    <w:rsid w:val="00D91CCE"/>
    <w:rsid w:val="00E11B67"/>
    <w:rsid w:val="00E154DB"/>
    <w:rsid w:val="00ED1246"/>
    <w:rsid w:val="00FE3D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C2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25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57F"/>
  </w:style>
  <w:style w:type="paragraph" w:styleId="Piedepgina">
    <w:name w:val="footer"/>
    <w:basedOn w:val="Normal"/>
    <w:link w:val="PiedepginaCar"/>
    <w:uiPriority w:val="99"/>
    <w:unhideWhenUsed/>
    <w:rsid w:val="00CC25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57F"/>
  </w:style>
  <w:style w:type="paragraph" w:styleId="Prrafodelista">
    <w:name w:val="List Paragraph"/>
    <w:basedOn w:val="Normal"/>
    <w:uiPriority w:val="34"/>
    <w:qFormat/>
    <w:rsid w:val="00BA5986"/>
    <w:pPr>
      <w:ind w:left="720"/>
      <w:contextualSpacing/>
    </w:pPr>
  </w:style>
  <w:style w:type="paragraph" w:styleId="Sinespaciado">
    <w:name w:val="No Spacing"/>
    <w:uiPriority w:val="1"/>
    <w:qFormat/>
    <w:rsid w:val="000836F7"/>
    <w:pPr>
      <w:spacing w:after="0" w:line="240" w:lineRule="auto"/>
    </w:pPr>
  </w:style>
  <w:style w:type="paragraph" w:styleId="Textodeglobo">
    <w:name w:val="Balloon Text"/>
    <w:basedOn w:val="Normal"/>
    <w:link w:val="TextodegloboCar"/>
    <w:uiPriority w:val="99"/>
    <w:semiHidden/>
    <w:unhideWhenUsed/>
    <w:rsid w:val="00A63F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3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C2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25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57F"/>
  </w:style>
  <w:style w:type="paragraph" w:styleId="Piedepgina">
    <w:name w:val="footer"/>
    <w:basedOn w:val="Normal"/>
    <w:link w:val="PiedepginaCar"/>
    <w:uiPriority w:val="99"/>
    <w:unhideWhenUsed/>
    <w:rsid w:val="00CC25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57F"/>
  </w:style>
  <w:style w:type="paragraph" w:styleId="Prrafodelista">
    <w:name w:val="List Paragraph"/>
    <w:basedOn w:val="Normal"/>
    <w:uiPriority w:val="34"/>
    <w:qFormat/>
    <w:rsid w:val="00BA5986"/>
    <w:pPr>
      <w:ind w:left="720"/>
      <w:contextualSpacing/>
    </w:pPr>
  </w:style>
  <w:style w:type="paragraph" w:styleId="Sinespaciado">
    <w:name w:val="No Spacing"/>
    <w:uiPriority w:val="1"/>
    <w:qFormat/>
    <w:rsid w:val="000836F7"/>
    <w:pPr>
      <w:spacing w:after="0" w:line="240" w:lineRule="auto"/>
    </w:pPr>
  </w:style>
  <w:style w:type="paragraph" w:styleId="Textodeglobo">
    <w:name w:val="Balloon Text"/>
    <w:basedOn w:val="Normal"/>
    <w:link w:val="TextodegloboCar"/>
    <w:uiPriority w:val="99"/>
    <w:semiHidden/>
    <w:unhideWhenUsed/>
    <w:rsid w:val="00A63F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3F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101B3-A246-467A-9251-02A0F314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995</Words>
  <Characters>5475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2018-08-02T16:18:00Z</cp:lastPrinted>
  <dcterms:created xsi:type="dcterms:W3CDTF">2018-08-02T15:38:00Z</dcterms:created>
  <dcterms:modified xsi:type="dcterms:W3CDTF">2018-08-02T16:18:00Z</dcterms:modified>
</cp:coreProperties>
</file>