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717" w:rsidRPr="008A1717" w:rsidRDefault="008A1717" w:rsidP="00786EEB">
      <w:pPr>
        <w:tabs>
          <w:tab w:val="center" w:pos="4253"/>
        </w:tabs>
        <w:suppressAutoHyphens/>
        <w:jc w:val="right"/>
        <w:rPr>
          <w:rFonts w:ascii="Arial" w:hAnsi="Arial" w:cs="Arial"/>
          <w:sz w:val="28"/>
          <w:szCs w:val="28"/>
          <w:lang w:val="es-ES_tradnl"/>
        </w:rPr>
      </w:pPr>
      <w:r w:rsidRPr="008A1717">
        <w:rPr>
          <w:rFonts w:ascii="Arial" w:hAnsi="Arial" w:cs="Arial"/>
          <w:sz w:val="28"/>
          <w:szCs w:val="28"/>
          <w:lang w:val="es-ES_tradnl"/>
        </w:rPr>
        <w:t xml:space="preserve">RES. </w:t>
      </w:r>
      <w:r>
        <w:rPr>
          <w:rFonts w:ascii="Arial" w:hAnsi="Arial" w:cs="Arial"/>
          <w:sz w:val="28"/>
          <w:szCs w:val="28"/>
          <w:lang w:val="es-ES_tradnl"/>
        </w:rPr>
        <w:t>2474</w:t>
      </w:r>
      <w:r w:rsidRPr="008A1717">
        <w:rPr>
          <w:rFonts w:ascii="Arial" w:hAnsi="Arial" w:cs="Arial"/>
          <w:sz w:val="28"/>
          <w:szCs w:val="28"/>
          <w:lang w:val="es-ES_tradnl"/>
        </w:rPr>
        <w:t>/18</w:t>
      </w:r>
    </w:p>
    <w:p w:rsidR="008A1717" w:rsidRPr="008A1717" w:rsidRDefault="008A1717" w:rsidP="00786EEB">
      <w:pPr>
        <w:tabs>
          <w:tab w:val="center" w:pos="4253"/>
        </w:tabs>
        <w:suppressAutoHyphens/>
        <w:jc w:val="right"/>
        <w:rPr>
          <w:rFonts w:ascii="Arial" w:hAnsi="Arial" w:cs="Arial"/>
          <w:lang w:val="es-ES_tradnl"/>
        </w:rPr>
      </w:pPr>
    </w:p>
    <w:p w:rsidR="008A1717" w:rsidRPr="008A1717" w:rsidRDefault="008A1717">
      <w:pPr>
        <w:tabs>
          <w:tab w:val="center" w:pos="4253"/>
        </w:tabs>
        <w:suppressAutoHyphens/>
        <w:jc w:val="center"/>
        <w:rPr>
          <w:rFonts w:ascii="Arial" w:hAnsi="Arial" w:cs="Arial"/>
          <w:lang w:val="es-ES_tradnl"/>
        </w:rPr>
      </w:pPr>
      <w:r w:rsidRPr="008A1717">
        <w:rPr>
          <w:rFonts w:ascii="Arial" w:hAnsi="Arial" w:cs="Arial"/>
          <w:lang w:val="es-ES_tradnl"/>
        </w:rPr>
        <w:t>RESOLUCION ADOPTADA POR EL</w:t>
      </w:r>
    </w:p>
    <w:p w:rsidR="008A1717" w:rsidRPr="008A1717" w:rsidRDefault="008A1717">
      <w:pPr>
        <w:tabs>
          <w:tab w:val="left" w:pos="-720"/>
        </w:tabs>
        <w:suppressAutoHyphens/>
        <w:jc w:val="center"/>
        <w:rPr>
          <w:rFonts w:ascii="Arial" w:hAnsi="Arial" w:cs="Arial"/>
          <w:lang w:val="es-ES_tradnl"/>
        </w:rPr>
      </w:pPr>
    </w:p>
    <w:p w:rsidR="008A1717" w:rsidRPr="008A1717" w:rsidRDefault="008A1717">
      <w:pPr>
        <w:tabs>
          <w:tab w:val="center" w:pos="4253"/>
        </w:tabs>
        <w:suppressAutoHyphens/>
        <w:jc w:val="center"/>
        <w:rPr>
          <w:rFonts w:ascii="Arial" w:hAnsi="Arial" w:cs="Arial"/>
          <w:lang w:val="es-ES_tradnl"/>
        </w:rPr>
      </w:pPr>
      <w:r w:rsidRPr="008A1717">
        <w:rPr>
          <w:rFonts w:ascii="Arial" w:hAnsi="Arial" w:cs="Arial"/>
          <w:lang w:val="es-ES_tradnl"/>
        </w:rPr>
        <w:t>TRIBUNAL DE CUENTAS</w:t>
      </w:r>
    </w:p>
    <w:p w:rsidR="008A1717" w:rsidRPr="008A1717" w:rsidRDefault="008A1717">
      <w:pPr>
        <w:tabs>
          <w:tab w:val="left" w:pos="-720"/>
        </w:tabs>
        <w:suppressAutoHyphens/>
        <w:jc w:val="center"/>
        <w:rPr>
          <w:rFonts w:ascii="Arial" w:hAnsi="Arial" w:cs="Arial"/>
          <w:lang w:val="es-ES_tradnl"/>
        </w:rPr>
      </w:pPr>
    </w:p>
    <w:p w:rsidR="008A1717" w:rsidRPr="008A1717" w:rsidRDefault="008A1717">
      <w:pPr>
        <w:tabs>
          <w:tab w:val="center" w:pos="4253"/>
        </w:tabs>
        <w:suppressAutoHyphens/>
        <w:jc w:val="center"/>
        <w:rPr>
          <w:rFonts w:ascii="Arial" w:hAnsi="Arial" w:cs="Arial"/>
          <w:lang w:val="es-ES_tradnl"/>
        </w:rPr>
      </w:pPr>
      <w:r w:rsidRPr="008A1717">
        <w:rPr>
          <w:rFonts w:ascii="Arial" w:hAnsi="Arial" w:cs="Arial"/>
          <w:lang w:val="es-ES_tradnl"/>
        </w:rPr>
        <w:t xml:space="preserve">EN SESION DE FECHA 1 DE AGOSTO </w:t>
      </w:r>
      <w:r w:rsidRPr="008A1717">
        <w:rPr>
          <w:rFonts w:ascii="Helvetica" w:hAnsi="Helvetica"/>
          <w:lang w:val="es-ES_tradnl"/>
        </w:rPr>
        <w:t>DE 2018</w:t>
      </w:r>
    </w:p>
    <w:p w:rsidR="008A1717" w:rsidRPr="008A1717" w:rsidRDefault="008A1717">
      <w:pPr>
        <w:tabs>
          <w:tab w:val="center" w:pos="4253"/>
        </w:tabs>
        <w:suppressAutoHyphens/>
        <w:jc w:val="center"/>
        <w:rPr>
          <w:rFonts w:ascii="Arial" w:hAnsi="Arial" w:cs="Arial"/>
          <w:lang w:val="es-ES_tradnl"/>
        </w:rPr>
      </w:pPr>
    </w:p>
    <w:p w:rsidR="008A1717" w:rsidRPr="00741B79" w:rsidRDefault="008A1717">
      <w:pPr>
        <w:tabs>
          <w:tab w:val="center" w:pos="4253"/>
        </w:tabs>
        <w:suppressAutoHyphens/>
        <w:jc w:val="center"/>
        <w:rPr>
          <w:rFonts w:ascii="Arial" w:hAnsi="Arial" w:cs="Arial"/>
          <w:lang w:val="es-UY"/>
        </w:rPr>
      </w:pPr>
      <w:r w:rsidRPr="00741B79">
        <w:rPr>
          <w:rFonts w:ascii="Arial" w:hAnsi="Arial" w:cs="Arial"/>
          <w:lang w:val="es-UY"/>
        </w:rPr>
        <w:t xml:space="preserve">(E. E. Nº 2018-17-1-0004337, </w:t>
      </w:r>
      <w:proofErr w:type="spellStart"/>
      <w:r w:rsidRPr="00741B79">
        <w:rPr>
          <w:rFonts w:ascii="Arial" w:hAnsi="Arial" w:cs="Arial"/>
          <w:lang w:val="es-UY"/>
        </w:rPr>
        <w:t>Ent</w:t>
      </w:r>
      <w:proofErr w:type="spellEnd"/>
      <w:r w:rsidRPr="00741B79">
        <w:rPr>
          <w:rFonts w:ascii="Arial" w:hAnsi="Arial" w:cs="Arial"/>
          <w:lang w:val="es-UY"/>
        </w:rPr>
        <w:t>. N° 3345/18)</w:t>
      </w:r>
    </w:p>
    <w:p w:rsidR="008A1717" w:rsidRPr="00741B79" w:rsidRDefault="008A1717">
      <w:pPr>
        <w:tabs>
          <w:tab w:val="center" w:pos="4253"/>
        </w:tabs>
        <w:suppressAutoHyphens/>
        <w:jc w:val="center"/>
        <w:rPr>
          <w:rFonts w:ascii="Helvetica" w:hAnsi="Helvetica"/>
          <w:b w:val="0"/>
          <w:lang w:val="es-UY"/>
        </w:rPr>
      </w:pPr>
    </w:p>
    <w:p w:rsidR="008A1717" w:rsidRDefault="008050CD" w:rsidP="008A1717">
      <w:pPr>
        <w:pStyle w:val="Ttulo8"/>
        <w:numPr>
          <w:ilvl w:val="0"/>
          <w:numId w:val="0"/>
        </w:numPr>
        <w:ind w:firstLine="851"/>
        <w:rPr>
          <w:b w:val="0"/>
        </w:rPr>
      </w:pPr>
      <w:r w:rsidRPr="008050CD">
        <w:t xml:space="preserve">VISTO: </w:t>
      </w:r>
      <w:r>
        <w:rPr>
          <w:b w:val="0"/>
        </w:rPr>
        <w:t>las actuaciones remitidas por el Ministerio de Vivienda, Ordenamiento Ter</w:t>
      </w:r>
      <w:r w:rsidR="00C0421A">
        <w:rPr>
          <w:b w:val="0"/>
        </w:rPr>
        <w:t>ritorial y Medio Ambiente (MVOT</w:t>
      </w:r>
      <w:r>
        <w:rPr>
          <w:b w:val="0"/>
        </w:rPr>
        <w:t xml:space="preserve">MA) relacionadas con la Licitación Pública N° </w:t>
      </w:r>
      <w:r w:rsidRPr="008050CD">
        <w:rPr>
          <w:b w:val="0"/>
          <w:bCs/>
        </w:rPr>
        <w:t>07/002/2017</w:t>
      </w:r>
      <w:r>
        <w:rPr>
          <w:b w:val="0"/>
          <w:bCs/>
        </w:rPr>
        <w:t xml:space="preserve"> relativa a la </w:t>
      </w:r>
      <w:r>
        <w:rPr>
          <w:b w:val="0"/>
        </w:rPr>
        <w:t>convocatoria a empresas constructoras nacionales para la culminaci</w:t>
      </w:r>
      <w:r w:rsidR="008A1717">
        <w:rPr>
          <w:b w:val="0"/>
        </w:rPr>
        <w:t>ón de obras para activos en el P</w:t>
      </w:r>
      <w:r>
        <w:rPr>
          <w:b w:val="0"/>
        </w:rPr>
        <w:t>adrón Nº 426.1</w:t>
      </w:r>
      <w:r w:rsidR="008A1717">
        <w:rPr>
          <w:b w:val="0"/>
        </w:rPr>
        <w:t>21 de la ciudad de Montevideo, D</w:t>
      </w:r>
      <w:r>
        <w:rPr>
          <w:b w:val="0"/>
        </w:rPr>
        <w:t xml:space="preserve">epartamento de Montevideo, </w:t>
      </w:r>
      <w:proofErr w:type="gramStart"/>
      <w:r>
        <w:rPr>
          <w:b w:val="0"/>
        </w:rPr>
        <w:t>mediante</w:t>
      </w:r>
      <w:proofErr w:type="gramEnd"/>
      <w:r>
        <w:rPr>
          <w:b w:val="0"/>
        </w:rPr>
        <w:t xml:space="preserve"> el sistema de contrato de obra “llave en mano”;</w:t>
      </w:r>
    </w:p>
    <w:p w:rsidR="008A1717" w:rsidRDefault="008050CD" w:rsidP="008A1717">
      <w:pPr>
        <w:pStyle w:val="Ttulo8"/>
        <w:numPr>
          <w:ilvl w:val="0"/>
          <w:numId w:val="0"/>
        </w:numPr>
        <w:ind w:firstLine="851"/>
        <w:rPr>
          <w:b w:val="0"/>
          <w:bCs/>
          <w:lang w:val="es-UY"/>
        </w:rPr>
      </w:pPr>
      <w:r>
        <w:t xml:space="preserve">RESULTANDO: 1) </w:t>
      </w:r>
      <w:r w:rsidR="007519E1">
        <w:rPr>
          <w:b w:val="0"/>
        </w:rPr>
        <w:t>que los antecedentes relativos a la iniciación de estas obras fueron tramitado</w:t>
      </w:r>
      <w:r w:rsidR="00C0421A">
        <w:rPr>
          <w:b w:val="0"/>
        </w:rPr>
        <w:t>s</w:t>
      </w:r>
      <w:r w:rsidR="007519E1">
        <w:rPr>
          <w:b w:val="0"/>
        </w:rPr>
        <w:t xml:space="preserve"> </w:t>
      </w:r>
      <w:r w:rsidR="00C0421A">
        <w:rPr>
          <w:b w:val="0"/>
        </w:rPr>
        <w:t>en</w:t>
      </w:r>
      <w:r w:rsidR="007519E1">
        <w:rPr>
          <w:b w:val="0"/>
        </w:rPr>
        <w:t xml:space="preserve"> </w:t>
      </w:r>
      <w:r w:rsidR="007519E1" w:rsidRPr="007519E1">
        <w:rPr>
          <w:b w:val="0"/>
          <w:bCs/>
          <w:lang w:val="es-UY"/>
        </w:rPr>
        <w:t>Carpeta N° 230.446, Entrada N° 7627 de 5/11/2010</w:t>
      </w:r>
      <w:r w:rsidR="007519E1">
        <w:rPr>
          <w:b w:val="0"/>
          <w:bCs/>
          <w:lang w:val="es-UY"/>
        </w:rPr>
        <w:t>, correspondiendo a la Licitación Pública N° 9/002/2008 convocada para el suministro de terreno, diseño y construcción de hasta 120 viviendas en conjuntos de 20 y 40 unidades en la ciudad de Montevideo</w:t>
      </w:r>
      <w:r w:rsidR="00C0421A">
        <w:rPr>
          <w:b w:val="0"/>
          <w:bCs/>
          <w:lang w:val="es-UY"/>
        </w:rPr>
        <w:t>, oportunamente sometida a la intervenció</w:t>
      </w:r>
      <w:r w:rsidR="008A1717">
        <w:rPr>
          <w:b w:val="0"/>
          <w:bCs/>
          <w:lang w:val="es-UY"/>
        </w:rPr>
        <w:t>n de este Tribunal, el que, en S</w:t>
      </w:r>
      <w:r w:rsidR="00C0421A">
        <w:rPr>
          <w:b w:val="0"/>
          <w:bCs/>
          <w:lang w:val="es-UY"/>
        </w:rPr>
        <w:t>esión de 01.12.2010 no formuló observaciones</w:t>
      </w:r>
      <w:r w:rsidR="007519E1">
        <w:rPr>
          <w:b w:val="0"/>
          <w:bCs/>
          <w:lang w:val="es-UY"/>
        </w:rPr>
        <w:t>;</w:t>
      </w:r>
    </w:p>
    <w:p w:rsidR="00ED75A1" w:rsidRDefault="009169B3" w:rsidP="00ED75A1">
      <w:pPr>
        <w:pStyle w:val="Ttulo8"/>
        <w:numPr>
          <w:ilvl w:val="0"/>
          <w:numId w:val="0"/>
        </w:numPr>
        <w:ind w:firstLine="2835"/>
        <w:rPr>
          <w:b w:val="0"/>
          <w:color w:val="auto"/>
          <w:szCs w:val="24"/>
        </w:rPr>
      </w:pPr>
      <w:r w:rsidRPr="008A1717">
        <w:rPr>
          <w:color w:val="auto"/>
          <w:szCs w:val="24"/>
          <w:lang w:val="es-UY"/>
        </w:rPr>
        <w:t>2)</w:t>
      </w:r>
      <w:r w:rsidR="00C0421A" w:rsidRPr="008A1717">
        <w:rPr>
          <w:b w:val="0"/>
          <w:color w:val="auto"/>
          <w:szCs w:val="24"/>
          <w:lang w:val="es-UY"/>
        </w:rPr>
        <w:t xml:space="preserve"> </w:t>
      </w:r>
      <w:r w:rsidR="001C657F" w:rsidRPr="008A1717">
        <w:rPr>
          <w:b w:val="0"/>
          <w:color w:val="auto"/>
          <w:szCs w:val="24"/>
        </w:rPr>
        <w:t>qu</w:t>
      </w:r>
      <w:r w:rsidR="00C0421A" w:rsidRPr="008A1717">
        <w:rPr>
          <w:b w:val="0"/>
          <w:color w:val="auto"/>
          <w:szCs w:val="24"/>
        </w:rPr>
        <w:t>e en esta oportunidad se remite</w:t>
      </w:r>
      <w:r w:rsidR="00ED75A1">
        <w:rPr>
          <w:b w:val="0"/>
          <w:color w:val="auto"/>
          <w:szCs w:val="24"/>
        </w:rPr>
        <w:t>n</w:t>
      </w:r>
      <w:r w:rsidR="008A1717" w:rsidRPr="008A1717">
        <w:rPr>
          <w:b w:val="0"/>
        </w:rPr>
        <w:t xml:space="preserve"> </w:t>
      </w:r>
      <w:r w:rsidR="00C0421A" w:rsidRPr="008A1717">
        <w:rPr>
          <w:b w:val="0"/>
          <w:color w:val="auto"/>
          <w:szCs w:val="24"/>
        </w:rPr>
        <w:t>a</w:t>
      </w:r>
      <w:r w:rsidR="001C657F" w:rsidRPr="008A1717">
        <w:rPr>
          <w:b w:val="0"/>
          <w:color w:val="auto"/>
          <w:szCs w:val="24"/>
        </w:rPr>
        <w:t>ctuaciones relativas a la Licitación Pública N° 07/002/2017, referente</w:t>
      </w:r>
      <w:r w:rsidR="00ED75A1">
        <w:rPr>
          <w:b w:val="0"/>
          <w:color w:val="auto"/>
          <w:szCs w:val="24"/>
        </w:rPr>
        <w:t>s</w:t>
      </w:r>
      <w:r w:rsidR="001C657F" w:rsidRPr="008A1717">
        <w:rPr>
          <w:b w:val="0"/>
          <w:color w:val="auto"/>
          <w:szCs w:val="24"/>
        </w:rPr>
        <w:t xml:space="preserve"> a la  convocatoria a empresas constructoras nacionales para la culminación de obras consistentes en 20 viviend</w:t>
      </w:r>
      <w:r w:rsidR="00ED75A1">
        <w:rPr>
          <w:b w:val="0"/>
          <w:color w:val="auto"/>
          <w:szCs w:val="24"/>
        </w:rPr>
        <w:t>as más SUM, para activos en el P</w:t>
      </w:r>
      <w:r w:rsidR="001C657F" w:rsidRPr="008A1717">
        <w:rPr>
          <w:b w:val="0"/>
          <w:color w:val="auto"/>
          <w:szCs w:val="24"/>
        </w:rPr>
        <w:t>adrón Nº 426.1</w:t>
      </w:r>
      <w:r w:rsidR="00ED75A1">
        <w:rPr>
          <w:b w:val="0"/>
          <w:color w:val="auto"/>
          <w:szCs w:val="24"/>
        </w:rPr>
        <w:t>21 de la ciudad de Montevideo, D</w:t>
      </w:r>
      <w:r w:rsidR="001C657F" w:rsidRPr="008A1717">
        <w:rPr>
          <w:b w:val="0"/>
          <w:color w:val="auto"/>
          <w:szCs w:val="24"/>
        </w:rPr>
        <w:t>epartamento de Montevideo, mediante el sistema de contrato de obra “llave en mano”;</w:t>
      </w:r>
    </w:p>
    <w:p w:rsidR="00ED75A1" w:rsidRDefault="00C0421A" w:rsidP="00ED75A1">
      <w:pPr>
        <w:pStyle w:val="Ttulo8"/>
        <w:numPr>
          <w:ilvl w:val="0"/>
          <w:numId w:val="0"/>
        </w:numPr>
        <w:ind w:firstLine="2835"/>
        <w:rPr>
          <w:b w:val="0"/>
        </w:rPr>
      </w:pPr>
      <w:r w:rsidRPr="005A5D45">
        <w:t>3)</w:t>
      </w:r>
      <w:r w:rsidRPr="005A5D45">
        <w:rPr>
          <w:b w:val="0"/>
        </w:rPr>
        <w:t xml:space="preserve"> que de la Sección II del Pliego de Condiciones que refiere a los Antecedentes de Contratación e Información Sumaria, surge que en el mes de mayo de 2015 el contratista suspendió en forma unilateral la </w:t>
      </w:r>
      <w:r w:rsidRPr="005A5D45">
        <w:rPr>
          <w:b w:val="0"/>
        </w:rPr>
        <w:lastRenderedPageBreak/>
        <w:t>ejecución de la obra correspondiente a la Licitación referida en el Resultando precedente. Que, con fecha 23 de junio de 2015 la Agencia Nacional de Vivienda labró Acta Administrativa dejando constancia de la detención de los trabajos, tomando posesión de la obra a nombre del MVOTMA el 28/08/2015. Que el contrato de Construcción correspondiente es rescindido por Resolución del Poder Ejecutivo de 9 de marzo de 2016;</w:t>
      </w:r>
    </w:p>
    <w:p w:rsidR="00ED75A1" w:rsidRDefault="005A5D45" w:rsidP="00ED75A1">
      <w:pPr>
        <w:pStyle w:val="Ttulo8"/>
        <w:numPr>
          <w:ilvl w:val="0"/>
          <w:numId w:val="0"/>
        </w:numPr>
        <w:ind w:firstLine="2835"/>
        <w:rPr>
          <w:b w:val="0"/>
          <w:lang w:val="es-ES"/>
        </w:rPr>
      </w:pPr>
      <w:r>
        <w:t>4</w:t>
      </w:r>
      <w:r w:rsidR="001C657F" w:rsidRPr="00C707C0">
        <w:t>)</w:t>
      </w:r>
      <w:r w:rsidR="00C707C0">
        <w:t xml:space="preserve"> </w:t>
      </w:r>
      <w:r w:rsidRPr="00ED75A1">
        <w:rPr>
          <w:b w:val="0"/>
        </w:rPr>
        <w:t>que c</w:t>
      </w:r>
      <w:r w:rsidR="00C707C0" w:rsidRPr="00ED75A1">
        <w:rPr>
          <w:b w:val="0"/>
        </w:rPr>
        <w:t xml:space="preserve">on fecha 14.11.2017, se procedió a efectuar la apertura del </w:t>
      </w:r>
      <w:r w:rsidRPr="00ED75A1">
        <w:rPr>
          <w:b w:val="0"/>
        </w:rPr>
        <w:t xml:space="preserve">nuevo </w:t>
      </w:r>
      <w:r w:rsidR="00C707C0" w:rsidRPr="00ED75A1">
        <w:rPr>
          <w:b w:val="0"/>
        </w:rPr>
        <w:t xml:space="preserve">llamado, </w:t>
      </w:r>
      <w:r w:rsidR="00ED75A1">
        <w:rPr>
          <w:b w:val="0"/>
        </w:rPr>
        <w:t>surgiendo del A</w:t>
      </w:r>
      <w:r w:rsidR="00C707C0" w:rsidRPr="00ED75A1">
        <w:rPr>
          <w:b w:val="0"/>
        </w:rPr>
        <w:t xml:space="preserve">cta respectiva que se presentaron 4 oferentes, siendo las cotizaciones las siguientes: </w:t>
      </w:r>
      <w:r w:rsidR="00C707C0" w:rsidRPr="00ED75A1">
        <w:rPr>
          <w:b w:val="0"/>
          <w:lang w:val="es-ES"/>
        </w:rPr>
        <w:t>VIVAMAT S.A</w:t>
      </w:r>
      <w:r w:rsidR="00ED75A1">
        <w:rPr>
          <w:b w:val="0"/>
          <w:lang w:val="es-ES"/>
        </w:rPr>
        <w:t>.</w:t>
      </w:r>
      <w:r w:rsidR="00C707C0" w:rsidRPr="00ED75A1">
        <w:rPr>
          <w:b w:val="0"/>
          <w:lang w:val="es-ES"/>
        </w:rPr>
        <w:t xml:space="preserve"> (</w:t>
      </w:r>
      <w:proofErr w:type="spellStart"/>
      <w:r w:rsidR="00C707C0" w:rsidRPr="00ED75A1">
        <w:rPr>
          <w:b w:val="0"/>
          <w:lang w:val="es-ES"/>
        </w:rPr>
        <w:t>a&amp;c</w:t>
      </w:r>
      <w:proofErr w:type="spellEnd"/>
      <w:r w:rsidR="00C707C0" w:rsidRPr="00ED75A1">
        <w:rPr>
          <w:b w:val="0"/>
          <w:lang w:val="es-ES"/>
        </w:rPr>
        <w:t xml:space="preserve">): $ 31:863.841 impuestos incluidos; HARBOR S.A.: $ 22:937.393 impuestos incluidos; FRANCO MEZZETTA </w:t>
      </w:r>
      <w:r w:rsidR="00C707C0" w:rsidRPr="00ED75A1">
        <w:rPr>
          <w:b w:val="0"/>
        </w:rPr>
        <w:t>VIVAMAT S.A.:</w:t>
      </w:r>
      <w:r w:rsidR="00C707C0" w:rsidRPr="00ED75A1">
        <w:rPr>
          <w:b w:val="0"/>
          <w:lang w:val="es-ES"/>
        </w:rPr>
        <w:t xml:space="preserve"> $ 28:873.815,64 impuestos incluidos y CHL S.A.: $ 26</w:t>
      </w:r>
      <w:r w:rsidR="00B307BD" w:rsidRPr="00ED75A1">
        <w:rPr>
          <w:b w:val="0"/>
          <w:lang w:val="es-ES"/>
        </w:rPr>
        <w:t>:827.941,52 impuestos incluidos;</w:t>
      </w:r>
    </w:p>
    <w:p w:rsidR="00B307BD" w:rsidRPr="00B307BD" w:rsidRDefault="005A5D45" w:rsidP="00ED75A1">
      <w:pPr>
        <w:pStyle w:val="Ttulo8"/>
        <w:numPr>
          <w:ilvl w:val="0"/>
          <w:numId w:val="0"/>
        </w:numPr>
        <w:ind w:firstLine="2835"/>
        <w:rPr>
          <w:b w:val="0"/>
          <w:bCs/>
        </w:rPr>
      </w:pPr>
      <w:r>
        <w:t>5</w:t>
      </w:r>
      <w:r w:rsidR="001C657F">
        <w:t>)</w:t>
      </w:r>
      <w:r>
        <w:t xml:space="preserve"> </w:t>
      </w:r>
      <w:r w:rsidRPr="005A5D45">
        <w:rPr>
          <w:b w:val="0"/>
        </w:rPr>
        <w:t>que</w:t>
      </w:r>
      <w:r>
        <w:rPr>
          <w:b w:val="0"/>
          <w:bCs/>
        </w:rPr>
        <w:t xml:space="preserve"> surge</w:t>
      </w:r>
      <w:r w:rsidR="00B307BD" w:rsidRPr="005A5D45">
        <w:rPr>
          <w:b w:val="0"/>
          <w:bCs/>
        </w:rPr>
        <w:t xml:space="preserve"> </w:t>
      </w:r>
      <w:r w:rsidR="00B307BD">
        <w:rPr>
          <w:b w:val="0"/>
          <w:bCs/>
        </w:rPr>
        <w:t>Informe de la Comisión Asesora de Adjudicaciones de fecha 11.01.2018, por el cual expresó que</w:t>
      </w:r>
      <w:r>
        <w:rPr>
          <w:b w:val="0"/>
          <w:bCs/>
        </w:rPr>
        <w:t>,</w:t>
      </w:r>
      <w:r w:rsidR="00B307BD">
        <w:rPr>
          <w:b w:val="0"/>
          <w:bCs/>
        </w:rPr>
        <w:t xml:space="preserve"> d</w:t>
      </w:r>
      <w:r w:rsidR="00B307BD" w:rsidRPr="00B307BD">
        <w:rPr>
          <w:b w:val="0"/>
        </w:rPr>
        <w:t>el estudio de las ofertas presentadas y considerando el pedido de aclaraciones de fecha 7.12.2017 a todas las empresas, resulta que: VIVAMAT S.A.: respecto al punto 5 solicitado, en caso de resultar adjudicatario, se considera que debe mejorar lo propuesto. FRANCO MEZZ</w:t>
      </w:r>
      <w:r w:rsidR="00741B79">
        <w:rPr>
          <w:b w:val="0"/>
        </w:rPr>
        <w:t>E</w:t>
      </w:r>
      <w:r w:rsidR="00B307BD" w:rsidRPr="00B307BD">
        <w:rPr>
          <w:b w:val="0"/>
        </w:rPr>
        <w:t xml:space="preserve">TTA S.A.: Sin observaciones; CHL S.A.: respecto al punto 1 solicitado se contempla lo establecido en el Pliego respecto a la obra “llave en mano”, no haciéndose responsable de la obra existente, por </w:t>
      </w:r>
      <w:r w:rsidR="00ED75A1">
        <w:rPr>
          <w:b w:val="0"/>
        </w:rPr>
        <w:t>tanto, se desestima su oferta (A</w:t>
      </w:r>
      <w:r w:rsidR="00B307BD" w:rsidRPr="00B307BD">
        <w:rPr>
          <w:b w:val="0"/>
        </w:rPr>
        <w:t>rt</w:t>
      </w:r>
      <w:r w:rsidR="00ED75A1">
        <w:rPr>
          <w:b w:val="0"/>
        </w:rPr>
        <w:t>ículo 56 del TOCAF) y</w:t>
      </w:r>
      <w:r w:rsidR="00B307BD" w:rsidRPr="00B307BD">
        <w:rPr>
          <w:b w:val="0"/>
        </w:rPr>
        <w:t xml:space="preserve"> HARBOR S.A.: Sin observaciones.</w:t>
      </w:r>
    </w:p>
    <w:p w:rsidR="00ED75A1" w:rsidRDefault="00B307BD" w:rsidP="00ED75A1">
      <w:pPr>
        <w:pStyle w:val="Textoindependiente2"/>
      </w:pPr>
      <w:r w:rsidRPr="00B307BD">
        <w:t>En virtud de lo antedicho, las empresas que se encuentran en condiciones de contratar son VIVAMAT S.A., FR</w:t>
      </w:r>
      <w:r>
        <w:t>ANCO MEZZ</w:t>
      </w:r>
      <w:r w:rsidR="00741B79">
        <w:t>E</w:t>
      </w:r>
      <w:r>
        <w:t xml:space="preserve">TTA S.A. y HARBOR </w:t>
      </w:r>
      <w:proofErr w:type="gramStart"/>
      <w:r>
        <w:t>S.A..</w:t>
      </w:r>
      <w:proofErr w:type="gramEnd"/>
      <w:r>
        <w:t xml:space="preserve"> </w:t>
      </w:r>
      <w:r w:rsidRPr="00B307BD">
        <w:t xml:space="preserve">Se recomendó la adjudicación, al amparo de la cláusula 16, </w:t>
      </w:r>
      <w:r>
        <w:t>sección II del Pliego, a la empresa HARBOR S.A.;</w:t>
      </w:r>
    </w:p>
    <w:p w:rsidR="00ED75A1" w:rsidRDefault="005A5D45" w:rsidP="00ED75A1">
      <w:pPr>
        <w:pStyle w:val="Textoindependiente2"/>
        <w:ind w:firstLine="2835"/>
      </w:pPr>
      <w:r w:rsidRPr="00ED75A1">
        <w:rPr>
          <w:b/>
        </w:rPr>
        <w:t>6</w:t>
      </w:r>
      <w:r w:rsidR="001C657F" w:rsidRPr="00ED75A1">
        <w:rPr>
          <w:b/>
        </w:rPr>
        <w:t>)</w:t>
      </w:r>
      <w:r w:rsidR="00962A98">
        <w:t xml:space="preserve"> </w:t>
      </w:r>
      <w:r w:rsidRPr="005A5D45">
        <w:t>que se adjunta</w:t>
      </w:r>
      <w:r>
        <w:t xml:space="preserve"> </w:t>
      </w:r>
      <w:r w:rsidR="00741B79">
        <w:t>P</w:t>
      </w:r>
      <w:r w:rsidR="00962A98">
        <w:t xml:space="preserve">royecto de Resolución Ministerial mediante el cual se resuelve: </w:t>
      </w:r>
      <w:r w:rsidR="00962A98" w:rsidRPr="00ED75A1">
        <w:rPr>
          <w:b/>
        </w:rPr>
        <w:t>a)</w:t>
      </w:r>
      <w:r w:rsidR="00962A98">
        <w:t xml:space="preserve"> Rechazar la oferta presentada por la empresa CHL S.A. por no cumplir con las obligaciones emanadas del contrato “llave en </w:t>
      </w:r>
      <w:bookmarkStart w:id="0" w:name="_GoBack"/>
      <w:bookmarkEnd w:id="0"/>
      <w:r w:rsidR="00962A98">
        <w:lastRenderedPageBreak/>
        <w:t xml:space="preserve">mano”, de acuerdo con lo estipulado en el Pliego; y </w:t>
      </w:r>
      <w:r w:rsidR="00962A98" w:rsidRPr="00ED75A1">
        <w:rPr>
          <w:b/>
        </w:rPr>
        <w:t>b)</w:t>
      </w:r>
      <w:r w:rsidR="00962A98">
        <w:t xml:space="preserve"> Adjudicar a la empresa HARBOR S.A. para la culminación de obras consistente en 20 viviendas para act</w:t>
      </w:r>
      <w:r w:rsidR="00ED75A1">
        <w:t>ivos más SUM, emplazadas en el P</w:t>
      </w:r>
      <w:r w:rsidR="00962A98">
        <w:t xml:space="preserve">adrón N° 426.121 de la ciudad de Montevideo, Departamento de Montevideo, </w:t>
      </w:r>
      <w:r w:rsidR="00ED75A1">
        <w:t>por un monto total de obra de $</w:t>
      </w:r>
      <w:r w:rsidR="00962A98">
        <w:t>22:937.393 impuestos incluidos, monto de mano de obra imponible máximo de hasta $ 5:232.408, en un plazo de 150 días calendario y en un plazo total de 515 días calendario;</w:t>
      </w:r>
    </w:p>
    <w:p w:rsidR="001C657F" w:rsidRPr="00805598" w:rsidRDefault="005A5D45" w:rsidP="00ED75A1">
      <w:pPr>
        <w:pStyle w:val="Textoindependiente2"/>
        <w:ind w:firstLine="2835"/>
        <w:rPr>
          <w:b/>
        </w:rPr>
      </w:pPr>
      <w:r w:rsidRPr="00ED75A1">
        <w:rPr>
          <w:b/>
        </w:rPr>
        <w:t>7</w:t>
      </w:r>
      <w:r w:rsidR="001C657F" w:rsidRPr="00ED75A1">
        <w:rPr>
          <w:b/>
        </w:rPr>
        <w:t>)</w:t>
      </w:r>
      <w:r w:rsidR="00805598">
        <w:t xml:space="preserve"> </w:t>
      </w:r>
      <w:r w:rsidRPr="005A5D45">
        <w:t>que se agrega i</w:t>
      </w:r>
      <w:r w:rsidR="00805598" w:rsidRPr="005A5D45">
        <w:rPr>
          <w:spacing w:val="-3"/>
        </w:rPr>
        <w:t>nforme</w:t>
      </w:r>
      <w:r w:rsidR="00805598">
        <w:rPr>
          <w:spacing w:val="-3"/>
        </w:rPr>
        <w:t xml:space="preserve"> de la División Programación Financiera de fecha 8.02.2018, Constancia de Afectación de Crédito  Nº 002205 de fecha 27.02.2018 y Afectación Nº 000795 con cargo al Prog</w:t>
      </w:r>
      <w:r w:rsidR="00ED75A1">
        <w:rPr>
          <w:spacing w:val="-3"/>
        </w:rPr>
        <w:t xml:space="preserve">rama 521, Proyecto </w:t>
      </w:r>
      <w:r w:rsidR="00805598">
        <w:rPr>
          <w:spacing w:val="-3"/>
        </w:rPr>
        <w:t>717, Obj</w:t>
      </w:r>
      <w:r w:rsidR="00ED75A1">
        <w:rPr>
          <w:spacing w:val="-3"/>
        </w:rPr>
        <w:t>eto del</w:t>
      </w:r>
      <w:r w:rsidR="00805598">
        <w:rPr>
          <w:spacing w:val="-3"/>
        </w:rPr>
        <w:t xml:space="preserve"> Gas</w:t>
      </w:r>
      <w:r w:rsidR="00ED75A1">
        <w:rPr>
          <w:spacing w:val="-3"/>
        </w:rPr>
        <w:t>to</w:t>
      </w:r>
      <w:r w:rsidR="00805598">
        <w:rPr>
          <w:spacing w:val="-3"/>
        </w:rPr>
        <w:t>, por $ 1:880.114. Los i</w:t>
      </w:r>
      <w:r w:rsidR="00805598">
        <w:t>mportes que cor</w:t>
      </w:r>
      <w:r w:rsidR="00ED75A1">
        <w:t>responde comprometer, por cada E</w:t>
      </w:r>
      <w:r w:rsidR="00805598">
        <w:t>jercicio son los siguientes: Ejercicio 2018: $ 1:880.114 y Ejercicio 2019: $ 26:292.687, lo que totaliza $ 28:172.801;</w:t>
      </w:r>
    </w:p>
    <w:p w:rsidR="001C1562" w:rsidRDefault="00951C80" w:rsidP="001C1562">
      <w:pPr>
        <w:pStyle w:val="Ttulo"/>
        <w:ind w:firstLine="851"/>
        <w:jc w:val="both"/>
        <w:rPr>
          <w:b w:val="0"/>
          <w:bCs/>
          <w:u w:val="none"/>
        </w:rPr>
      </w:pPr>
      <w:r w:rsidRPr="00BB5AE2">
        <w:rPr>
          <w:rFonts w:cs="Arial"/>
          <w:bCs/>
          <w:u w:val="none"/>
        </w:rPr>
        <w:t>CONSIDERANDO:</w:t>
      </w:r>
      <w:r w:rsidRPr="00BB5AE2">
        <w:rPr>
          <w:rFonts w:cs="Arial"/>
          <w:b w:val="0"/>
          <w:bCs/>
          <w:u w:val="none"/>
        </w:rPr>
        <w:t xml:space="preserve"> que</w:t>
      </w:r>
      <w:r w:rsidR="00BB5AE2">
        <w:rPr>
          <w:b w:val="0"/>
          <w:bCs/>
          <w:u w:val="none"/>
        </w:rPr>
        <w:t xml:space="preserve"> el procedimiento licitatorio se e</w:t>
      </w:r>
      <w:r w:rsidR="00ED75A1">
        <w:rPr>
          <w:b w:val="0"/>
          <w:bCs/>
          <w:u w:val="none"/>
        </w:rPr>
        <w:t>nmarcó en las normas vigentes (A</w:t>
      </w:r>
      <w:r w:rsidR="00BB5AE2">
        <w:rPr>
          <w:b w:val="0"/>
          <w:bCs/>
          <w:u w:val="none"/>
        </w:rPr>
        <w:t>rtíc</w:t>
      </w:r>
      <w:r w:rsidR="006136D0">
        <w:rPr>
          <w:b w:val="0"/>
          <w:bCs/>
          <w:u w:val="none"/>
        </w:rPr>
        <w:t>ulo 33 y siguientes del TOCAF) y en el Convenio de Colaboración y Coordinación Institucional suscrito el 2.08.2011 entre el MVOTMA y la Agencia Nacional de Vivienda;</w:t>
      </w:r>
    </w:p>
    <w:p w:rsidR="005A5D45" w:rsidRDefault="00BB5AE2" w:rsidP="001C1562">
      <w:pPr>
        <w:pStyle w:val="Ttulo"/>
        <w:ind w:firstLine="851"/>
        <w:jc w:val="both"/>
        <w:rPr>
          <w:b w:val="0"/>
          <w:u w:val="none"/>
        </w:rPr>
      </w:pPr>
      <w:r w:rsidRPr="00CC16EC">
        <w:rPr>
          <w:u w:val="none"/>
        </w:rPr>
        <w:t>ATENTO:</w:t>
      </w:r>
      <w:r w:rsidRPr="00CC16EC">
        <w:rPr>
          <w:b w:val="0"/>
          <w:u w:val="none"/>
        </w:rPr>
        <w:t xml:space="preserve"> a lo precedentemente expuesto y a lo </w:t>
      </w:r>
      <w:r w:rsidR="001C1562">
        <w:rPr>
          <w:b w:val="0"/>
          <w:u w:val="none"/>
        </w:rPr>
        <w:t>establecido en el Artículo 211 L</w:t>
      </w:r>
      <w:r w:rsidRPr="00CC16EC">
        <w:rPr>
          <w:b w:val="0"/>
          <w:u w:val="none"/>
        </w:rPr>
        <w:t>iteral B) de la Constitución de la República;</w:t>
      </w:r>
    </w:p>
    <w:p w:rsidR="00951C80" w:rsidRDefault="00951C80" w:rsidP="00951C80">
      <w:pPr>
        <w:spacing w:line="360" w:lineRule="auto"/>
        <w:jc w:val="center"/>
        <w:rPr>
          <w:rFonts w:ascii="Arial" w:hAnsi="Arial" w:cs="Arial"/>
          <w:bCs/>
          <w:lang w:val="es-ES_tradnl"/>
        </w:rPr>
      </w:pPr>
      <w:r w:rsidRPr="006136D0">
        <w:rPr>
          <w:rFonts w:ascii="Arial" w:hAnsi="Arial" w:cs="Arial"/>
          <w:bCs/>
          <w:lang w:val="es-ES_tradnl"/>
        </w:rPr>
        <w:t>EL TRIBUNAL ACUERDA</w:t>
      </w:r>
    </w:p>
    <w:p w:rsidR="00951C80" w:rsidRPr="00951C80" w:rsidRDefault="001C1562" w:rsidP="001C1562">
      <w:pPr>
        <w:spacing w:line="360" w:lineRule="auto"/>
        <w:ind w:left="284" w:hanging="284"/>
        <w:jc w:val="both"/>
        <w:rPr>
          <w:rFonts w:ascii="Arial" w:hAnsi="Arial" w:cs="Arial"/>
          <w:b w:val="0"/>
          <w:bCs/>
        </w:rPr>
      </w:pPr>
      <w:r>
        <w:rPr>
          <w:rFonts w:ascii="Arial" w:hAnsi="Arial" w:cs="Arial"/>
          <w:bCs/>
        </w:rPr>
        <w:t xml:space="preserve">1) </w:t>
      </w:r>
      <w:r w:rsidR="00951C80" w:rsidRPr="00951C80">
        <w:rPr>
          <w:rFonts w:ascii="Arial" w:hAnsi="Arial" w:cs="Arial"/>
          <w:b w:val="0"/>
          <w:bCs/>
        </w:rPr>
        <w:t>Dictada la Resolución definitiva por el Ordenador competente, abiertos los créditos y compromet</w:t>
      </w:r>
      <w:r>
        <w:rPr>
          <w:rFonts w:ascii="Arial" w:hAnsi="Arial" w:cs="Arial"/>
          <w:b w:val="0"/>
          <w:bCs/>
        </w:rPr>
        <w:t>ido el gasto para los próximos Ejercicios, de acuerdo con lo establecido por el A</w:t>
      </w:r>
      <w:r w:rsidR="00951C80" w:rsidRPr="00951C80">
        <w:rPr>
          <w:rFonts w:ascii="Arial" w:hAnsi="Arial" w:cs="Arial"/>
          <w:b w:val="0"/>
          <w:bCs/>
        </w:rPr>
        <w:t>rtículo 18 del TOCAF, cométese a la Contadora Auditora en dicha Secretaría de Estado la intervención del gasto de cada año:</w:t>
      </w:r>
      <w:r w:rsidR="00141959">
        <w:rPr>
          <w:rFonts w:ascii="Arial" w:hAnsi="Arial" w:cs="Arial"/>
          <w:b w:val="0"/>
          <w:bCs/>
        </w:rPr>
        <w:t xml:space="preserve"> </w:t>
      </w:r>
      <w:r w:rsidR="00141959">
        <w:rPr>
          <w:rFonts w:ascii="Arial" w:hAnsi="Arial" w:cs="Arial"/>
          <w:b w:val="0"/>
          <w:lang w:val="es-ES_tradnl"/>
        </w:rPr>
        <w:t>Ejercicio 2018: $ 1:880.114 y Ejercicio 2019: $ 26:292.687</w:t>
      </w:r>
      <w:r>
        <w:rPr>
          <w:rFonts w:ascii="Arial" w:hAnsi="Arial" w:cs="Arial"/>
          <w:b w:val="0"/>
          <w:bCs/>
        </w:rPr>
        <w:t>;</w:t>
      </w:r>
      <w:r w:rsidR="00951C80" w:rsidRPr="00951C80">
        <w:rPr>
          <w:rFonts w:ascii="Arial" w:hAnsi="Arial" w:cs="Arial"/>
          <w:b w:val="0"/>
          <w:bCs/>
        </w:rPr>
        <w:t xml:space="preserve"> </w:t>
      </w:r>
    </w:p>
    <w:p w:rsidR="00951C80" w:rsidRPr="00951C80" w:rsidRDefault="001C1562" w:rsidP="001C1562">
      <w:pPr>
        <w:spacing w:line="360" w:lineRule="auto"/>
        <w:ind w:left="284" w:hanging="284"/>
        <w:jc w:val="both"/>
        <w:rPr>
          <w:rFonts w:ascii="Arial" w:hAnsi="Arial" w:cs="Arial"/>
          <w:b w:val="0"/>
          <w:bCs/>
        </w:rPr>
      </w:pPr>
      <w:r>
        <w:rPr>
          <w:rFonts w:ascii="Arial" w:hAnsi="Arial" w:cs="Arial"/>
          <w:bCs/>
        </w:rPr>
        <w:t xml:space="preserve">2) </w:t>
      </w:r>
      <w:proofErr w:type="spellStart"/>
      <w:r w:rsidR="00951C80" w:rsidRPr="00951C80">
        <w:rPr>
          <w:rFonts w:ascii="Arial" w:hAnsi="Arial" w:cs="Arial"/>
          <w:b w:val="0"/>
          <w:bCs/>
        </w:rPr>
        <w:t>Cométese</w:t>
      </w:r>
      <w:proofErr w:type="spellEnd"/>
      <w:r w:rsidR="00951C80" w:rsidRPr="00951C80">
        <w:rPr>
          <w:rFonts w:ascii="Arial" w:hAnsi="Arial" w:cs="Arial"/>
          <w:b w:val="0"/>
          <w:bCs/>
        </w:rPr>
        <w:t xml:space="preserve"> asimismo, a la Contadora Auditora la intervención de las eventuales reprogramaciones que determinen que el desembolso se realice fuera del plazo previsto de 201</w:t>
      </w:r>
      <w:r w:rsidR="00141959">
        <w:rPr>
          <w:rFonts w:ascii="Arial" w:hAnsi="Arial" w:cs="Arial"/>
          <w:b w:val="0"/>
          <w:bCs/>
        </w:rPr>
        <w:t>8 - 2019</w:t>
      </w:r>
      <w:r w:rsidR="00951C80" w:rsidRPr="00951C80">
        <w:rPr>
          <w:rFonts w:ascii="Arial" w:hAnsi="Arial" w:cs="Arial"/>
          <w:b w:val="0"/>
          <w:bCs/>
        </w:rPr>
        <w:t xml:space="preserve">, previo control </w:t>
      </w:r>
      <w:r w:rsidR="001D505C">
        <w:rPr>
          <w:rFonts w:ascii="Arial" w:hAnsi="Arial" w:cs="Arial"/>
          <w:b w:val="0"/>
          <w:bCs/>
        </w:rPr>
        <w:t xml:space="preserve"> de </w:t>
      </w:r>
      <w:r w:rsidR="00951C80" w:rsidRPr="00951C80">
        <w:rPr>
          <w:rFonts w:ascii="Arial" w:hAnsi="Arial" w:cs="Arial"/>
          <w:b w:val="0"/>
          <w:bCs/>
        </w:rPr>
        <w:t>la Constancia de Afectación de Crédito emitida por la Dirección Nacional de Vivienda (Resultando</w:t>
      </w:r>
      <w:r w:rsidR="00141959">
        <w:rPr>
          <w:rFonts w:ascii="Arial" w:hAnsi="Arial" w:cs="Arial"/>
          <w:b w:val="0"/>
          <w:bCs/>
        </w:rPr>
        <w:t xml:space="preserve"> 3.</w:t>
      </w:r>
      <w:r w:rsidR="00951C80" w:rsidRPr="00951C80">
        <w:rPr>
          <w:rFonts w:ascii="Arial" w:hAnsi="Arial" w:cs="Arial"/>
          <w:b w:val="0"/>
          <w:bCs/>
        </w:rPr>
        <w:t xml:space="preserve">5) y de su imputación en el </w:t>
      </w:r>
      <w:r w:rsidR="00141959">
        <w:rPr>
          <w:rFonts w:ascii="Arial" w:hAnsi="Arial" w:cs="Arial"/>
          <w:b w:val="0"/>
          <w:bCs/>
        </w:rPr>
        <w:t>G</w:t>
      </w:r>
      <w:r w:rsidR="00951C80" w:rsidRPr="00951C80">
        <w:rPr>
          <w:rFonts w:ascii="Arial" w:hAnsi="Arial" w:cs="Arial"/>
          <w:b w:val="0"/>
          <w:bCs/>
        </w:rPr>
        <w:t>rupo adecuad</w:t>
      </w:r>
      <w:r>
        <w:rPr>
          <w:rFonts w:ascii="Arial" w:hAnsi="Arial" w:cs="Arial"/>
          <w:b w:val="0"/>
          <w:bCs/>
        </w:rPr>
        <w:t>o con disponibilidad suficiente;</w:t>
      </w:r>
    </w:p>
    <w:p w:rsidR="00951C80" w:rsidRPr="00951C80" w:rsidRDefault="001C1562" w:rsidP="001C1562">
      <w:pPr>
        <w:spacing w:line="360" w:lineRule="auto"/>
        <w:ind w:left="284" w:hanging="284"/>
        <w:jc w:val="both"/>
        <w:rPr>
          <w:rFonts w:ascii="Arial" w:hAnsi="Arial" w:cs="Arial"/>
          <w:b w:val="0"/>
          <w:bCs/>
        </w:rPr>
      </w:pPr>
      <w:r>
        <w:rPr>
          <w:rFonts w:ascii="Arial" w:hAnsi="Arial" w:cs="Arial"/>
          <w:bCs/>
        </w:rPr>
        <w:t xml:space="preserve">3) </w:t>
      </w:r>
      <w:r w:rsidR="00951C80" w:rsidRPr="00951C80">
        <w:rPr>
          <w:rFonts w:ascii="Arial" w:hAnsi="Arial" w:cs="Arial"/>
          <w:b w:val="0"/>
          <w:bCs/>
        </w:rPr>
        <w:t xml:space="preserve">Por último, </w:t>
      </w:r>
      <w:proofErr w:type="spellStart"/>
      <w:r w:rsidR="00951C80" w:rsidRPr="00951C80">
        <w:rPr>
          <w:rFonts w:ascii="Arial" w:hAnsi="Arial" w:cs="Arial"/>
          <w:b w:val="0"/>
          <w:bCs/>
        </w:rPr>
        <w:t>cométese</w:t>
      </w:r>
      <w:proofErr w:type="spellEnd"/>
      <w:r w:rsidR="00951C80" w:rsidRPr="00951C80">
        <w:rPr>
          <w:rFonts w:ascii="Arial" w:hAnsi="Arial" w:cs="Arial"/>
          <w:b w:val="0"/>
          <w:bCs/>
        </w:rPr>
        <w:t xml:space="preserve"> a la Contadora Auditora la verificación de que la Resolución definitiva concuerde con las condiciones de contratación sometidas a este Tribunal (Artículo 8 de la Ordenanza del Tribunal de Cuentas de fecha 22.05.1958 en la redacción sustitutiva dispuest</w:t>
      </w:r>
      <w:r>
        <w:rPr>
          <w:rFonts w:ascii="Arial" w:hAnsi="Arial" w:cs="Arial"/>
          <w:b w:val="0"/>
          <w:bCs/>
        </w:rPr>
        <w:t>a por Resolución de 16.06.2010);</w:t>
      </w:r>
    </w:p>
    <w:p w:rsidR="00951C80" w:rsidRPr="00951C80" w:rsidRDefault="001C1562" w:rsidP="001C1562">
      <w:pPr>
        <w:spacing w:line="360" w:lineRule="auto"/>
        <w:jc w:val="both"/>
        <w:rPr>
          <w:rFonts w:ascii="Arial" w:hAnsi="Arial" w:cs="Arial"/>
          <w:b w:val="0"/>
          <w:bCs/>
        </w:rPr>
      </w:pPr>
      <w:r>
        <w:rPr>
          <w:rFonts w:ascii="Arial" w:hAnsi="Arial" w:cs="Arial"/>
          <w:bCs/>
        </w:rPr>
        <w:t xml:space="preserve">4) </w:t>
      </w:r>
      <w:r w:rsidR="00951C80" w:rsidRPr="00951C80">
        <w:rPr>
          <w:rFonts w:ascii="Arial" w:hAnsi="Arial" w:cs="Arial"/>
          <w:b w:val="0"/>
          <w:bCs/>
        </w:rPr>
        <w:t>Comu</w:t>
      </w:r>
      <w:r>
        <w:rPr>
          <w:rFonts w:ascii="Arial" w:hAnsi="Arial" w:cs="Arial"/>
          <w:b w:val="0"/>
          <w:bCs/>
        </w:rPr>
        <w:t>níquese a la Contadora Auditora;</w:t>
      </w:r>
    </w:p>
    <w:p w:rsidR="00951C80" w:rsidRDefault="001C1562" w:rsidP="001C1562">
      <w:pPr>
        <w:spacing w:line="360" w:lineRule="auto"/>
        <w:jc w:val="both"/>
        <w:rPr>
          <w:rFonts w:ascii="Arial" w:hAnsi="Arial" w:cs="Arial"/>
          <w:b w:val="0"/>
          <w:bCs/>
        </w:rPr>
      </w:pPr>
      <w:r>
        <w:rPr>
          <w:rFonts w:ascii="Arial" w:hAnsi="Arial" w:cs="Arial"/>
          <w:bCs/>
        </w:rPr>
        <w:t xml:space="preserve">5) </w:t>
      </w:r>
      <w:r w:rsidR="00951C80" w:rsidRPr="00951C80">
        <w:rPr>
          <w:rFonts w:ascii="Arial" w:hAnsi="Arial" w:cs="Arial"/>
          <w:b w:val="0"/>
          <w:bCs/>
        </w:rPr>
        <w:t>Devuélvase.</w:t>
      </w:r>
    </w:p>
    <w:p w:rsidR="001C1562" w:rsidRDefault="001C1562" w:rsidP="001C1562">
      <w:pPr>
        <w:spacing w:line="360" w:lineRule="auto"/>
        <w:jc w:val="both"/>
        <w:rPr>
          <w:rFonts w:ascii="Arial" w:hAnsi="Arial" w:cs="Arial"/>
          <w:b w:val="0"/>
          <w:bCs/>
        </w:rPr>
      </w:pPr>
    </w:p>
    <w:p w:rsidR="001C1562" w:rsidRDefault="001C1562" w:rsidP="001C1562">
      <w:pPr>
        <w:spacing w:line="360" w:lineRule="auto"/>
        <w:jc w:val="both"/>
        <w:rPr>
          <w:rFonts w:ascii="Arial" w:hAnsi="Arial" w:cs="Arial"/>
          <w:b w:val="0"/>
          <w:bCs/>
        </w:rPr>
      </w:pPr>
    </w:p>
    <w:p w:rsidR="001C1562" w:rsidRDefault="001C1562" w:rsidP="001C1562">
      <w:pPr>
        <w:spacing w:line="360" w:lineRule="auto"/>
        <w:jc w:val="both"/>
        <w:rPr>
          <w:rFonts w:ascii="Arial" w:hAnsi="Arial" w:cs="Arial"/>
          <w:b w:val="0"/>
          <w:bCs/>
        </w:rPr>
      </w:pPr>
    </w:p>
    <w:p w:rsidR="001C1562" w:rsidRDefault="001C1562" w:rsidP="001C1562">
      <w:pPr>
        <w:spacing w:line="360" w:lineRule="auto"/>
        <w:jc w:val="both"/>
        <w:rPr>
          <w:rFonts w:ascii="Arial" w:hAnsi="Arial" w:cs="Arial"/>
          <w:b w:val="0"/>
          <w:bCs/>
        </w:rPr>
      </w:pPr>
    </w:p>
    <w:p w:rsidR="001C1562" w:rsidRDefault="001C1562" w:rsidP="001C1562">
      <w:pPr>
        <w:spacing w:line="360" w:lineRule="auto"/>
        <w:jc w:val="both"/>
        <w:rPr>
          <w:rFonts w:ascii="Arial" w:hAnsi="Arial" w:cs="Arial"/>
          <w:b w:val="0"/>
          <w:bCs/>
        </w:rPr>
      </w:pPr>
    </w:p>
    <w:p w:rsidR="001C1562" w:rsidRDefault="001C1562" w:rsidP="001C1562">
      <w:pPr>
        <w:spacing w:line="360" w:lineRule="auto"/>
        <w:ind w:hanging="426"/>
        <w:jc w:val="both"/>
        <w:rPr>
          <w:rFonts w:ascii="Arial" w:hAnsi="Arial" w:cs="Arial"/>
          <w:b w:val="0"/>
          <w:bCs/>
        </w:rPr>
      </w:pPr>
      <w:proofErr w:type="gramStart"/>
      <w:r>
        <w:rPr>
          <w:rFonts w:ascii="Arial" w:hAnsi="Arial" w:cs="Arial"/>
          <w:b w:val="0"/>
          <w:bCs/>
        </w:rPr>
        <w:t>dc</w:t>
      </w:r>
      <w:proofErr w:type="gramEnd"/>
    </w:p>
    <w:p w:rsidR="001C1562" w:rsidRDefault="001C1562" w:rsidP="001C1562">
      <w:pPr>
        <w:spacing w:line="360" w:lineRule="auto"/>
        <w:jc w:val="both"/>
        <w:rPr>
          <w:rFonts w:ascii="Arial" w:hAnsi="Arial" w:cs="Arial"/>
          <w:b w:val="0"/>
          <w:bCs/>
        </w:rPr>
      </w:pPr>
    </w:p>
    <w:p w:rsidR="001C1562" w:rsidRDefault="001C1562" w:rsidP="001C1562">
      <w:pPr>
        <w:spacing w:line="360" w:lineRule="auto"/>
        <w:jc w:val="both"/>
        <w:rPr>
          <w:rFonts w:ascii="Arial" w:hAnsi="Arial" w:cs="Arial"/>
          <w:b w:val="0"/>
          <w:bCs/>
        </w:rPr>
      </w:pPr>
    </w:p>
    <w:p w:rsidR="001C1562" w:rsidRDefault="001C1562" w:rsidP="001C1562">
      <w:pPr>
        <w:spacing w:line="360" w:lineRule="auto"/>
        <w:jc w:val="both"/>
        <w:rPr>
          <w:rFonts w:ascii="Arial" w:hAnsi="Arial" w:cs="Arial"/>
          <w:b w:val="0"/>
          <w:bCs/>
        </w:rPr>
      </w:pPr>
    </w:p>
    <w:p w:rsidR="001C1562" w:rsidRDefault="001C1562" w:rsidP="001C1562">
      <w:pPr>
        <w:spacing w:line="360" w:lineRule="auto"/>
        <w:jc w:val="both"/>
        <w:rPr>
          <w:rFonts w:ascii="Arial" w:hAnsi="Arial" w:cs="Arial"/>
          <w:b w:val="0"/>
          <w:bCs/>
        </w:rPr>
      </w:pPr>
    </w:p>
    <w:p w:rsidR="001C1562" w:rsidRDefault="001C1562" w:rsidP="001C1562">
      <w:pPr>
        <w:spacing w:line="360" w:lineRule="auto"/>
        <w:jc w:val="both"/>
        <w:rPr>
          <w:rFonts w:ascii="Arial" w:hAnsi="Arial" w:cs="Arial"/>
          <w:b w:val="0"/>
          <w:bCs/>
        </w:rPr>
      </w:pPr>
    </w:p>
    <w:p w:rsidR="001C1562" w:rsidRPr="00951C80" w:rsidRDefault="001C1562" w:rsidP="001C1562">
      <w:pPr>
        <w:spacing w:line="360" w:lineRule="auto"/>
        <w:jc w:val="both"/>
        <w:rPr>
          <w:rFonts w:ascii="Arial" w:hAnsi="Arial" w:cs="Arial"/>
          <w:b w:val="0"/>
          <w:bCs/>
        </w:rPr>
      </w:pPr>
    </w:p>
    <w:sectPr w:rsidR="001C1562" w:rsidRPr="00951C80" w:rsidSect="001B67D7">
      <w:footerReference w:type="default" r:id="rId8"/>
      <w:pgSz w:w="11906" w:h="16838" w:code="9"/>
      <w:pgMar w:top="3119" w:right="1701" w:bottom="1701" w:left="1701" w:header="709" w:footer="709" w:gutter="0"/>
      <w:paperSrc w:first="260" w:other="2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5A1" w:rsidRDefault="00ED75A1" w:rsidP="00ED75A1">
      <w:r>
        <w:separator/>
      </w:r>
    </w:p>
  </w:endnote>
  <w:endnote w:type="continuationSeparator" w:id="0">
    <w:p w:rsidR="00ED75A1" w:rsidRDefault="00ED75A1" w:rsidP="00ED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othicPS">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30922"/>
      <w:docPartObj>
        <w:docPartGallery w:val="Page Numbers (Bottom of Page)"/>
        <w:docPartUnique/>
      </w:docPartObj>
    </w:sdtPr>
    <w:sdtEndPr/>
    <w:sdtContent>
      <w:p w:rsidR="00ED75A1" w:rsidRDefault="00ED75A1">
        <w:pPr>
          <w:pStyle w:val="Piedepgina"/>
          <w:jc w:val="center"/>
        </w:pPr>
        <w:r>
          <w:fldChar w:fldCharType="begin"/>
        </w:r>
        <w:r>
          <w:instrText>PAGE   \* MERGEFORMAT</w:instrText>
        </w:r>
        <w:r>
          <w:fldChar w:fldCharType="separate"/>
        </w:r>
        <w:r w:rsidR="001B67D7">
          <w:rPr>
            <w:noProof/>
          </w:rPr>
          <w:t>3</w:t>
        </w:r>
        <w:r>
          <w:fldChar w:fldCharType="end"/>
        </w:r>
      </w:p>
    </w:sdtContent>
  </w:sdt>
  <w:p w:rsidR="00ED75A1" w:rsidRDefault="00ED75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5A1" w:rsidRDefault="00ED75A1" w:rsidP="00ED75A1">
      <w:r>
        <w:separator/>
      </w:r>
    </w:p>
  </w:footnote>
  <w:footnote w:type="continuationSeparator" w:id="0">
    <w:p w:rsidR="00ED75A1" w:rsidRDefault="00ED75A1" w:rsidP="00ED75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E43C0"/>
    <w:multiLevelType w:val="hybridMultilevel"/>
    <w:tmpl w:val="793450BE"/>
    <w:lvl w:ilvl="0" w:tplc="21B0A4FE">
      <w:start w:val="1"/>
      <w:numFmt w:val="upperRoman"/>
      <w:pStyle w:val="Ttulo8"/>
      <w:lvlText w:val="%1."/>
      <w:lvlJc w:val="left"/>
      <w:pPr>
        <w:tabs>
          <w:tab w:val="num" w:pos="1080"/>
        </w:tabs>
        <w:ind w:left="1080" w:hanging="72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46CD7A74"/>
    <w:multiLevelType w:val="hybridMultilevel"/>
    <w:tmpl w:val="49A6CF3E"/>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num>
  <w:num w:numId="5">
    <w:abstractNumId w:val="1"/>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D03"/>
    <w:rsid w:val="000702BB"/>
    <w:rsid w:val="000C7994"/>
    <w:rsid w:val="000D5384"/>
    <w:rsid w:val="00141959"/>
    <w:rsid w:val="00155099"/>
    <w:rsid w:val="001A24BB"/>
    <w:rsid w:val="001B67D7"/>
    <w:rsid w:val="001C1562"/>
    <w:rsid w:val="001C657F"/>
    <w:rsid w:val="001D505C"/>
    <w:rsid w:val="002213B6"/>
    <w:rsid w:val="00300CCD"/>
    <w:rsid w:val="00345B27"/>
    <w:rsid w:val="0039731C"/>
    <w:rsid w:val="003E78CC"/>
    <w:rsid w:val="004107FF"/>
    <w:rsid w:val="004B672F"/>
    <w:rsid w:val="00590DB1"/>
    <w:rsid w:val="00596AB6"/>
    <w:rsid w:val="005A5D45"/>
    <w:rsid w:val="006136D0"/>
    <w:rsid w:val="006F6667"/>
    <w:rsid w:val="0070195F"/>
    <w:rsid w:val="00741B79"/>
    <w:rsid w:val="00745BB5"/>
    <w:rsid w:val="007519E1"/>
    <w:rsid w:val="00752F2F"/>
    <w:rsid w:val="007F5E7B"/>
    <w:rsid w:val="008050CD"/>
    <w:rsid w:val="00805598"/>
    <w:rsid w:val="00894604"/>
    <w:rsid w:val="008A1717"/>
    <w:rsid w:val="009169B3"/>
    <w:rsid w:val="0092448C"/>
    <w:rsid w:val="009307F0"/>
    <w:rsid w:val="00933F8B"/>
    <w:rsid w:val="00937686"/>
    <w:rsid w:val="00951C80"/>
    <w:rsid w:val="00962A98"/>
    <w:rsid w:val="009B1D03"/>
    <w:rsid w:val="00A31FEC"/>
    <w:rsid w:val="00A65410"/>
    <w:rsid w:val="00B307BD"/>
    <w:rsid w:val="00B8510C"/>
    <w:rsid w:val="00BB5AE2"/>
    <w:rsid w:val="00C0421A"/>
    <w:rsid w:val="00C707C0"/>
    <w:rsid w:val="00CF2914"/>
    <w:rsid w:val="00D1332E"/>
    <w:rsid w:val="00DB5F92"/>
    <w:rsid w:val="00DD7DC4"/>
    <w:rsid w:val="00E060DE"/>
    <w:rsid w:val="00EC468C"/>
    <w:rsid w:val="00ED75A1"/>
    <w:rsid w:val="00F04E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D03"/>
    <w:pPr>
      <w:spacing w:after="0" w:line="240" w:lineRule="auto"/>
    </w:pPr>
    <w:rPr>
      <w:rFonts w:ascii="GothicPS" w:eastAsia="Times New Roman" w:hAnsi="GothicPS" w:cs="Times New Roman"/>
      <w:b/>
      <w:color w:val="000000"/>
      <w:sz w:val="24"/>
      <w:szCs w:val="20"/>
      <w:lang w:eastAsia="es-ES"/>
    </w:rPr>
  </w:style>
  <w:style w:type="paragraph" w:styleId="Ttulo1">
    <w:name w:val="heading 1"/>
    <w:basedOn w:val="Normal"/>
    <w:next w:val="Normal"/>
    <w:link w:val="Ttulo1Car"/>
    <w:uiPriority w:val="9"/>
    <w:qFormat/>
    <w:rsid w:val="00DB5F92"/>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Ttulo2">
    <w:name w:val="heading 2"/>
    <w:basedOn w:val="Normal"/>
    <w:next w:val="Normal"/>
    <w:link w:val="Ttulo2Car"/>
    <w:semiHidden/>
    <w:unhideWhenUsed/>
    <w:qFormat/>
    <w:rsid w:val="009B1D03"/>
    <w:pPr>
      <w:keepNext/>
      <w:jc w:val="center"/>
      <w:outlineLvl w:val="1"/>
    </w:pPr>
    <w:rPr>
      <w:rFonts w:ascii="Arial" w:hAnsi="Arial" w:cs="Arial"/>
      <w:lang w:val="es-ES_tradnl"/>
    </w:rPr>
  </w:style>
  <w:style w:type="paragraph" w:styleId="Ttulo7">
    <w:name w:val="heading 7"/>
    <w:basedOn w:val="Normal"/>
    <w:next w:val="Normal"/>
    <w:link w:val="Ttulo7Car"/>
    <w:semiHidden/>
    <w:unhideWhenUsed/>
    <w:qFormat/>
    <w:rsid w:val="009B1D03"/>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link w:val="Ttulo8Car"/>
    <w:unhideWhenUsed/>
    <w:qFormat/>
    <w:rsid w:val="009B1D03"/>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9B1D03"/>
    <w:rPr>
      <w:rFonts w:ascii="Arial" w:eastAsia="Times New Roman" w:hAnsi="Arial" w:cs="Arial"/>
      <w:b/>
      <w:color w:val="000000"/>
      <w:sz w:val="24"/>
      <w:szCs w:val="20"/>
      <w:lang w:val="es-ES_tradnl" w:eastAsia="es-ES"/>
    </w:rPr>
  </w:style>
  <w:style w:type="character" w:customStyle="1" w:styleId="Ttulo7Car">
    <w:name w:val="Título 7 Car"/>
    <w:basedOn w:val="Fuentedeprrafopredeter"/>
    <w:link w:val="Ttulo7"/>
    <w:semiHidden/>
    <w:rsid w:val="009B1D03"/>
    <w:rPr>
      <w:rFonts w:ascii="Arial" w:eastAsia="Times New Roman" w:hAnsi="Arial" w:cs="Arial"/>
      <w:b/>
      <w:color w:val="000000"/>
      <w:sz w:val="24"/>
      <w:szCs w:val="20"/>
      <w:lang w:val="es-ES_tradnl" w:eastAsia="es-ES"/>
    </w:rPr>
  </w:style>
  <w:style w:type="character" w:customStyle="1" w:styleId="Ttulo8Car">
    <w:name w:val="Título 8 Car"/>
    <w:basedOn w:val="Fuentedeprrafopredeter"/>
    <w:link w:val="Ttulo8"/>
    <w:rsid w:val="009B1D03"/>
    <w:rPr>
      <w:rFonts w:ascii="Arial" w:eastAsia="Times New Roman" w:hAnsi="Arial" w:cs="Arial"/>
      <w:b/>
      <w:color w:val="000000"/>
      <w:sz w:val="24"/>
      <w:szCs w:val="20"/>
      <w:lang w:val="es-ES_tradnl" w:eastAsia="es-ES"/>
    </w:rPr>
  </w:style>
  <w:style w:type="paragraph" w:styleId="Ttulo">
    <w:name w:val="Title"/>
    <w:basedOn w:val="Normal"/>
    <w:link w:val="TtuloCar"/>
    <w:qFormat/>
    <w:rsid w:val="009B1D03"/>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9B1D03"/>
    <w:rPr>
      <w:rFonts w:ascii="Arial" w:eastAsia="Times New Roman" w:hAnsi="Arial" w:cs="Times New Roman"/>
      <w:b/>
      <w:sz w:val="24"/>
      <w:szCs w:val="24"/>
      <w:u w:val="single"/>
      <w:lang w:val="es-UY" w:eastAsia="es-ES"/>
    </w:rPr>
  </w:style>
  <w:style w:type="paragraph" w:styleId="Textoindependiente2">
    <w:name w:val="Body Text 2"/>
    <w:basedOn w:val="Normal"/>
    <w:link w:val="Textoindependiente2Car"/>
    <w:unhideWhenUsed/>
    <w:rsid w:val="009B1D03"/>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rsid w:val="009B1D03"/>
    <w:rPr>
      <w:rFonts w:ascii="Arial" w:eastAsia="Times New Roman" w:hAnsi="Arial" w:cs="Arial"/>
      <w:bCs/>
      <w:color w:val="000000"/>
      <w:sz w:val="24"/>
      <w:szCs w:val="20"/>
      <w:lang w:val="es-ES_tradnl" w:eastAsia="es-ES"/>
    </w:rPr>
  </w:style>
  <w:style w:type="paragraph" w:styleId="Prrafodelista">
    <w:name w:val="List Paragraph"/>
    <w:basedOn w:val="Normal"/>
    <w:uiPriority w:val="34"/>
    <w:qFormat/>
    <w:rsid w:val="009B1D03"/>
    <w:pPr>
      <w:ind w:left="708"/>
    </w:pPr>
  </w:style>
  <w:style w:type="character" w:customStyle="1" w:styleId="Ttulo1Car">
    <w:name w:val="Título 1 Car"/>
    <w:basedOn w:val="Fuentedeprrafopredeter"/>
    <w:link w:val="Ttulo1"/>
    <w:uiPriority w:val="9"/>
    <w:rsid w:val="00DB5F92"/>
    <w:rPr>
      <w:rFonts w:asciiTheme="majorHAnsi" w:eastAsiaTheme="majorEastAsia" w:hAnsiTheme="majorHAnsi" w:cstheme="majorBidi"/>
      <w:bCs/>
      <w:color w:val="365F91" w:themeColor="accent1" w:themeShade="BF"/>
      <w:sz w:val="28"/>
      <w:szCs w:val="28"/>
      <w:lang w:eastAsia="es-ES"/>
    </w:rPr>
  </w:style>
  <w:style w:type="paragraph" w:styleId="Encabezado">
    <w:name w:val="header"/>
    <w:basedOn w:val="Normal"/>
    <w:link w:val="EncabezadoCar"/>
    <w:uiPriority w:val="99"/>
    <w:unhideWhenUsed/>
    <w:rsid w:val="00ED75A1"/>
    <w:pPr>
      <w:tabs>
        <w:tab w:val="center" w:pos="4252"/>
        <w:tab w:val="right" w:pos="8504"/>
      </w:tabs>
    </w:pPr>
  </w:style>
  <w:style w:type="character" w:customStyle="1" w:styleId="EncabezadoCar">
    <w:name w:val="Encabezado Car"/>
    <w:basedOn w:val="Fuentedeprrafopredeter"/>
    <w:link w:val="Encabezado"/>
    <w:uiPriority w:val="99"/>
    <w:rsid w:val="00ED75A1"/>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ED75A1"/>
    <w:pPr>
      <w:tabs>
        <w:tab w:val="center" w:pos="4252"/>
        <w:tab w:val="right" w:pos="8504"/>
      </w:tabs>
    </w:pPr>
  </w:style>
  <w:style w:type="character" w:customStyle="1" w:styleId="PiedepginaCar">
    <w:name w:val="Pie de página Car"/>
    <w:basedOn w:val="Fuentedeprrafopredeter"/>
    <w:link w:val="Piedepgina"/>
    <w:uiPriority w:val="99"/>
    <w:rsid w:val="00ED75A1"/>
    <w:rPr>
      <w:rFonts w:ascii="GothicPS" w:eastAsia="Times New Roman" w:hAnsi="GothicPS" w:cs="Times New Roman"/>
      <w:b/>
      <w:color w:val="000000"/>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D03"/>
    <w:pPr>
      <w:spacing w:after="0" w:line="240" w:lineRule="auto"/>
    </w:pPr>
    <w:rPr>
      <w:rFonts w:ascii="GothicPS" w:eastAsia="Times New Roman" w:hAnsi="GothicPS" w:cs="Times New Roman"/>
      <w:b/>
      <w:color w:val="000000"/>
      <w:sz w:val="24"/>
      <w:szCs w:val="20"/>
      <w:lang w:eastAsia="es-ES"/>
    </w:rPr>
  </w:style>
  <w:style w:type="paragraph" w:styleId="Ttulo1">
    <w:name w:val="heading 1"/>
    <w:basedOn w:val="Normal"/>
    <w:next w:val="Normal"/>
    <w:link w:val="Ttulo1Car"/>
    <w:uiPriority w:val="9"/>
    <w:qFormat/>
    <w:rsid w:val="00DB5F92"/>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Ttulo2">
    <w:name w:val="heading 2"/>
    <w:basedOn w:val="Normal"/>
    <w:next w:val="Normal"/>
    <w:link w:val="Ttulo2Car"/>
    <w:semiHidden/>
    <w:unhideWhenUsed/>
    <w:qFormat/>
    <w:rsid w:val="009B1D03"/>
    <w:pPr>
      <w:keepNext/>
      <w:jc w:val="center"/>
      <w:outlineLvl w:val="1"/>
    </w:pPr>
    <w:rPr>
      <w:rFonts w:ascii="Arial" w:hAnsi="Arial" w:cs="Arial"/>
      <w:lang w:val="es-ES_tradnl"/>
    </w:rPr>
  </w:style>
  <w:style w:type="paragraph" w:styleId="Ttulo7">
    <w:name w:val="heading 7"/>
    <w:basedOn w:val="Normal"/>
    <w:next w:val="Normal"/>
    <w:link w:val="Ttulo7Car"/>
    <w:semiHidden/>
    <w:unhideWhenUsed/>
    <w:qFormat/>
    <w:rsid w:val="009B1D03"/>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link w:val="Ttulo8Car"/>
    <w:unhideWhenUsed/>
    <w:qFormat/>
    <w:rsid w:val="009B1D03"/>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9B1D03"/>
    <w:rPr>
      <w:rFonts w:ascii="Arial" w:eastAsia="Times New Roman" w:hAnsi="Arial" w:cs="Arial"/>
      <w:b/>
      <w:color w:val="000000"/>
      <w:sz w:val="24"/>
      <w:szCs w:val="20"/>
      <w:lang w:val="es-ES_tradnl" w:eastAsia="es-ES"/>
    </w:rPr>
  </w:style>
  <w:style w:type="character" w:customStyle="1" w:styleId="Ttulo7Car">
    <w:name w:val="Título 7 Car"/>
    <w:basedOn w:val="Fuentedeprrafopredeter"/>
    <w:link w:val="Ttulo7"/>
    <w:semiHidden/>
    <w:rsid w:val="009B1D03"/>
    <w:rPr>
      <w:rFonts w:ascii="Arial" w:eastAsia="Times New Roman" w:hAnsi="Arial" w:cs="Arial"/>
      <w:b/>
      <w:color w:val="000000"/>
      <w:sz w:val="24"/>
      <w:szCs w:val="20"/>
      <w:lang w:val="es-ES_tradnl" w:eastAsia="es-ES"/>
    </w:rPr>
  </w:style>
  <w:style w:type="character" w:customStyle="1" w:styleId="Ttulo8Car">
    <w:name w:val="Título 8 Car"/>
    <w:basedOn w:val="Fuentedeprrafopredeter"/>
    <w:link w:val="Ttulo8"/>
    <w:rsid w:val="009B1D03"/>
    <w:rPr>
      <w:rFonts w:ascii="Arial" w:eastAsia="Times New Roman" w:hAnsi="Arial" w:cs="Arial"/>
      <w:b/>
      <w:color w:val="000000"/>
      <w:sz w:val="24"/>
      <w:szCs w:val="20"/>
      <w:lang w:val="es-ES_tradnl" w:eastAsia="es-ES"/>
    </w:rPr>
  </w:style>
  <w:style w:type="paragraph" w:styleId="Ttulo">
    <w:name w:val="Title"/>
    <w:basedOn w:val="Normal"/>
    <w:link w:val="TtuloCar"/>
    <w:qFormat/>
    <w:rsid w:val="009B1D03"/>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9B1D03"/>
    <w:rPr>
      <w:rFonts w:ascii="Arial" w:eastAsia="Times New Roman" w:hAnsi="Arial" w:cs="Times New Roman"/>
      <w:b/>
      <w:sz w:val="24"/>
      <w:szCs w:val="24"/>
      <w:u w:val="single"/>
      <w:lang w:val="es-UY" w:eastAsia="es-ES"/>
    </w:rPr>
  </w:style>
  <w:style w:type="paragraph" w:styleId="Textoindependiente2">
    <w:name w:val="Body Text 2"/>
    <w:basedOn w:val="Normal"/>
    <w:link w:val="Textoindependiente2Car"/>
    <w:unhideWhenUsed/>
    <w:rsid w:val="009B1D03"/>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rsid w:val="009B1D03"/>
    <w:rPr>
      <w:rFonts w:ascii="Arial" w:eastAsia="Times New Roman" w:hAnsi="Arial" w:cs="Arial"/>
      <w:bCs/>
      <w:color w:val="000000"/>
      <w:sz w:val="24"/>
      <w:szCs w:val="20"/>
      <w:lang w:val="es-ES_tradnl" w:eastAsia="es-ES"/>
    </w:rPr>
  </w:style>
  <w:style w:type="paragraph" w:styleId="Prrafodelista">
    <w:name w:val="List Paragraph"/>
    <w:basedOn w:val="Normal"/>
    <w:uiPriority w:val="34"/>
    <w:qFormat/>
    <w:rsid w:val="009B1D03"/>
    <w:pPr>
      <w:ind w:left="708"/>
    </w:pPr>
  </w:style>
  <w:style w:type="character" w:customStyle="1" w:styleId="Ttulo1Car">
    <w:name w:val="Título 1 Car"/>
    <w:basedOn w:val="Fuentedeprrafopredeter"/>
    <w:link w:val="Ttulo1"/>
    <w:uiPriority w:val="9"/>
    <w:rsid w:val="00DB5F92"/>
    <w:rPr>
      <w:rFonts w:asciiTheme="majorHAnsi" w:eastAsiaTheme="majorEastAsia" w:hAnsiTheme="majorHAnsi" w:cstheme="majorBidi"/>
      <w:bCs/>
      <w:color w:val="365F91" w:themeColor="accent1" w:themeShade="BF"/>
      <w:sz w:val="28"/>
      <w:szCs w:val="28"/>
      <w:lang w:eastAsia="es-ES"/>
    </w:rPr>
  </w:style>
  <w:style w:type="paragraph" w:styleId="Encabezado">
    <w:name w:val="header"/>
    <w:basedOn w:val="Normal"/>
    <w:link w:val="EncabezadoCar"/>
    <w:uiPriority w:val="99"/>
    <w:unhideWhenUsed/>
    <w:rsid w:val="00ED75A1"/>
    <w:pPr>
      <w:tabs>
        <w:tab w:val="center" w:pos="4252"/>
        <w:tab w:val="right" w:pos="8504"/>
      </w:tabs>
    </w:pPr>
  </w:style>
  <w:style w:type="character" w:customStyle="1" w:styleId="EncabezadoCar">
    <w:name w:val="Encabezado Car"/>
    <w:basedOn w:val="Fuentedeprrafopredeter"/>
    <w:link w:val="Encabezado"/>
    <w:uiPriority w:val="99"/>
    <w:rsid w:val="00ED75A1"/>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ED75A1"/>
    <w:pPr>
      <w:tabs>
        <w:tab w:val="center" w:pos="4252"/>
        <w:tab w:val="right" w:pos="8504"/>
      </w:tabs>
    </w:pPr>
  </w:style>
  <w:style w:type="character" w:customStyle="1" w:styleId="PiedepginaCar">
    <w:name w:val="Pie de página Car"/>
    <w:basedOn w:val="Fuentedeprrafopredeter"/>
    <w:link w:val="Piedepgina"/>
    <w:uiPriority w:val="99"/>
    <w:rsid w:val="00ED75A1"/>
    <w:rPr>
      <w:rFonts w:ascii="GothicPS" w:eastAsia="Times New Roman" w:hAnsi="GothicPS" w:cs="Times New Roman"/>
      <w:b/>
      <w:color w:val="00000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90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915</Words>
  <Characters>5037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7</cp:revision>
  <cp:lastPrinted>2018-08-03T18:27:00Z</cp:lastPrinted>
  <dcterms:created xsi:type="dcterms:W3CDTF">2018-08-03T16:51:00Z</dcterms:created>
  <dcterms:modified xsi:type="dcterms:W3CDTF">2018-08-03T18:27:00Z</dcterms:modified>
</cp:coreProperties>
</file>