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6F1" w:rsidRDefault="001E26F1" w:rsidP="003B2FC3">
      <w:pPr>
        <w:keepNext/>
        <w:widowControl w:val="0"/>
        <w:tabs>
          <w:tab w:val="center" w:pos="4253"/>
        </w:tabs>
        <w:spacing w:after="0"/>
        <w:jc w:val="right"/>
        <w:rPr>
          <w:rFonts w:cs="Arial"/>
          <w:b/>
          <w:sz w:val="28"/>
          <w:szCs w:val="28"/>
          <w:lang w:val="es-ES_tradnl"/>
        </w:rPr>
      </w:pPr>
      <w:bookmarkStart w:id="0" w:name="_GoBack"/>
      <w:bookmarkEnd w:id="0"/>
      <w:r>
        <w:rPr>
          <w:rFonts w:cs="Arial"/>
          <w:b/>
          <w:sz w:val="28"/>
          <w:szCs w:val="28"/>
          <w:lang w:val="es-ES_tradnl"/>
        </w:rPr>
        <w:t xml:space="preserve">RES. </w:t>
      </w:r>
      <w:r w:rsidR="00FE3329">
        <w:rPr>
          <w:rFonts w:cs="Arial"/>
          <w:b/>
          <w:sz w:val="28"/>
          <w:szCs w:val="28"/>
          <w:lang w:val="es-ES_tradnl"/>
        </w:rPr>
        <w:t>2369</w:t>
      </w:r>
      <w:r>
        <w:rPr>
          <w:rFonts w:cs="Arial"/>
          <w:b/>
          <w:sz w:val="28"/>
          <w:szCs w:val="28"/>
          <w:lang w:val="es-ES_tradnl"/>
        </w:rPr>
        <w:t>/18</w:t>
      </w:r>
    </w:p>
    <w:p w:rsidR="003B2FC3" w:rsidRPr="00C61614" w:rsidRDefault="003B2FC3" w:rsidP="003B2FC3">
      <w:pPr>
        <w:keepNext/>
        <w:widowControl w:val="0"/>
        <w:tabs>
          <w:tab w:val="center" w:pos="4253"/>
        </w:tabs>
        <w:spacing w:after="0"/>
        <w:jc w:val="right"/>
        <w:rPr>
          <w:rFonts w:cs="Arial"/>
          <w:b/>
          <w:sz w:val="28"/>
          <w:szCs w:val="28"/>
          <w:lang w:val="es-ES_tradnl"/>
        </w:rPr>
      </w:pPr>
    </w:p>
    <w:p w:rsidR="001E26F1" w:rsidRDefault="001E26F1" w:rsidP="003B2FC3">
      <w:pPr>
        <w:keepNext/>
        <w:widowControl w:val="0"/>
        <w:tabs>
          <w:tab w:val="center" w:pos="4253"/>
        </w:tabs>
        <w:spacing w:after="0" w:line="240" w:lineRule="auto"/>
        <w:jc w:val="center"/>
        <w:rPr>
          <w:rFonts w:ascii="Helvetica" w:hAnsi="Helvetica"/>
          <w:b/>
          <w:lang w:val="es-ES_tradnl"/>
        </w:rPr>
      </w:pPr>
      <w:r>
        <w:rPr>
          <w:rFonts w:ascii="Helvetica" w:hAnsi="Helvetica"/>
          <w:b/>
          <w:lang w:val="es-ES_tradnl"/>
        </w:rPr>
        <w:t>RESOLUCION ADOPTADA POR EL</w:t>
      </w:r>
    </w:p>
    <w:p w:rsidR="001E26F1" w:rsidRDefault="001E26F1" w:rsidP="003B2FC3">
      <w:pPr>
        <w:keepNext/>
        <w:widowControl w:val="0"/>
        <w:tabs>
          <w:tab w:val="left" w:pos="-720"/>
        </w:tabs>
        <w:spacing w:after="0" w:line="240" w:lineRule="auto"/>
        <w:jc w:val="center"/>
        <w:rPr>
          <w:rFonts w:ascii="Helvetica" w:hAnsi="Helvetica"/>
          <w:b/>
          <w:lang w:val="es-ES_tradnl"/>
        </w:rPr>
      </w:pPr>
    </w:p>
    <w:p w:rsidR="001E26F1" w:rsidRDefault="001E26F1" w:rsidP="003B2FC3">
      <w:pPr>
        <w:keepNext/>
        <w:widowControl w:val="0"/>
        <w:tabs>
          <w:tab w:val="center" w:pos="4253"/>
        </w:tabs>
        <w:spacing w:after="0" w:line="240" w:lineRule="auto"/>
        <w:jc w:val="center"/>
        <w:rPr>
          <w:rFonts w:ascii="Helvetica" w:hAnsi="Helvetica"/>
          <w:b/>
          <w:lang w:val="es-ES_tradnl"/>
        </w:rPr>
      </w:pPr>
      <w:r>
        <w:rPr>
          <w:rFonts w:ascii="Helvetica" w:hAnsi="Helvetica"/>
          <w:b/>
          <w:lang w:val="es-ES_tradnl"/>
        </w:rPr>
        <w:t>TRIBUNAL DE CUENTAS</w:t>
      </w:r>
    </w:p>
    <w:p w:rsidR="001E26F1" w:rsidRDefault="001E26F1" w:rsidP="003B2FC3">
      <w:pPr>
        <w:keepNext/>
        <w:widowControl w:val="0"/>
        <w:tabs>
          <w:tab w:val="left" w:pos="-720"/>
        </w:tabs>
        <w:spacing w:after="0" w:line="240" w:lineRule="auto"/>
        <w:jc w:val="center"/>
        <w:rPr>
          <w:rFonts w:ascii="Helvetica" w:hAnsi="Helvetica"/>
          <w:b/>
          <w:lang w:val="es-ES_tradnl"/>
        </w:rPr>
      </w:pPr>
    </w:p>
    <w:p w:rsidR="001E26F1" w:rsidRDefault="001E26F1" w:rsidP="003B2FC3">
      <w:pPr>
        <w:keepNext/>
        <w:widowControl w:val="0"/>
        <w:tabs>
          <w:tab w:val="center" w:pos="4253"/>
        </w:tabs>
        <w:spacing w:after="0" w:line="240" w:lineRule="auto"/>
        <w:jc w:val="center"/>
        <w:rPr>
          <w:rFonts w:ascii="Helvetica" w:hAnsi="Helvetica"/>
          <w:b/>
          <w:lang w:val="es-ES_tradnl"/>
        </w:rPr>
      </w:pPr>
      <w:r>
        <w:rPr>
          <w:rFonts w:ascii="Helvetica" w:hAnsi="Helvetica"/>
          <w:b/>
          <w:lang w:val="es-ES_tradnl"/>
        </w:rPr>
        <w:t>EN SESION DE FECHA 19</w:t>
      </w:r>
      <w:r>
        <w:rPr>
          <w:rFonts w:cs="Arial"/>
          <w:b/>
          <w:lang w:val="es-ES_tradnl"/>
        </w:rPr>
        <w:t xml:space="preserve"> DE JULIO </w:t>
      </w:r>
      <w:r>
        <w:rPr>
          <w:rFonts w:ascii="Helvetica" w:hAnsi="Helvetica"/>
          <w:b/>
          <w:lang w:val="es-ES_tradnl"/>
        </w:rPr>
        <w:t>DE 2018</w:t>
      </w:r>
    </w:p>
    <w:p w:rsidR="001E26F1" w:rsidRDefault="001E26F1" w:rsidP="003B2FC3">
      <w:pPr>
        <w:keepNext/>
        <w:widowControl w:val="0"/>
        <w:tabs>
          <w:tab w:val="center" w:pos="4253"/>
        </w:tabs>
        <w:spacing w:after="0" w:line="240" w:lineRule="auto"/>
        <w:jc w:val="center"/>
        <w:rPr>
          <w:rFonts w:ascii="Helvetica" w:hAnsi="Helvetica"/>
          <w:b/>
          <w:lang w:val="es-ES_tradnl"/>
        </w:rPr>
      </w:pPr>
    </w:p>
    <w:p w:rsidR="001E26F1" w:rsidRDefault="001E26F1" w:rsidP="003B2FC3">
      <w:pPr>
        <w:keepNext/>
        <w:widowControl w:val="0"/>
        <w:tabs>
          <w:tab w:val="center" w:pos="4253"/>
        </w:tabs>
        <w:spacing w:after="0" w:line="240" w:lineRule="auto"/>
        <w:jc w:val="center"/>
        <w:rPr>
          <w:rFonts w:ascii="Helvetica" w:hAnsi="Helvetica"/>
          <w:b/>
          <w:lang w:val="es-ES"/>
        </w:rPr>
      </w:pPr>
      <w:r w:rsidRPr="001E26F1">
        <w:rPr>
          <w:rFonts w:ascii="Helvetica" w:hAnsi="Helvetica"/>
          <w:b/>
          <w:lang w:val="es-ES"/>
        </w:rPr>
        <w:t xml:space="preserve">(E. E. Nº 2018-17-1-0002134, </w:t>
      </w:r>
      <w:proofErr w:type="spellStart"/>
      <w:r w:rsidRPr="001E26F1">
        <w:rPr>
          <w:rFonts w:ascii="Helvetica" w:hAnsi="Helvetica"/>
          <w:b/>
          <w:lang w:val="es-ES"/>
        </w:rPr>
        <w:t>Ent</w:t>
      </w:r>
      <w:proofErr w:type="spellEnd"/>
      <w:r w:rsidRPr="001E26F1">
        <w:rPr>
          <w:rFonts w:ascii="Helvetica" w:hAnsi="Helvetica"/>
          <w:b/>
          <w:lang w:val="es-ES"/>
        </w:rPr>
        <w:t>. N° 1625/18)</w:t>
      </w:r>
    </w:p>
    <w:p w:rsidR="003B2FC3" w:rsidRDefault="003B2FC3" w:rsidP="003B2FC3">
      <w:pPr>
        <w:keepNext/>
        <w:widowControl w:val="0"/>
        <w:tabs>
          <w:tab w:val="center" w:pos="4253"/>
        </w:tabs>
        <w:spacing w:after="0" w:line="240" w:lineRule="auto"/>
        <w:jc w:val="center"/>
        <w:rPr>
          <w:rFonts w:ascii="Helvetica" w:hAnsi="Helvetica"/>
          <w:b/>
          <w:lang w:val="es-ES"/>
        </w:rPr>
      </w:pPr>
    </w:p>
    <w:p w:rsidR="001E26F1" w:rsidRDefault="001E26F1" w:rsidP="003B2FC3">
      <w:pPr>
        <w:keepNext/>
        <w:widowControl w:val="0"/>
        <w:tabs>
          <w:tab w:val="center" w:pos="4253"/>
        </w:tabs>
        <w:spacing w:after="0" w:line="240" w:lineRule="auto"/>
        <w:jc w:val="center"/>
        <w:rPr>
          <w:rFonts w:ascii="Helvetica" w:hAnsi="Helvetica"/>
          <w:b/>
          <w:lang w:val="es-ES"/>
        </w:rPr>
      </w:pPr>
    </w:p>
    <w:p w:rsidR="001E26F1" w:rsidRDefault="00B3546B" w:rsidP="003B2FC3">
      <w:pPr>
        <w:keepNext/>
        <w:widowControl w:val="0"/>
        <w:tabs>
          <w:tab w:val="center" w:pos="4253"/>
        </w:tabs>
        <w:spacing w:after="0" w:line="360" w:lineRule="auto"/>
        <w:ind w:firstLine="851"/>
        <w:rPr>
          <w:rFonts w:cs="Arial"/>
        </w:rPr>
      </w:pPr>
      <w:r w:rsidRPr="002B559C">
        <w:rPr>
          <w:rFonts w:cs="Arial"/>
          <w:b/>
          <w:lang w:val="es-MX"/>
        </w:rPr>
        <w:t>VISTO:</w:t>
      </w:r>
      <w:r w:rsidRPr="002B559C">
        <w:rPr>
          <w:rFonts w:cs="Arial"/>
          <w:lang w:val="es-MX"/>
        </w:rPr>
        <w:t xml:space="preserve"> </w:t>
      </w:r>
      <w:r w:rsidRPr="002B559C">
        <w:rPr>
          <w:rFonts w:cs="Arial"/>
          <w:spacing w:val="-3"/>
          <w:lang w:val="es-ES_tradnl"/>
        </w:rPr>
        <w:t>que este</w:t>
      </w:r>
      <w:r w:rsidRPr="002B559C">
        <w:rPr>
          <w:rFonts w:cs="Arial"/>
        </w:rPr>
        <w:t xml:space="preserve"> Tribunal ha examinado los </w:t>
      </w:r>
      <w:r w:rsidR="001C7C6F">
        <w:rPr>
          <w:rFonts w:cs="Arial"/>
        </w:rPr>
        <w:t>e</w:t>
      </w:r>
      <w:r w:rsidR="001C7C6F" w:rsidRPr="002B559C">
        <w:rPr>
          <w:rFonts w:cs="Arial"/>
        </w:rPr>
        <w:t xml:space="preserve">stados </w:t>
      </w:r>
      <w:r w:rsidR="001C7C6F">
        <w:rPr>
          <w:rFonts w:cs="Arial"/>
        </w:rPr>
        <w:t>f</w:t>
      </w:r>
      <w:r w:rsidR="001C7C6F" w:rsidRPr="002B559C">
        <w:rPr>
          <w:rFonts w:cs="Arial"/>
        </w:rPr>
        <w:t xml:space="preserve">inancieros </w:t>
      </w:r>
      <w:r w:rsidRPr="002B559C">
        <w:rPr>
          <w:rFonts w:cs="Arial"/>
        </w:rPr>
        <w:t xml:space="preserve">del Banco Central del Uruguay (BCU) que comprenden el </w:t>
      </w:r>
      <w:r w:rsidRPr="002B559C">
        <w:rPr>
          <w:rFonts w:cs="Arial"/>
          <w:spacing w:val="-3"/>
          <w:lang w:val="es-ES_tradnl"/>
        </w:rPr>
        <w:t>Estado de Situación Financiera al 31/12/201</w:t>
      </w:r>
      <w:r w:rsidR="00160CC7">
        <w:rPr>
          <w:rFonts w:cs="Arial"/>
          <w:spacing w:val="-3"/>
          <w:lang w:val="es-ES_tradnl"/>
        </w:rPr>
        <w:t>7</w:t>
      </w:r>
      <w:r w:rsidRPr="002B559C">
        <w:rPr>
          <w:rFonts w:cs="Arial"/>
          <w:spacing w:val="-3"/>
          <w:lang w:val="es-ES_tradnl"/>
        </w:rPr>
        <w:t xml:space="preserve">, los correspondientes </w:t>
      </w:r>
      <w:r w:rsidRPr="002B559C">
        <w:rPr>
          <w:rFonts w:cs="Arial"/>
        </w:rPr>
        <w:t xml:space="preserve">Estados del Resultado Integral, de Flujos de Efectivo y de Cambios en el Patrimonio por el </w:t>
      </w:r>
      <w:r w:rsidR="001C7C6F">
        <w:rPr>
          <w:rFonts w:cs="Arial"/>
        </w:rPr>
        <w:t>período</w:t>
      </w:r>
      <w:r w:rsidRPr="002B559C">
        <w:rPr>
          <w:rFonts w:cs="Arial"/>
        </w:rPr>
        <w:t xml:space="preserve"> finalizado </w:t>
      </w:r>
      <w:r w:rsidR="001C7C6F">
        <w:rPr>
          <w:rFonts w:cs="Arial"/>
        </w:rPr>
        <w:t>el 31/12/2017</w:t>
      </w:r>
      <w:r w:rsidRPr="002B559C">
        <w:rPr>
          <w:rFonts w:cs="Arial"/>
        </w:rPr>
        <w:t>,</w:t>
      </w:r>
      <w:r w:rsidR="001C7C6F">
        <w:rPr>
          <w:rFonts w:cs="Arial"/>
        </w:rPr>
        <w:t xml:space="preserve"> presentados en forma comparativa con el ejercicio anterior,</w:t>
      </w:r>
      <w:r w:rsidRPr="002B559C">
        <w:rPr>
          <w:rFonts w:cs="Arial"/>
        </w:rPr>
        <w:t xml:space="preserve"> los Anexos y las notas de políticas contables significativas y otras notas explicativas a los </w:t>
      </w:r>
      <w:r w:rsidR="001C7C6F">
        <w:rPr>
          <w:rFonts w:cs="Arial"/>
        </w:rPr>
        <w:t>e</w:t>
      </w:r>
      <w:r w:rsidR="001C7C6F" w:rsidRPr="002B559C">
        <w:rPr>
          <w:rFonts w:cs="Arial"/>
        </w:rPr>
        <w:t xml:space="preserve">stados </w:t>
      </w:r>
      <w:r w:rsidR="001C7C6F">
        <w:rPr>
          <w:rFonts w:cs="Arial"/>
        </w:rPr>
        <w:t>f</w:t>
      </w:r>
      <w:r w:rsidR="001C7C6F" w:rsidRPr="002B559C">
        <w:rPr>
          <w:rFonts w:cs="Arial"/>
        </w:rPr>
        <w:t>inancieros</w:t>
      </w:r>
      <w:r w:rsidRPr="002B559C">
        <w:rPr>
          <w:rFonts w:cs="Arial"/>
        </w:rPr>
        <w:t>;</w:t>
      </w:r>
    </w:p>
    <w:p w:rsidR="001E26F1" w:rsidRDefault="00B3546B" w:rsidP="003B2FC3">
      <w:pPr>
        <w:keepNext/>
        <w:widowControl w:val="0"/>
        <w:tabs>
          <w:tab w:val="center" w:pos="4253"/>
        </w:tabs>
        <w:spacing w:after="0" w:line="360" w:lineRule="auto"/>
        <w:ind w:firstLine="851"/>
        <w:rPr>
          <w:rFonts w:cs="Arial"/>
          <w:szCs w:val="24"/>
          <w:lang w:val="es-MX"/>
        </w:rPr>
      </w:pPr>
      <w:r w:rsidRPr="002B559C">
        <w:rPr>
          <w:rFonts w:cs="Arial"/>
          <w:b/>
          <w:szCs w:val="24"/>
          <w:lang w:val="es-MX"/>
        </w:rPr>
        <w:t>RESULTANDO:</w:t>
      </w:r>
      <w:r w:rsidRPr="002B559C">
        <w:rPr>
          <w:rFonts w:cs="Arial"/>
          <w:szCs w:val="24"/>
          <w:lang w:val="es-MX"/>
        </w:rPr>
        <w:t xml:space="preserve"> que el examen fue realizado de acuerdo con los Principios Fundamentales de Auditoría (ISSAI 100 y 200) y las Directrices de Auditoría Financiera </w:t>
      </w:r>
      <w:r w:rsidR="003854AF">
        <w:rPr>
          <w:rFonts w:cs="Arial"/>
          <w:szCs w:val="24"/>
          <w:lang w:val="es-MX"/>
        </w:rPr>
        <w:t xml:space="preserve">(ISSAI 100 a 1810) </w:t>
      </w:r>
      <w:r w:rsidRPr="002B559C">
        <w:rPr>
          <w:rFonts w:cs="Arial"/>
          <w:szCs w:val="24"/>
          <w:lang w:val="es-MX"/>
        </w:rPr>
        <w:t>de la Organización Internacional de Entidades Fiscalizadoras Superiores (INTOSAI);</w:t>
      </w:r>
    </w:p>
    <w:p w:rsidR="001E26F1" w:rsidRDefault="00B3546B" w:rsidP="003B2FC3">
      <w:pPr>
        <w:keepNext/>
        <w:widowControl w:val="0"/>
        <w:tabs>
          <w:tab w:val="center" w:pos="4253"/>
        </w:tabs>
        <w:spacing w:after="0" w:line="360" w:lineRule="auto"/>
        <w:ind w:firstLine="851"/>
        <w:rPr>
          <w:rFonts w:cs="Arial"/>
          <w:szCs w:val="24"/>
          <w:lang w:val="es-MX"/>
        </w:rPr>
      </w:pPr>
      <w:r w:rsidRPr="002B559C">
        <w:rPr>
          <w:rFonts w:cs="Arial"/>
          <w:b/>
          <w:szCs w:val="24"/>
          <w:lang w:val="es-MX"/>
        </w:rPr>
        <w:t>CONSIDERANDO:</w:t>
      </w:r>
      <w:r w:rsidRPr="002B559C">
        <w:rPr>
          <w:rFonts w:cs="Arial"/>
          <w:szCs w:val="24"/>
          <w:lang w:val="es-MX"/>
        </w:rPr>
        <w:t xml:space="preserve"> que las conclusiones y evidencias obtenidas son las que se expresan en el Informe de Auditoría, que incluye Dictamen e Informe a la Administración;</w:t>
      </w:r>
    </w:p>
    <w:p w:rsidR="001E26F1" w:rsidRDefault="00B3546B" w:rsidP="003B2FC3">
      <w:pPr>
        <w:keepNext/>
        <w:widowControl w:val="0"/>
        <w:tabs>
          <w:tab w:val="center" w:pos="4253"/>
        </w:tabs>
        <w:spacing w:after="0" w:line="360" w:lineRule="auto"/>
        <w:ind w:firstLine="851"/>
        <w:rPr>
          <w:rFonts w:cs="Arial"/>
          <w:szCs w:val="24"/>
          <w:lang w:val="es-MX"/>
        </w:rPr>
      </w:pPr>
      <w:r w:rsidRPr="002B559C">
        <w:rPr>
          <w:rFonts w:cs="Arial"/>
          <w:b/>
          <w:szCs w:val="24"/>
          <w:lang w:val="es-MX"/>
        </w:rPr>
        <w:t>ATENTO:</w:t>
      </w:r>
      <w:r w:rsidRPr="002B559C">
        <w:rPr>
          <w:rFonts w:cs="Arial"/>
          <w:szCs w:val="24"/>
          <w:lang w:val="es-MX"/>
        </w:rPr>
        <w:t xml:space="preserve"> a lo dispuesto por los Artículos 191 y 211 Literal C) de la Constitución de la República;</w:t>
      </w:r>
    </w:p>
    <w:p w:rsidR="001E26F1" w:rsidRDefault="00B3546B" w:rsidP="003B2FC3">
      <w:pPr>
        <w:keepNext/>
        <w:widowControl w:val="0"/>
        <w:tabs>
          <w:tab w:val="center" w:pos="4253"/>
        </w:tabs>
        <w:spacing w:after="0" w:line="360" w:lineRule="auto"/>
        <w:jc w:val="center"/>
        <w:rPr>
          <w:rFonts w:cs="Arial"/>
          <w:b/>
          <w:szCs w:val="24"/>
          <w:lang w:val="es-MX"/>
        </w:rPr>
      </w:pPr>
      <w:r w:rsidRPr="002B559C">
        <w:rPr>
          <w:rFonts w:cs="Arial"/>
          <w:b/>
          <w:szCs w:val="24"/>
          <w:lang w:val="es-MX"/>
        </w:rPr>
        <w:t>EL TRIBUNAL ACUERDA</w:t>
      </w:r>
    </w:p>
    <w:p w:rsidR="001E26F1" w:rsidRDefault="00B3546B" w:rsidP="003B2FC3">
      <w:pPr>
        <w:keepNext/>
        <w:widowControl w:val="0"/>
        <w:tabs>
          <w:tab w:val="center" w:pos="4253"/>
        </w:tabs>
        <w:spacing w:after="0" w:line="360" w:lineRule="auto"/>
        <w:rPr>
          <w:rFonts w:cs="Arial"/>
          <w:szCs w:val="24"/>
        </w:rPr>
      </w:pPr>
      <w:r w:rsidRPr="002B559C">
        <w:rPr>
          <w:rFonts w:cs="Arial"/>
          <w:b/>
          <w:szCs w:val="24"/>
          <w:lang w:val="es-MX"/>
        </w:rPr>
        <w:t>1)</w:t>
      </w:r>
      <w:r w:rsidRPr="002B559C">
        <w:rPr>
          <w:rFonts w:cs="Arial"/>
          <w:szCs w:val="24"/>
          <w:lang w:val="es-MX"/>
        </w:rPr>
        <w:t xml:space="preserve">  Expedirse en los términos del Informe de Auditoría que se adjunta</w:t>
      </w:r>
      <w:r w:rsidRPr="002B559C">
        <w:rPr>
          <w:rFonts w:cs="Arial"/>
          <w:szCs w:val="24"/>
        </w:rPr>
        <w:t>;</w:t>
      </w:r>
    </w:p>
    <w:p w:rsidR="00B3546B" w:rsidRDefault="001C7C6F" w:rsidP="003B2FC3">
      <w:pPr>
        <w:keepNext/>
        <w:widowControl w:val="0"/>
        <w:tabs>
          <w:tab w:val="center" w:pos="4253"/>
        </w:tabs>
        <w:spacing w:after="0" w:line="360" w:lineRule="auto"/>
        <w:ind w:left="284" w:hanging="284"/>
        <w:rPr>
          <w:rFonts w:cs="Arial"/>
          <w:szCs w:val="24"/>
          <w:lang w:val="es-MX"/>
        </w:rPr>
      </w:pPr>
      <w:r>
        <w:rPr>
          <w:rFonts w:cs="Arial"/>
          <w:b/>
          <w:szCs w:val="24"/>
          <w:lang w:val="es-MX"/>
        </w:rPr>
        <w:t>2</w:t>
      </w:r>
      <w:r w:rsidR="00B3546B" w:rsidRPr="002B559C">
        <w:rPr>
          <w:rFonts w:cs="Arial"/>
          <w:b/>
          <w:szCs w:val="24"/>
          <w:lang w:val="es-MX"/>
        </w:rPr>
        <w:t>)</w:t>
      </w:r>
      <w:r w:rsidR="00B3546B" w:rsidRPr="002B559C">
        <w:rPr>
          <w:rFonts w:cs="Arial"/>
          <w:szCs w:val="24"/>
          <w:lang w:val="es-MX"/>
        </w:rPr>
        <w:t xml:space="preserve"> Comunicar la presente Resolución al Ministerio de Economía y Finanzas (MEF)</w:t>
      </w:r>
      <w:r>
        <w:rPr>
          <w:rFonts w:cs="Arial"/>
          <w:szCs w:val="24"/>
          <w:lang w:val="es-MX"/>
        </w:rPr>
        <w:t>,</w:t>
      </w:r>
      <w:r w:rsidR="00B3546B" w:rsidRPr="002B559C">
        <w:rPr>
          <w:rFonts w:cs="Arial"/>
          <w:szCs w:val="24"/>
          <w:lang w:val="es-MX"/>
        </w:rPr>
        <w:t xml:space="preserve"> a la Oficina de Planeamiento y Presupuesto (OPP)</w:t>
      </w:r>
      <w:r>
        <w:rPr>
          <w:rFonts w:cs="Arial"/>
          <w:szCs w:val="24"/>
          <w:lang w:val="es-MX"/>
        </w:rPr>
        <w:t xml:space="preserve"> y a la Auditoría Interna de la Nación</w:t>
      </w:r>
      <w:r w:rsidR="00170D62">
        <w:rPr>
          <w:rFonts w:cs="Arial"/>
          <w:szCs w:val="24"/>
          <w:lang w:val="es-MX"/>
        </w:rPr>
        <w:t xml:space="preserve"> (AIN)</w:t>
      </w:r>
      <w:r w:rsidR="00B3546B" w:rsidRPr="002B559C">
        <w:rPr>
          <w:rFonts w:cs="Arial"/>
          <w:szCs w:val="24"/>
          <w:lang w:val="es-MX"/>
        </w:rPr>
        <w:t>;</w:t>
      </w:r>
    </w:p>
    <w:p w:rsidR="00B3546B" w:rsidRPr="002B559C" w:rsidRDefault="001C7C6F" w:rsidP="003B2FC3">
      <w:pPr>
        <w:keepNext/>
        <w:widowControl w:val="0"/>
        <w:spacing w:after="0" w:line="360" w:lineRule="auto"/>
        <w:rPr>
          <w:rFonts w:cs="Arial"/>
          <w:szCs w:val="24"/>
          <w:lang w:val="es-MX"/>
        </w:rPr>
      </w:pPr>
      <w:r>
        <w:rPr>
          <w:rFonts w:cs="Arial"/>
          <w:b/>
          <w:szCs w:val="24"/>
          <w:lang w:val="es-MX"/>
        </w:rPr>
        <w:lastRenderedPageBreak/>
        <w:t>3</w:t>
      </w:r>
      <w:r w:rsidR="00B3546B" w:rsidRPr="002B559C">
        <w:rPr>
          <w:rFonts w:cs="Arial"/>
          <w:b/>
          <w:szCs w:val="24"/>
          <w:lang w:val="es-MX"/>
        </w:rPr>
        <w:t>)</w:t>
      </w:r>
      <w:r w:rsidR="00B3546B" w:rsidRPr="002B559C">
        <w:rPr>
          <w:rFonts w:cs="Arial"/>
          <w:szCs w:val="24"/>
          <w:lang w:val="es-MX"/>
        </w:rPr>
        <w:t xml:space="preserve"> Dar cuenta a la Asamblea General; y</w:t>
      </w:r>
    </w:p>
    <w:p w:rsidR="00B3546B" w:rsidRPr="002B559C" w:rsidRDefault="001C7C6F" w:rsidP="003B2FC3">
      <w:pPr>
        <w:keepNext/>
        <w:widowControl w:val="0"/>
        <w:rPr>
          <w:rFonts w:cs="Arial"/>
          <w:szCs w:val="24"/>
          <w:lang w:val="es-MX"/>
        </w:rPr>
      </w:pPr>
      <w:r>
        <w:rPr>
          <w:rFonts w:cs="Arial"/>
          <w:b/>
          <w:szCs w:val="24"/>
          <w:lang w:val="es-MX"/>
        </w:rPr>
        <w:t>4</w:t>
      </w:r>
      <w:r w:rsidR="00B3546B" w:rsidRPr="002B559C">
        <w:rPr>
          <w:rFonts w:cs="Arial"/>
          <w:b/>
          <w:szCs w:val="24"/>
          <w:lang w:val="es-MX"/>
        </w:rPr>
        <w:t xml:space="preserve">) </w:t>
      </w:r>
      <w:r w:rsidR="00B3546B" w:rsidRPr="002B559C">
        <w:rPr>
          <w:rFonts w:cs="Arial"/>
          <w:szCs w:val="24"/>
          <w:lang w:val="es-MX"/>
        </w:rPr>
        <w:t>Devolver al Organismo.</w:t>
      </w:r>
    </w:p>
    <w:p w:rsidR="008448B1" w:rsidRDefault="008448B1" w:rsidP="003B2FC3">
      <w:pPr>
        <w:pStyle w:val="Textoindependiente"/>
        <w:keepNext/>
        <w:widowControl w:val="0"/>
        <w:spacing w:after="0" w:line="360" w:lineRule="auto"/>
        <w:jc w:val="center"/>
        <w:rPr>
          <w:rFonts w:ascii="Arial" w:hAnsi="Arial" w:cs="Arial"/>
          <w:b/>
        </w:rPr>
      </w:pPr>
    </w:p>
    <w:p w:rsidR="00C0618F" w:rsidRPr="00B456DE" w:rsidRDefault="00B456DE" w:rsidP="003B2FC3">
      <w:pPr>
        <w:pStyle w:val="Textoindependiente"/>
        <w:keepNext/>
        <w:widowControl w:val="0"/>
        <w:spacing w:after="0" w:line="360" w:lineRule="auto"/>
        <w:rPr>
          <w:rFonts w:ascii="Arial" w:hAnsi="Arial" w:cs="Arial"/>
        </w:rPr>
      </w:pPr>
      <w:proofErr w:type="spellStart"/>
      <w:proofErr w:type="gramStart"/>
      <w:r w:rsidRPr="00B456DE">
        <w:rPr>
          <w:rFonts w:ascii="Arial" w:hAnsi="Arial" w:cs="Arial"/>
        </w:rPr>
        <w:t>ag</w:t>
      </w:r>
      <w:proofErr w:type="spellEnd"/>
      <w:proofErr w:type="gramEnd"/>
    </w:p>
    <w:p w:rsidR="00C0618F" w:rsidRDefault="00C0618F"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p>
    <w:p w:rsidR="00A35C0F" w:rsidRDefault="00A35C0F"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center"/>
        <w:rPr>
          <w:rFonts w:ascii="Arial" w:hAnsi="Arial" w:cs="Arial"/>
          <w:b/>
        </w:rPr>
      </w:pPr>
      <w:r w:rsidRPr="002B559C">
        <w:rPr>
          <w:rFonts w:ascii="Arial" w:hAnsi="Arial" w:cs="Arial"/>
          <w:b/>
        </w:rPr>
        <w:t>DICTAMEN</w:t>
      </w:r>
    </w:p>
    <w:p w:rsidR="003B2FC3" w:rsidRDefault="003B2FC3" w:rsidP="003B2FC3">
      <w:pPr>
        <w:pStyle w:val="Textoindependiente"/>
        <w:keepNext/>
        <w:widowControl w:val="0"/>
        <w:spacing w:after="0" w:line="360" w:lineRule="auto"/>
        <w:jc w:val="center"/>
        <w:rPr>
          <w:rFonts w:ascii="Arial" w:hAnsi="Arial" w:cs="Arial"/>
          <w:b/>
        </w:rPr>
      </w:pPr>
    </w:p>
    <w:p w:rsidR="003B2FC3" w:rsidRDefault="003B2FC3" w:rsidP="003B2FC3">
      <w:pPr>
        <w:pStyle w:val="Textoindependiente"/>
        <w:keepNext/>
        <w:widowControl w:val="0"/>
        <w:spacing w:after="0" w:line="360" w:lineRule="auto"/>
        <w:jc w:val="both"/>
        <w:rPr>
          <w:rFonts w:ascii="Arial" w:hAnsi="Arial" w:cs="Arial"/>
        </w:rPr>
      </w:pPr>
      <w:r w:rsidRPr="002B559C">
        <w:rPr>
          <w:rFonts w:ascii="Arial" w:hAnsi="Arial" w:cs="Arial"/>
        </w:rPr>
        <w:t xml:space="preserve">El Tribunal de Cuentas ha </w:t>
      </w:r>
      <w:r>
        <w:rPr>
          <w:rFonts w:ascii="Arial" w:hAnsi="Arial" w:cs="Arial"/>
        </w:rPr>
        <w:t>auditado</w:t>
      </w:r>
      <w:r w:rsidRPr="002B559C">
        <w:rPr>
          <w:rFonts w:ascii="Arial" w:hAnsi="Arial" w:cs="Arial"/>
        </w:rPr>
        <w:t xml:space="preserve"> los estados </w:t>
      </w:r>
      <w:r w:rsidRPr="003C5D36">
        <w:rPr>
          <w:rFonts w:ascii="Arial" w:hAnsi="Arial" w:cs="Arial"/>
        </w:rPr>
        <w:t>financieros de</w:t>
      </w:r>
      <w:r w:rsidRPr="00C31E41">
        <w:rPr>
          <w:rFonts w:ascii="Arial" w:hAnsi="Arial" w:cs="Arial"/>
        </w:rPr>
        <w:t>l</w:t>
      </w:r>
      <w:r w:rsidRPr="002B559C">
        <w:rPr>
          <w:rFonts w:ascii="Arial" w:hAnsi="Arial" w:cs="Arial"/>
        </w:rPr>
        <w:t xml:space="preserve"> Banco Central del Uruguay (BCU) </w:t>
      </w:r>
      <w:r>
        <w:rPr>
          <w:rFonts w:ascii="Arial" w:hAnsi="Arial" w:cs="Arial"/>
        </w:rPr>
        <w:t>los que</w:t>
      </w:r>
      <w:r w:rsidRPr="002B559C">
        <w:rPr>
          <w:rFonts w:ascii="Arial" w:hAnsi="Arial" w:cs="Arial"/>
        </w:rPr>
        <w:t xml:space="preserve"> comprenden el </w:t>
      </w:r>
      <w:r w:rsidRPr="002B559C">
        <w:rPr>
          <w:rFonts w:ascii="Arial" w:hAnsi="Arial" w:cs="Arial"/>
          <w:spacing w:val="-3"/>
          <w:lang w:val="es-ES_tradnl"/>
        </w:rPr>
        <w:t>Estado de Situación Financiera al 31/12/201</w:t>
      </w:r>
      <w:r>
        <w:rPr>
          <w:rFonts w:ascii="Arial" w:hAnsi="Arial" w:cs="Arial"/>
          <w:spacing w:val="-3"/>
          <w:lang w:val="es-ES_tradnl"/>
        </w:rPr>
        <w:t>7</w:t>
      </w:r>
      <w:r w:rsidRPr="002B559C">
        <w:rPr>
          <w:rFonts w:ascii="Arial" w:hAnsi="Arial" w:cs="Arial"/>
          <w:spacing w:val="-3"/>
          <w:lang w:val="es-ES_tradnl"/>
        </w:rPr>
        <w:t xml:space="preserve">, los correspondientes </w:t>
      </w:r>
      <w:r w:rsidRPr="002B559C">
        <w:rPr>
          <w:rFonts w:ascii="Arial" w:hAnsi="Arial" w:cs="Arial"/>
        </w:rPr>
        <w:t xml:space="preserve">Estados del Resultado Integral, de Flujos de Efectivo y de Cambios en el Patrimonio por el ejercicio anual finalizado en esa fecha, </w:t>
      </w:r>
      <w:r>
        <w:rPr>
          <w:rFonts w:ascii="Arial" w:hAnsi="Arial" w:cs="Arial"/>
        </w:rPr>
        <w:t xml:space="preserve">presentados en forma comparativa con el ejercicio anterior, </w:t>
      </w:r>
      <w:r w:rsidRPr="002B559C">
        <w:rPr>
          <w:rFonts w:ascii="Arial" w:hAnsi="Arial" w:cs="Arial"/>
        </w:rPr>
        <w:t>las notas de políticas contables significativas</w:t>
      </w:r>
      <w:r>
        <w:rPr>
          <w:rFonts w:ascii="Arial" w:hAnsi="Arial" w:cs="Arial"/>
        </w:rPr>
        <w:t xml:space="preserve"> aplicadas</w:t>
      </w:r>
      <w:r w:rsidRPr="002B559C">
        <w:rPr>
          <w:rFonts w:ascii="Arial" w:hAnsi="Arial" w:cs="Arial"/>
        </w:rPr>
        <w:t xml:space="preserve"> y otras notas explicativas </w:t>
      </w:r>
      <w:r>
        <w:rPr>
          <w:rFonts w:ascii="Arial" w:hAnsi="Arial" w:cs="Arial"/>
        </w:rPr>
        <w:t xml:space="preserve">y </w:t>
      </w:r>
      <w:r w:rsidRPr="002B559C">
        <w:rPr>
          <w:rFonts w:ascii="Arial" w:hAnsi="Arial" w:cs="Arial"/>
        </w:rPr>
        <w:t>los</w:t>
      </w:r>
      <w:r>
        <w:rPr>
          <w:rFonts w:ascii="Arial" w:hAnsi="Arial" w:cs="Arial"/>
        </w:rPr>
        <w:t xml:space="preserve"> Anexos</w:t>
      </w:r>
      <w:r w:rsidRPr="002B559C">
        <w:rPr>
          <w:rFonts w:ascii="Arial" w:hAnsi="Arial" w:cs="Arial"/>
        </w:rPr>
        <w:t>.</w:t>
      </w:r>
    </w:p>
    <w:p w:rsidR="003B2FC3" w:rsidRDefault="003B2FC3" w:rsidP="003B2FC3">
      <w:pPr>
        <w:pStyle w:val="Textoindependiente"/>
        <w:keepNext/>
        <w:widowControl w:val="0"/>
        <w:spacing w:after="0" w:line="360" w:lineRule="auto"/>
        <w:jc w:val="both"/>
        <w:rPr>
          <w:rFonts w:ascii="Arial" w:hAnsi="Arial" w:cs="Arial"/>
        </w:rPr>
      </w:pPr>
    </w:p>
    <w:p w:rsidR="003B2FC3" w:rsidRPr="001F4E07" w:rsidRDefault="003B2FC3" w:rsidP="003B2FC3">
      <w:pPr>
        <w:pStyle w:val="Textoindependiente"/>
        <w:keepNext/>
        <w:widowControl w:val="0"/>
        <w:spacing w:after="0" w:line="360" w:lineRule="auto"/>
        <w:jc w:val="both"/>
        <w:rPr>
          <w:rFonts w:ascii="Arial" w:hAnsi="Arial" w:cs="Arial"/>
          <w:b/>
        </w:rPr>
      </w:pPr>
      <w:r w:rsidRPr="001F4E07">
        <w:rPr>
          <w:rFonts w:ascii="Arial" w:hAnsi="Arial" w:cs="Arial"/>
          <w:b/>
        </w:rPr>
        <w:t>Opinión sin salvedades</w:t>
      </w:r>
    </w:p>
    <w:p w:rsidR="003B2FC3" w:rsidRDefault="003B2FC3" w:rsidP="003B2FC3">
      <w:pPr>
        <w:keepNext/>
        <w:widowControl w:val="0"/>
        <w:autoSpaceDE w:val="0"/>
        <w:autoSpaceDN w:val="0"/>
        <w:adjustRightInd w:val="0"/>
        <w:spacing w:after="0" w:line="360" w:lineRule="auto"/>
        <w:rPr>
          <w:rFonts w:cs="Arial"/>
          <w:bCs/>
          <w:color w:val="FF0000"/>
          <w:szCs w:val="24"/>
        </w:rPr>
      </w:pPr>
      <w:r>
        <w:rPr>
          <w:rFonts w:cs="Arial"/>
          <w:szCs w:val="24"/>
        </w:rPr>
        <w:t>En opinión del Tribunal de Cuentas los estados financieros</w:t>
      </w:r>
      <w:r w:rsidRPr="00945733">
        <w:rPr>
          <w:rFonts w:cs="Arial"/>
          <w:sz w:val="18"/>
          <w:szCs w:val="18"/>
        </w:rPr>
        <w:t xml:space="preserve"> </w:t>
      </w:r>
      <w:r w:rsidRPr="00546C06">
        <w:rPr>
          <w:rFonts w:cs="Arial"/>
          <w:szCs w:val="24"/>
        </w:rPr>
        <w:t>referidos precedentemente presentan razonablemente, en todos sus aspectos</w:t>
      </w:r>
      <w:r>
        <w:rPr>
          <w:rFonts w:cs="Arial"/>
          <w:szCs w:val="24"/>
        </w:rPr>
        <w:t xml:space="preserve"> significativos</w:t>
      </w:r>
      <w:r w:rsidRPr="00546C06">
        <w:rPr>
          <w:rFonts w:cs="Arial"/>
          <w:szCs w:val="24"/>
        </w:rPr>
        <w:t xml:space="preserve">, la situación </w:t>
      </w:r>
      <w:r>
        <w:rPr>
          <w:rFonts w:cs="Arial"/>
          <w:szCs w:val="24"/>
        </w:rPr>
        <w:t xml:space="preserve">financiera </w:t>
      </w:r>
      <w:r w:rsidRPr="00546C06">
        <w:rPr>
          <w:rFonts w:cs="Arial"/>
          <w:szCs w:val="24"/>
        </w:rPr>
        <w:t>de</w:t>
      </w:r>
      <w:r>
        <w:rPr>
          <w:rFonts w:cs="Arial"/>
          <w:szCs w:val="24"/>
        </w:rPr>
        <w:t>l</w:t>
      </w:r>
      <w:r w:rsidRPr="00546C06">
        <w:rPr>
          <w:rFonts w:cs="Arial"/>
          <w:szCs w:val="24"/>
        </w:rPr>
        <w:t xml:space="preserve"> </w:t>
      </w:r>
      <w:r w:rsidRPr="00F828A0">
        <w:rPr>
          <w:rFonts w:cs="Arial"/>
          <w:szCs w:val="24"/>
        </w:rPr>
        <w:t>BCU al 31/12/2017,</w:t>
      </w:r>
      <w:r>
        <w:rPr>
          <w:rFonts w:cs="Arial"/>
          <w:i/>
          <w:szCs w:val="24"/>
        </w:rPr>
        <w:t xml:space="preserve"> </w:t>
      </w:r>
      <w:r w:rsidRPr="00546C06">
        <w:rPr>
          <w:rFonts w:cs="Arial"/>
          <w:szCs w:val="24"/>
        </w:rPr>
        <w:t xml:space="preserve">los resultados de sus operaciones y los flujos de efectivo correspondientes al ejercicio anual terminado en esa fecha, </w:t>
      </w:r>
      <w:r w:rsidRPr="003854AF">
        <w:rPr>
          <w:rFonts w:cs="Arial"/>
          <w:szCs w:val="24"/>
        </w:rPr>
        <w:t xml:space="preserve">de acuerdo con </w:t>
      </w:r>
      <w:r w:rsidRPr="003854AF">
        <w:rPr>
          <w:rFonts w:cs="Arial"/>
          <w:bCs/>
          <w:szCs w:val="24"/>
        </w:rPr>
        <w:t>las normas contables adecuadas y las recomendaciones del Centro de Estudios Monetarios Latinoamericanos (CEMLA) así como con los criterios establecidos en la Ordenanza Nº 89 del Tribunal de Cuentas</w:t>
      </w:r>
      <w:r w:rsidRPr="003854AF">
        <w:rPr>
          <w:rFonts w:cs="Arial"/>
          <w:bCs/>
          <w:color w:val="FF0000"/>
          <w:szCs w:val="24"/>
        </w:rPr>
        <w:t>.</w:t>
      </w:r>
    </w:p>
    <w:p w:rsidR="003B2FC3" w:rsidRDefault="003B2FC3" w:rsidP="003B2FC3">
      <w:pPr>
        <w:keepNext/>
        <w:widowControl w:val="0"/>
        <w:autoSpaceDE w:val="0"/>
        <w:autoSpaceDN w:val="0"/>
        <w:adjustRightInd w:val="0"/>
        <w:spacing w:after="0" w:line="360" w:lineRule="auto"/>
        <w:rPr>
          <w:rFonts w:cs="Arial"/>
          <w:bCs/>
          <w:color w:val="FF0000"/>
          <w:szCs w:val="24"/>
        </w:rPr>
      </w:pPr>
    </w:p>
    <w:p w:rsidR="003B2FC3" w:rsidRPr="001F4E07" w:rsidRDefault="003B2FC3" w:rsidP="003B2FC3">
      <w:pPr>
        <w:keepNext/>
        <w:widowControl w:val="0"/>
        <w:autoSpaceDE w:val="0"/>
        <w:autoSpaceDN w:val="0"/>
        <w:adjustRightInd w:val="0"/>
        <w:spacing w:after="0" w:line="360" w:lineRule="auto"/>
        <w:rPr>
          <w:b/>
        </w:rPr>
      </w:pPr>
      <w:r w:rsidRPr="001F4E07">
        <w:rPr>
          <w:b/>
        </w:rPr>
        <w:t>Párrafo de énfasis de asunto</w:t>
      </w:r>
    </w:p>
    <w:p w:rsidR="003B2FC3" w:rsidRPr="00CF7342" w:rsidRDefault="003B2FC3" w:rsidP="003B2FC3">
      <w:pPr>
        <w:keepNext/>
        <w:widowControl w:val="0"/>
        <w:tabs>
          <w:tab w:val="left" w:pos="5529"/>
        </w:tabs>
        <w:autoSpaceDE w:val="0"/>
        <w:autoSpaceDN w:val="0"/>
        <w:adjustRightInd w:val="0"/>
        <w:spacing w:after="0" w:line="360" w:lineRule="auto"/>
      </w:pPr>
      <w:r>
        <w:t>Sin afectar la opinión, destacamos</w:t>
      </w:r>
      <w:r w:rsidRPr="00CF7342">
        <w:t xml:space="preserve"> </w:t>
      </w:r>
      <w:r>
        <w:t>lo señalado en las</w:t>
      </w:r>
      <w:r w:rsidRPr="00CF7342">
        <w:t xml:space="preserve"> notas 2.15, 8 y 22.4 </w:t>
      </w:r>
      <w:r>
        <w:t>a</w:t>
      </w:r>
      <w:r w:rsidRPr="00CF7342">
        <w:t xml:space="preserve"> los estados financieros, </w:t>
      </w:r>
      <w:r>
        <w:t>en cuanto a</w:t>
      </w:r>
      <w:r w:rsidRPr="00CF7342">
        <w:t xml:space="preserve"> la operación de canje de bonos efectuada el 24/11/2017. </w:t>
      </w:r>
      <w:r>
        <w:t>El</w:t>
      </w:r>
      <w:r w:rsidRPr="00CF7342">
        <w:t xml:space="preserve"> Poder Ejecutivo según Decreto N° 301/017 emit</w:t>
      </w:r>
      <w:r>
        <w:t>ió</w:t>
      </w:r>
      <w:r w:rsidRPr="00CF7342">
        <w:t xml:space="preserve"> un bono a 30 años amortizable y con cupón anual, atendiendo al pedido formulado por el BCU a los efectos de consolidar </w:t>
      </w:r>
      <w:r>
        <w:t>la totalidad de</w:t>
      </w:r>
      <w:r w:rsidRPr="00CF7342">
        <w:t xml:space="preserve"> bonos vigentes en una única serie, de manera de simplificar la adm</w:t>
      </w:r>
      <w:r>
        <w:t>inistración de dichos títulos. E</w:t>
      </w:r>
      <w:r w:rsidRPr="00CF7342">
        <w:t xml:space="preserve">ste </w:t>
      </w:r>
      <w:r>
        <w:t xml:space="preserve">                   </w:t>
      </w:r>
      <w:r w:rsidRPr="00CF7342">
        <w:t xml:space="preserve">bono </w:t>
      </w:r>
      <w:r>
        <w:t>fue considerado</w:t>
      </w:r>
      <w:r w:rsidRPr="00CF7342">
        <w:t xml:space="preserve"> como un nuevo </w:t>
      </w:r>
      <w:r>
        <w:t>a</w:t>
      </w:r>
      <w:r w:rsidRPr="00CF7342">
        <w:t>ctivo por el BCU</w:t>
      </w:r>
      <w:r>
        <w:t>, y  fue reconocido</w:t>
      </w:r>
      <w:r w:rsidRPr="00CF7342">
        <w:t xml:space="preserve"> a su </w:t>
      </w:r>
      <w:r>
        <w:t xml:space="preserve">                                </w:t>
      </w:r>
      <w:r w:rsidRPr="00CF7342">
        <w:t xml:space="preserve">valor razonable, </w:t>
      </w:r>
      <w:r>
        <w:t>de acuerdo a Resolución del Directorio N° D/41/2018 del 21/02/2018, dándose de baja a los anteriores títulos al valor en libros e imputándose la diferencia al resultado del ejercicio. L</w:t>
      </w:r>
      <w:r w:rsidRPr="00CF7342">
        <w:rPr>
          <w:rFonts w:eastAsiaTheme="minorHAnsi" w:cs="Arial"/>
          <w:szCs w:val="24"/>
        </w:rPr>
        <w:t xml:space="preserve">a utilidad reconocida en el resultado integral del ejercicio </w:t>
      </w:r>
      <w:r>
        <w:rPr>
          <w:rFonts w:eastAsiaTheme="minorHAnsi" w:cs="Arial"/>
          <w:szCs w:val="24"/>
        </w:rPr>
        <w:t xml:space="preserve">por esta operación fue de </w:t>
      </w:r>
      <w:r w:rsidRPr="00CF7342">
        <w:rPr>
          <w:rFonts w:eastAsiaTheme="minorHAnsi" w:cs="Arial"/>
          <w:szCs w:val="24"/>
        </w:rPr>
        <w:t>millon</w:t>
      </w:r>
      <w:r w:rsidR="00E140AA">
        <w:rPr>
          <w:rFonts w:eastAsiaTheme="minorHAnsi" w:cs="Arial"/>
          <w:szCs w:val="24"/>
        </w:rPr>
        <w:t>es de $ 46.870.</w:t>
      </w:r>
    </w:p>
    <w:p w:rsidR="003B2FC3" w:rsidRPr="00AE302F" w:rsidRDefault="003B2FC3" w:rsidP="003B2FC3">
      <w:pPr>
        <w:keepNext/>
        <w:widowControl w:val="0"/>
        <w:autoSpaceDE w:val="0"/>
        <w:autoSpaceDN w:val="0"/>
        <w:adjustRightInd w:val="0"/>
        <w:spacing w:after="0" w:line="360" w:lineRule="auto"/>
        <w:rPr>
          <w:rFonts w:cs="Arial"/>
          <w:bCs/>
          <w:color w:val="0070C0"/>
          <w:szCs w:val="24"/>
        </w:rPr>
      </w:pPr>
    </w:p>
    <w:p w:rsidR="003B2FC3" w:rsidRPr="00FB7300" w:rsidRDefault="003B2FC3" w:rsidP="003B2FC3">
      <w:pPr>
        <w:keepNext/>
        <w:widowControl w:val="0"/>
        <w:autoSpaceDE w:val="0"/>
        <w:autoSpaceDN w:val="0"/>
        <w:adjustRightInd w:val="0"/>
        <w:spacing w:after="0" w:line="360" w:lineRule="auto"/>
        <w:rPr>
          <w:b/>
        </w:rPr>
      </w:pPr>
      <w:r w:rsidRPr="00FB7300">
        <w:rPr>
          <w:b/>
        </w:rPr>
        <w:t>Opinión respecto al cumplimiento de la normativa legal aplicable</w:t>
      </w:r>
    </w:p>
    <w:p w:rsidR="003B2FC3" w:rsidRPr="00FB7300" w:rsidRDefault="003B2FC3" w:rsidP="003B2FC3">
      <w:pPr>
        <w:keepNext/>
        <w:widowControl w:val="0"/>
        <w:autoSpaceDE w:val="0"/>
        <w:autoSpaceDN w:val="0"/>
        <w:adjustRightInd w:val="0"/>
        <w:spacing w:after="0" w:line="360" w:lineRule="auto"/>
        <w:rPr>
          <w:rFonts w:cs="Arial"/>
          <w:szCs w:val="24"/>
        </w:rPr>
      </w:pPr>
      <w:r w:rsidRPr="00FB7300">
        <w:t>En el curso de la auditoría no se han constatado incumplimientos a las normas aplicables</w:t>
      </w:r>
      <w:r w:rsidRPr="00FB7300">
        <w:rPr>
          <w:rFonts w:cs="Arial"/>
          <w:szCs w:val="24"/>
        </w:rPr>
        <w:t>.</w:t>
      </w:r>
    </w:p>
    <w:p w:rsidR="003B2FC3" w:rsidRPr="001F4E07" w:rsidRDefault="003B2FC3" w:rsidP="003B2FC3">
      <w:pPr>
        <w:keepNext/>
        <w:widowControl w:val="0"/>
        <w:spacing w:after="0" w:line="360" w:lineRule="auto"/>
        <w:rPr>
          <w:rFonts w:cs="Arial"/>
          <w:szCs w:val="24"/>
        </w:rPr>
      </w:pPr>
    </w:p>
    <w:p w:rsidR="003B2FC3" w:rsidRPr="00FB7300" w:rsidRDefault="003B2FC3" w:rsidP="003B2FC3">
      <w:pPr>
        <w:keepNext/>
        <w:widowControl w:val="0"/>
        <w:autoSpaceDE w:val="0"/>
        <w:autoSpaceDN w:val="0"/>
        <w:adjustRightInd w:val="0"/>
        <w:spacing w:after="0" w:line="360" w:lineRule="auto"/>
        <w:rPr>
          <w:b/>
        </w:rPr>
      </w:pPr>
      <w:r w:rsidRPr="00FB7300">
        <w:rPr>
          <w:b/>
        </w:rPr>
        <w:t>Bases para  la Opinión sin salvedades</w:t>
      </w:r>
    </w:p>
    <w:p w:rsidR="003B2FC3" w:rsidRDefault="003B2FC3" w:rsidP="003B2FC3">
      <w:pPr>
        <w:keepNext/>
        <w:widowControl w:val="0"/>
        <w:autoSpaceDE w:val="0"/>
        <w:autoSpaceDN w:val="0"/>
        <w:adjustRightInd w:val="0"/>
        <w:spacing w:after="0" w:line="360" w:lineRule="auto"/>
        <w:rPr>
          <w:rFonts w:cs="Arial"/>
          <w:szCs w:val="24"/>
        </w:rPr>
      </w:pPr>
      <w:r w:rsidRPr="00FB7300">
        <w:t>Esta auditoría fue realizada de acuerdo con los Principios Fundamentales de Auditoría</w:t>
      </w:r>
      <w:r w:rsidRPr="00FB7300">
        <w:rPr>
          <w:rFonts w:cs="Arial"/>
          <w:szCs w:val="24"/>
        </w:rPr>
        <w:t xml:space="preserve"> (ISSAI 100 y 200) y las Directrices de Auditoría Financiera (ISSAI 1000 a 1810</w:t>
      </w:r>
      <w:r w:rsidRPr="006F72D1">
        <w:rPr>
          <w:rFonts w:cs="Arial"/>
          <w:szCs w:val="24"/>
        </w:rPr>
        <w:t>) de la Organización Internacional de Entidades Fiscalizadoras Superiores (INTOSAI).</w:t>
      </w:r>
      <w:r>
        <w:rPr>
          <w:rFonts w:cs="Arial"/>
          <w:szCs w:val="24"/>
        </w:rPr>
        <w:t xml:space="preserve"> La responsabilidad del Tribunal </w:t>
      </w:r>
      <w:r w:rsidRPr="00202CDB">
        <w:rPr>
          <w:rFonts w:cs="Arial"/>
          <w:szCs w:val="24"/>
        </w:rPr>
        <w:t xml:space="preserve">bajo estas normas se describe con más detalle en la sección de </w:t>
      </w:r>
      <w:r w:rsidRPr="00202CDB">
        <w:rPr>
          <w:rFonts w:cs="Arial"/>
          <w:i/>
          <w:szCs w:val="24"/>
        </w:rPr>
        <w:t>Responsabilidad</w:t>
      </w:r>
      <w:r w:rsidRPr="00D31BF7">
        <w:rPr>
          <w:rFonts w:cs="Arial"/>
          <w:i/>
          <w:szCs w:val="24"/>
        </w:rPr>
        <w:t xml:space="preserve"> del </w:t>
      </w:r>
      <w:r>
        <w:rPr>
          <w:rFonts w:cs="Arial"/>
          <w:i/>
          <w:szCs w:val="24"/>
        </w:rPr>
        <w:t>Tribunal de Cuentas</w:t>
      </w:r>
      <w:r w:rsidRPr="00C8548F">
        <w:rPr>
          <w:rFonts w:cs="Arial"/>
          <w:i/>
          <w:szCs w:val="24"/>
        </w:rPr>
        <w:t xml:space="preserve"> por la auditoría de los estados financieros</w:t>
      </w:r>
      <w:r>
        <w:rPr>
          <w:rFonts w:cs="Arial"/>
          <w:szCs w:val="24"/>
        </w:rPr>
        <w:t xml:space="preserve">. </w:t>
      </w:r>
      <w:r w:rsidRPr="00C362C2">
        <w:rPr>
          <w:rFonts w:cs="Arial"/>
          <w:szCs w:val="24"/>
        </w:rPr>
        <w:t>E</w:t>
      </w:r>
      <w:r>
        <w:rPr>
          <w:rFonts w:cs="Arial"/>
          <w:szCs w:val="24"/>
        </w:rPr>
        <w:t xml:space="preserve">ste Tribunal es independiente del BCU </w:t>
      </w:r>
      <w:r w:rsidRPr="00C362C2">
        <w:rPr>
          <w:rFonts w:cs="Arial"/>
          <w:szCs w:val="24"/>
        </w:rPr>
        <w:t>y ha</w:t>
      </w:r>
      <w:r>
        <w:rPr>
          <w:rFonts w:cs="Arial"/>
          <w:szCs w:val="24"/>
        </w:rPr>
        <w:t xml:space="preserve"> cumplido c</w:t>
      </w:r>
      <w:r w:rsidRPr="00542A07">
        <w:rPr>
          <w:rFonts w:cs="Arial"/>
          <w:szCs w:val="24"/>
        </w:rPr>
        <w:t>on las disposiciones de</w:t>
      </w:r>
      <w:r>
        <w:rPr>
          <w:rFonts w:cs="Arial"/>
          <w:szCs w:val="24"/>
        </w:rPr>
        <w:t xml:space="preserve"> su</w:t>
      </w:r>
      <w:r w:rsidRPr="00542A07">
        <w:rPr>
          <w:rFonts w:cs="Arial"/>
          <w:szCs w:val="24"/>
        </w:rPr>
        <w:t xml:space="preserve"> Código de Ética</w:t>
      </w:r>
      <w:r>
        <w:rPr>
          <w:rFonts w:cs="Arial"/>
          <w:szCs w:val="24"/>
        </w:rPr>
        <w:t xml:space="preserve">, elaborado en concordancia con el Código de Ética de la INTOSAI. Se considera que la evidencia de auditoría obtenida es suficiente </w:t>
      </w:r>
      <w:r w:rsidRPr="00C362C2">
        <w:rPr>
          <w:rFonts w:cs="Arial"/>
          <w:szCs w:val="24"/>
        </w:rPr>
        <w:t>y adecuada para pr</w:t>
      </w:r>
      <w:r>
        <w:rPr>
          <w:rFonts w:cs="Arial"/>
          <w:szCs w:val="24"/>
        </w:rPr>
        <w:t>oporcionar una base razon</w:t>
      </w:r>
      <w:r w:rsidR="00E140AA">
        <w:rPr>
          <w:rFonts w:cs="Arial"/>
          <w:szCs w:val="24"/>
        </w:rPr>
        <w:t>able para sustentar la opinión.</w:t>
      </w:r>
    </w:p>
    <w:p w:rsidR="003B2FC3" w:rsidRDefault="003B2FC3" w:rsidP="003B2FC3">
      <w:pPr>
        <w:keepNext/>
        <w:widowControl w:val="0"/>
        <w:spacing w:line="360" w:lineRule="auto"/>
        <w:rPr>
          <w:rFonts w:cs="Arial"/>
          <w:szCs w:val="24"/>
        </w:rPr>
      </w:pPr>
    </w:p>
    <w:p w:rsidR="003B2FC3" w:rsidRPr="00C21CFD" w:rsidRDefault="003B2FC3" w:rsidP="003B2FC3">
      <w:pPr>
        <w:keepNext/>
        <w:widowControl w:val="0"/>
        <w:spacing w:after="0" w:line="360" w:lineRule="auto"/>
        <w:rPr>
          <w:rFonts w:cs="Arial"/>
          <w:szCs w:val="24"/>
        </w:rPr>
      </w:pPr>
      <w:r w:rsidRPr="00C21CFD">
        <w:rPr>
          <w:rFonts w:cs="Arial"/>
          <w:b/>
          <w:szCs w:val="24"/>
        </w:rPr>
        <w:t>Otra información</w:t>
      </w:r>
    </w:p>
    <w:p w:rsidR="003B2FC3" w:rsidRPr="00E140AA" w:rsidRDefault="003B2FC3" w:rsidP="003B2FC3">
      <w:pPr>
        <w:keepNext/>
        <w:widowControl w:val="0"/>
        <w:spacing w:line="360" w:lineRule="auto"/>
        <w:rPr>
          <w:rFonts w:cs="Arial"/>
          <w:szCs w:val="24"/>
        </w:rPr>
      </w:pPr>
      <w:r w:rsidRPr="00C21CFD">
        <w:rPr>
          <w:rFonts w:cs="Arial"/>
          <w:szCs w:val="24"/>
        </w:rPr>
        <w:t>La Dirección de</w:t>
      </w:r>
      <w:r>
        <w:rPr>
          <w:rFonts w:cs="Arial"/>
          <w:szCs w:val="24"/>
        </w:rPr>
        <w:t xml:space="preserve">l </w:t>
      </w:r>
      <w:r w:rsidRPr="001544A0">
        <w:rPr>
          <w:rFonts w:cs="Arial"/>
          <w:szCs w:val="24"/>
        </w:rPr>
        <w:t>BCU</w:t>
      </w:r>
      <w:r>
        <w:rPr>
          <w:rFonts w:cs="Arial"/>
          <w:i/>
          <w:szCs w:val="24"/>
        </w:rPr>
        <w:t xml:space="preserve"> </w:t>
      </w:r>
      <w:r w:rsidRPr="00C21CFD">
        <w:rPr>
          <w:rFonts w:cs="Arial"/>
          <w:szCs w:val="24"/>
        </w:rPr>
        <w:t xml:space="preserve">es responsable por la otra información anexa a los estados financieros. La otra información comprende </w:t>
      </w:r>
      <w:r>
        <w:rPr>
          <w:rFonts w:cs="Arial"/>
          <w:i/>
          <w:szCs w:val="24"/>
        </w:rPr>
        <w:t xml:space="preserve">el </w:t>
      </w:r>
      <w:r w:rsidRPr="001544A0">
        <w:rPr>
          <w:rFonts w:cs="Arial"/>
          <w:szCs w:val="24"/>
        </w:rPr>
        <w:t>Análisis de los estados financieros</w:t>
      </w:r>
      <w:r w:rsidRPr="00C21CFD">
        <w:rPr>
          <w:rFonts w:cs="Arial"/>
          <w:i/>
          <w:szCs w:val="24"/>
        </w:rPr>
        <w:t>.</w:t>
      </w:r>
    </w:p>
    <w:p w:rsidR="003B2FC3" w:rsidRDefault="003B2FC3" w:rsidP="003B2FC3">
      <w:pPr>
        <w:keepNext/>
        <w:widowControl w:val="0"/>
        <w:spacing w:line="360" w:lineRule="auto"/>
        <w:rPr>
          <w:rFonts w:cs="Arial"/>
          <w:szCs w:val="24"/>
        </w:rPr>
      </w:pPr>
      <w:r w:rsidRPr="00C21CFD">
        <w:rPr>
          <w:rFonts w:cs="Arial"/>
          <w:szCs w:val="24"/>
        </w:rPr>
        <w:t>La opinión del Tribunal de Cuentas sobre los estados financieros no contempla la otra información y no se expresa ninguna forma de opinión sobre la misma.</w:t>
      </w:r>
    </w:p>
    <w:p w:rsidR="003B2FC3" w:rsidRDefault="003B2FC3" w:rsidP="003B2FC3">
      <w:pPr>
        <w:keepNext/>
        <w:widowControl w:val="0"/>
        <w:spacing w:line="360" w:lineRule="auto"/>
        <w:rPr>
          <w:rFonts w:cs="Arial"/>
          <w:b/>
          <w:szCs w:val="24"/>
        </w:rPr>
      </w:pPr>
    </w:p>
    <w:p w:rsidR="003B2FC3" w:rsidRPr="00983313" w:rsidRDefault="003B2FC3" w:rsidP="003B2FC3">
      <w:pPr>
        <w:keepNext/>
        <w:widowControl w:val="0"/>
        <w:spacing w:after="0" w:line="360" w:lineRule="auto"/>
        <w:rPr>
          <w:rFonts w:cs="Arial"/>
          <w:b/>
          <w:szCs w:val="24"/>
        </w:rPr>
      </w:pPr>
      <w:r w:rsidRPr="00983313">
        <w:rPr>
          <w:rFonts w:cs="Arial"/>
          <w:b/>
          <w:szCs w:val="24"/>
        </w:rPr>
        <w:t>Responsabilidad del Directorio en relación</w:t>
      </w:r>
      <w:r w:rsidR="00E140AA">
        <w:rPr>
          <w:rFonts w:cs="Arial"/>
          <w:b/>
          <w:szCs w:val="24"/>
        </w:rPr>
        <w:t xml:space="preserve"> con los estados financieros</w:t>
      </w:r>
    </w:p>
    <w:p w:rsidR="003B2FC3" w:rsidRDefault="003B2FC3" w:rsidP="003B2FC3">
      <w:pPr>
        <w:keepNext/>
        <w:widowControl w:val="0"/>
        <w:spacing w:after="0" w:line="360" w:lineRule="auto"/>
        <w:rPr>
          <w:rFonts w:cs="Arial"/>
          <w:szCs w:val="24"/>
        </w:rPr>
      </w:pPr>
      <w:r w:rsidRPr="00FB7300">
        <w:rPr>
          <w:rFonts w:cs="Arial"/>
          <w:szCs w:val="24"/>
        </w:rPr>
        <w:t>El Directorio del BCU es responsable por la preparación y presentación razonable</w:t>
      </w:r>
      <w:r w:rsidRPr="004E775E">
        <w:rPr>
          <w:rFonts w:cs="Arial"/>
          <w:szCs w:val="24"/>
        </w:rPr>
        <w:t xml:space="preserve"> de los estados financieros de acuerdo </w:t>
      </w:r>
      <w:r w:rsidRPr="004E775E">
        <w:rPr>
          <w:rFonts w:cs="Arial"/>
          <w:bCs/>
        </w:rPr>
        <w:t>con lo establecido en el Artículo 51 del Texto Ordenado de su Carta Orgánica, que expresa que los estados contables anuales deberán ser “elaborados de acuerdo a criterios técnicos adecuados a la naturaleza de un Banco Central”. Asimismo en la Nota 2.1 a los estados financieros se señala que “en todo lo que no contradiga las disposiciones legales y reglamentarias antes mencionadas, han sido aplicadas las normas contables adecuadas en el Uruguay”. Los estados se exponen siguiendo un esquema económico contable recomendado por el Centro de Estudios</w:t>
      </w:r>
      <w:r>
        <w:rPr>
          <w:rFonts w:cs="Arial"/>
          <w:bCs/>
        </w:rPr>
        <w:t xml:space="preserve"> Monetarios Latinoamericanos (CEMLA</w:t>
      </w:r>
      <w:r w:rsidRPr="004E775E">
        <w:rPr>
          <w:rFonts w:cs="Arial"/>
          <w:bCs/>
        </w:rPr>
        <w:t xml:space="preserve">). En lo pertinente la Dirección del BCU es responsable de aplicar los criterios establecidos en la Ordenanza Nº 89 del Tribunal de Cuentas </w:t>
      </w:r>
      <w:r w:rsidRPr="004E775E">
        <w:rPr>
          <w:rFonts w:cs="Arial"/>
          <w:szCs w:val="24"/>
        </w:rPr>
        <w:t>y del control intern</w:t>
      </w:r>
      <w:r w:rsidRPr="00A533E7">
        <w:rPr>
          <w:rFonts w:cs="Arial"/>
          <w:szCs w:val="24"/>
        </w:rPr>
        <w:t>o que la administración de la entidad consideró necesario para permitir</w:t>
      </w:r>
      <w:r>
        <w:rPr>
          <w:rFonts w:cs="Arial"/>
          <w:szCs w:val="24"/>
        </w:rPr>
        <w:t xml:space="preserve"> la preparación de estados financieros libres de errores significativos ya sea debido a fraude o error.</w:t>
      </w:r>
    </w:p>
    <w:p w:rsidR="003B2FC3" w:rsidRDefault="003B2FC3" w:rsidP="003B2FC3">
      <w:pPr>
        <w:keepNext/>
        <w:widowControl w:val="0"/>
        <w:spacing w:line="360" w:lineRule="auto"/>
        <w:rPr>
          <w:rFonts w:cs="Arial"/>
          <w:szCs w:val="24"/>
        </w:rPr>
      </w:pPr>
      <w:r>
        <w:rPr>
          <w:rFonts w:cs="Arial"/>
          <w:szCs w:val="24"/>
        </w:rPr>
        <w:t xml:space="preserve">El Directorio es </w:t>
      </w:r>
      <w:r w:rsidRPr="00C252F8">
        <w:rPr>
          <w:rFonts w:cs="Arial"/>
          <w:szCs w:val="24"/>
        </w:rPr>
        <w:t>responsable de supervisar el proceso</w:t>
      </w:r>
      <w:r>
        <w:rPr>
          <w:rFonts w:cs="Arial"/>
          <w:szCs w:val="24"/>
        </w:rPr>
        <w:t xml:space="preserve"> de preparación de los estados financieros de BCU.</w:t>
      </w:r>
    </w:p>
    <w:p w:rsidR="003B2FC3" w:rsidRPr="00C26C29" w:rsidRDefault="003B2FC3" w:rsidP="003B2FC3">
      <w:pPr>
        <w:keepNext/>
        <w:widowControl w:val="0"/>
        <w:spacing w:line="360" w:lineRule="auto"/>
        <w:rPr>
          <w:rFonts w:cs="Arial"/>
          <w:b/>
          <w:szCs w:val="24"/>
        </w:rPr>
      </w:pPr>
      <w:r w:rsidRPr="00C26C29">
        <w:rPr>
          <w:rFonts w:cs="Arial"/>
          <w:b/>
          <w:szCs w:val="24"/>
        </w:rPr>
        <w:t xml:space="preserve">Responsabilidad del </w:t>
      </w:r>
      <w:r>
        <w:rPr>
          <w:rFonts w:cs="Arial"/>
          <w:b/>
          <w:szCs w:val="24"/>
        </w:rPr>
        <w:t>Tribunal de Cuentas</w:t>
      </w:r>
      <w:r w:rsidRPr="00C26C29">
        <w:rPr>
          <w:rFonts w:cs="Arial"/>
          <w:b/>
          <w:szCs w:val="24"/>
        </w:rPr>
        <w:t xml:space="preserve"> por la audit</w:t>
      </w:r>
      <w:r>
        <w:rPr>
          <w:rFonts w:cs="Arial"/>
          <w:b/>
          <w:szCs w:val="24"/>
        </w:rPr>
        <w:t>oría de los estados financieros</w:t>
      </w:r>
    </w:p>
    <w:p w:rsidR="003B2FC3" w:rsidRDefault="003B2FC3" w:rsidP="003B2FC3">
      <w:pPr>
        <w:keepNext/>
        <w:widowControl w:val="0"/>
        <w:spacing w:line="360" w:lineRule="auto"/>
        <w:rPr>
          <w:rFonts w:cs="Arial"/>
          <w:szCs w:val="24"/>
        </w:rPr>
      </w:pPr>
      <w:r>
        <w:rPr>
          <w:rFonts w:cs="Arial"/>
          <w:szCs w:val="24"/>
        </w:rPr>
        <w:t xml:space="preserve">El objetivo de la auditoría consiste en obtener una seguridad razonable acerca de que los estados financieros en su conjunto están libres de errores significativos, ya sea debido a fraude o error y </w:t>
      </w:r>
      <w:r w:rsidRPr="00D05EF9">
        <w:rPr>
          <w:rFonts w:cs="Arial"/>
          <w:szCs w:val="24"/>
        </w:rPr>
        <w:t>emitir un dictamen de auditoría con la correspondiente opinión</w:t>
      </w:r>
      <w:r>
        <w:rPr>
          <w:rFonts w:cs="Arial"/>
          <w:szCs w:val="24"/>
        </w:rPr>
        <w:t xml:space="preserve">.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w:t>
      </w:r>
      <w:r w:rsidRPr="005E4EBB">
        <w:rPr>
          <w:rFonts w:cs="Arial"/>
          <w:szCs w:val="24"/>
        </w:rPr>
        <w:t xml:space="preserve">esperarse </w:t>
      </w:r>
      <w:r>
        <w:rPr>
          <w:rFonts w:cs="Arial"/>
          <w:szCs w:val="24"/>
        </w:rPr>
        <w:t>que influyan en las decisiones económicas tomadas por los usuarios sobre la base de los estados financieros.</w:t>
      </w:r>
    </w:p>
    <w:p w:rsidR="003B2FC3" w:rsidRDefault="003B2FC3" w:rsidP="003B2FC3">
      <w:pPr>
        <w:keepNext/>
        <w:widowControl w:val="0"/>
        <w:spacing w:line="360" w:lineRule="auto"/>
        <w:rPr>
          <w:rFonts w:cs="Arial"/>
          <w:szCs w:val="24"/>
        </w:rPr>
      </w:pPr>
      <w:r>
        <w:rPr>
          <w:rFonts w:cs="Arial"/>
          <w:szCs w:val="24"/>
        </w:rPr>
        <w:t xml:space="preserve">Como parte de una auditoría de acuerdo con las ISSAI referidas en la sección </w:t>
      </w:r>
      <w:r w:rsidRPr="00FB6660">
        <w:rPr>
          <w:rFonts w:cs="Arial"/>
          <w:i/>
          <w:szCs w:val="24"/>
        </w:rPr>
        <w:t>Bases para la Opinión</w:t>
      </w:r>
      <w:r>
        <w:rPr>
          <w:rFonts w:cs="Arial"/>
          <w:szCs w:val="24"/>
        </w:rPr>
        <w:t>, el Tribunal de Cuentas aplica su juicio profesional y mantiene el escepticismo profesional durante el proceso de auditoría. Asimismo:</w:t>
      </w:r>
    </w:p>
    <w:p w:rsidR="003B2FC3" w:rsidRDefault="003B2FC3" w:rsidP="003B2FC3">
      <w:pPr>
        <w:pStyle w:val="Prrafodelista"/>
        <w:keepNext/>
        <w:widowControl w:val="0"/>
        <w:numPr>
          <w:ilvl w:val="0"/>
          <w:numId w:val="6"/>
        </w:numPr>
        <w:spacing w:line="360" w:lineRule="auto"/>
        <w:jc w:val="both"/>
        <w:rPr>
          <w:rFonts w:ascii="Arial" w:hAnsi="Arial" w:cs="Arial"/>
          <w:szCs w:val="24"/>
        </w:rPr>
      </w:pPr>
      <w:r>
        <w:rPr>
          <w:rFonts w:ascii="Arial" w:hAnsi="Arial" w:cs="Arial"/>
          <w:szCs w:val="24"/>
        </w:rPr>
        <w:t xml:space="preserve">Identifica y evalúa el riesgo de que existan errores </w:t>
      </w:r>
      <w:r w:rsidRPr="002F0BEA">
        <w:rPr>
          <w:rFonts w:ascii="Arial" w:hAnsi="Arial" w:cs="Arial"/>
          <w:szCs w:val="24"/>
        </w:rPr>
        <w:t>significativos en los estados financieros, ya sea debido a fraude o error, diseña y realiza procedimientos de auditoría para responder a dichos riesgos y obtiene evidencia de auditoría suficiente y apropiada para fundamentar la base</w:t>
      </w:r>
      <w:r>
        <w:rPr>
          <w:rFonts w:ascii="Arial" w:hAnsi="Arial" w:cs="Arial"/>
          <w:szCs w:val="24"/>
        </w:rPr>
        <w:t xml:space="preserve"> de la opinión. El riesgo de no detectar un error significativo resultante de un fraude es mayor que el resultante de un error, dado que el fraude puede implicar colusión, falsificación, omisiones intencionales, manifestaciones intencionalmente incorrectas o apartamientos de control interno.</w:t>
      </w:r>
    </w:p>
    <w:p w:rsidR="003B2FC3" w:rsidRDefault="003B2FC3" w:rsidP="003B2FC3">
      <w:pPr>
        <w:pStyle w:val="Prrafodelista"/>
        <w:keepNext/>
        <w:widowControl w:val="0"/>
        <w:numPr>
          <w:ilvl w:val="0"/>
          <w:numId w:val="6"/>
        </w:numPr>
        <w:spacing w:line="360" w:lineRule="auto"/>
        <w:jc w:val="both"/>
        <w:rPr>
          <w:rFonts w:ascii="Arial" w:hAnsi="Arial" w:cs="Arial"/>
          <w:szCs w:val="24"/>
        </w:rPr>
      </w:pPr>
      <w:r>
        <w:rPr>
          <w:rFonts w:ascii="Arial" w:hAnsi="Arial" w:cs="Arial"/>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3B2FC3" w:rsidRDefault="003B2FC3" w:rsidP="003B2FC3">
      <w:pPr>
        <w:pStyle w:val="Prrafodelista"/>
        <w:keepNext/>
        <w:widowControl w:val="0"/>
        <w:numPr>
          <w:ilvl w:val="0"/>
          <w:numId w:val="6"/>
        </w:numPr>
        <w:spacing w:line="360" w:lineRule="auto"/>
        <w:jc w:val="both"/>
        <w:rPr>
          <w:rFonts w:ascii="Arial" w:hAnsi="Arial" w:cs="Arial"/>
          <w:szCs w:val="24"/>
        </w:rPr>
      </w:pPr>
      <w:r>
        <w:rPr>
          <w:rFonts w:ascii="Arial" w:hAnsi="Arial" w:cs="Arial"/>
          <w:szCs w:val="24"/>
        </w:rPr>
        <w:t>Evalúa lo adecuado de las políticas contables adoptadas, la razonabilidad de las estimaciones contables y las revelaciones relacionadas realizadas por la Dirección.</w:t>
      </w:r>
    </w:p>
    <w:p w:rsidR="003B2FC3" w:rsidRPr="00C31E41" w:rsidRDefault="003B2FC3" w:rsidP="003B2FC3">
      <w:pPr>
        <w:pStyle w:val="Prrafodelista"/>
        <w:keepNext/>
        <w:widowControl w:val="0"/>
        <w:numPr>
          <w:ilvl w:val="0"/>
          <w:numId w:val="6"/>
        </w:numPr>
        <w:spacing w:line="360" w:lineRule="auto"/>
        <w:jc w:val="both"/>
        <w:rPr>
          <w:rFonts w:ascii="Arial" w:hAnsi="Arial" w:cs="Arial"/>
          <w:szCs w:val="24"/>
        </w:rPr>
      </w:pPr>
      <w:r w:rsidRPr="00136B93">
        <w:rPr>
          <w:rFonts w:ascii="Arial" w:hAnsi="Arial" w:cs="Arial"/>
          <w:szCs w:val="24"/>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3B2FC3" w:rsidRDefault="003B2FC3" w:rsidP="003B2FC3">
      <w:pPr>
        <w:pStyle w:val="Prrafodelista"/>
        <w:keepNext/>
        <w:widowControl w:val="0"/>
        <w:numPr>
          <w:ilvl w:val="0"/>
          <w:numId w:val="6"/>
        </w:numPr>
        <w:spacing w:line="360" w:lineRule="auto"/>
        <w:jc w:val="both"/>
        <w:rPr>
          <w:rFonts w:ascii="Arial" w:hAnsi="Arial" w:cs="Arial"/>
          <w:szCs w:val="24"/>
        </w:rPr>
      </w:pPr>
      <w:r>
        <w:rPr>
          <w:rFonts w:ascii="Arial" w:hAnsi="Arial" w:cs="Arial"/>
          <w:szCs w:val="24"/>
        </w:rPr>
        <w:t>Determina su opinión en base a la evidencia de auditoría obtenida hasta la fecha del dictamen de auditoría.</w:t>
      </w:r>
    </w:p>
    <w:p w:rsidR="00E140AA" w:rsidRPr="00E140AA" w:rsidRDefault="00E140AA" w:rsidP="00E140AA">
      <w:pPr>
        <w:keepNext/>
        <w:widowControl w:val="0"/>
        <w:spacing w:line="360" w:lineRule="auto"/>
        <w:rPr>
          <w:rFonts w:cs="Arial"/>
          <w:szCs w:val="24"/>
        </w:rPr>
      </w:pPr>
    </w:p>
    <w:p w:rsidR="003B2FC3" w:rsidRDefault="003B2FC3" w:rsidP="003B2FC3">
      <w:pPr>
        <w:pStyle w:val="Prrafodelista"/>
        <w:keepNext/>
        <w:widowControl w:val="0"/>
        <w:spacing w:line="360" w:lineRule="auto"/>
        <w:ind w:left="0"/>
        <w:jc w:val="both"/>
        <w:rPr>
          <w:rFonts w:ascii="Arial" w:hAnsi="Arial" w:cs="Arial"/>
          <w:szCs w:val="24"/>
        </w:rPr>
      </w:pPr>
      <w:r>
        <w:rPr>
          <w:rFonts w:ascii="Arial" w:hAnsi="Arial" w:cs="Arial"/>
          <w:szCs w:val="24"/>
        </w:rPr>
        <w:t>El Tribunal de Cuentas se comunicó con el Directorio</w:t>
      </w:r>
      <w:r>
        <w:rPr>
          <w:rFonts w:ascii="Arial" w:hAnsi="Arial" w:cs="Arial"/>
          <w:sz w:val="18"/>
          <w:szCs w:val="18"/>
        </w:rPr>
        <w:t>,</w:t>
      </w:r>
      <w:r>
        <w:rPr>
          <w:rFonts w:ascii="Arial" w:hAnsi="Arial" w:cs="Arial"/>
          <w:szCs w:val="24"/>
        </w:rPr>
        <w:t xml:space="preserve">  en relación, entre otros asuntos, al alcance y la oportunidad de los procedimientos de auditoría.</w:t>
      </w:r>
    </w:p>
    <w:p w:rsidR="003B2FC3" w:rsidRDefault="003B2FC3" w:rsidP="003B2FC3">
      <w:pPr>
        <w:keepNext/>
        <w:widowControl w:val="0"/>
        <w:spacing w:line="360" w:lineRule="auto"/>
        <w:jc w:val="right"/>
        <w:rPr>
          <w:rFonts w:cs="Arial"/>
          <w:szCs w:val="24"/>
        </w:rPr>
      </w:pPr>
      <w:r w:rsidRPr="004C1F67">
        <w:rPr>
          <w:rFonts w:cs="Arial"/>
          <w:szCs w:val="24"/>
        </w:rPr>
        <w:t>Montevideo</w:t>
      </w:r>
      <w:r w:rsidRPr="00F11B33">
        <w:rPr>
          <w:rFonts w:cs="Arial"/>
          <w:szCs w:val="24"/>
        </w:rPr>
        <w:t xml:space="preserve">, </w:t>
      </w:r>
      <w:r>
        <w:rPr>
          <w:rFonts w:cs="Arial"/>
          <w:szCs w:val="24"/>
        </w:rPr>
        <w:t>22</w:t>
      </w:r>
      <w:r w:rsidRPr="00F11B33">
        <w:rPr>
          <w:rFonts w:cs="Arial"/>
          <w:szCs w:val="24"/>
        </w:rPr>
        <w:t xml:space="preserve"> de junio de 2018</w:t>
      </w:r>
    </w:p>
    <w:p w:rsidR="003B2FC3" w:rsidRDefault="003B2FC3" w:rsidP="003B2FC3">
      <w:pPr>
        <w:keepNext/>
        <w:widowControl w:val="0"/>
        <w:spacing w:line="360" w:lineRule="auto"/>
        <w:rPr>
          <w:rFonts w:cs="Arial"/>
          <w:szCs w:val="24"/>
        </w:rPr>
      </w:pPr>
      <w:proofErr w:type="spellStart"/>
      <w:proofErr w:type="gramStart"/>
      <w:r>
        <w:rPr>
          <w:rFonts w:cs="Arial"/>
          <w:szCs w:val="24"/>
        </w:rPr>
        <w:t>ag</w:t>
      </w:r>
      <w:proofErr w:type="spellEnd"/>
      <w:proofErr w:type="gramEnd"/>
    </w:p>
    <w:p w:rsidR="003B2FC3" w:rsidRDefault="003B2FC3" w:rsidP="003B2FC3">
      <w:pPr>
        <w:keepNext/>
        <w:widowControl w:val="0"/>
        <w:spacing w:line="360" w:lineRule="auto"/>
        <w:rPr>
          <w:rFonts w:cs="Arial"/>
          <w:szCs w:val="24"/>
        </w:rPr>
      </w:pPr>
    </w:p>
    <w:p w:rsidR="003B2FC3" w:rsidRDefault="003B2FC3" w:rsidP="003B2FC3">
      <w:pPr>
        <w:keepNext/>
        <w:widowControl w:val="0"/>
        <w:spacing w:line="360" w:lineRule="auto"/>
        <w:rPr>
          <w:rFonts w:cs="Arial"/>
          <w:szCs w:val="24"/>
        </w:rPr>
      </w:pPr>
    </w:p>
    <w:p w:rsidR="003B2FC3" w:rsidRDefault="003B2FC3" w:rsidP="003B2FC3">
      <w:pPr>
        <w:keepNext/>
        <w:widowControl w:val="0"/>
        <w:spacing w:line="360" w:lineRule="auto"/>
        <w:rPr>
          <w:rFonts w:cs="Arial"/>
          <w:szCs w:val="24"/>
        </w:rPr>
      </w:pPr>
    </w:p>
    <w:p w:rsidR="003B2FC3" w:rsidRDefault="003B2FC3" w:rsidP="003B2FC3">
      <w:pPr>
        <w:keepNext/>
        <w:widowControl w:val="0"/>
        <w:spacing w:line="360" w:lineRule="auto"/>
        <w:rPr>
          <w:rFonts w:cs="Arial"/>
          <w:szCs w:val="24"/>
        </w:rPr>
      </w:pPr>
    </w:p>
    <w:p w:rsidR="003B2FC3" w:rsidRDefault="003B2FC3" w:rsidP="003B2FC3">
      <w:pPr>
        <w:keepNext/>
        <w:widowControl w:val="0"/>
        <w:spacing w:line="360" w:lineRule="auto"/>
        <w:rPr>
          <w:rFonts w:cs="Arial"/>
          <w:szCs w:val="24"/>
        </w:rPr>
      </w:pPr>
    </w:p>
    <w:p w:rsidR="003B2FC3" w:rsidRDefault="003B2FC3" w:rsidP="003B2FC3">
      <w:pPr>
        <w:keepNext/>
        <w:widowControl w:val="0"/>
        <w:spacing w:line="360" w:lineRule="auto"/>
        <w:rPr>
          <w:rFonts w:cs="Arial"/>
          <w:szCs w:val="24"/>
        </w:rPr>
      </w:pPr>
    </w:p>
    <w:p w:rsidR="003B2FC3" w:rsidRDefault="003B2FC3" w:rsidP="003B2FC3">
      <w:pPr>
        <w:keepNext/>
        <w:widowControl w:val="0"/>
        <w:spacing w:line="360" w:lineRule="auto"/>
        <w:rPr>
          <w:rFonts w:cs="Arial"/>
          <w:szCs w:val="24"/>
        </w:rPr>
      </w:pPr>
    </w:p>
    <w:p w:rsidR="003B2FC3" w:rsidRDefault="003B2FC3" w:rsidP="003B2FC3">
      <w:pPr>
        <w:keepNext/>
        <w:widowControl w:val="0"/>
        <w:spacing w:line="360" w:lineRule="auto"/>
        <w:rPr>
          <w:rFonts w:cs="Arial"/>
          <w:szCs w:val="24"/>
        </w:rPr>
      </w:pPr>
    </w:p>
    <w:p w:rsidR="003B2FC3" w:rsidRDefault="003B2FC3" w:rsidP="003B2FC3">
      <w:pPr>
        <w:keepNext/>
        <w:widowControl w:val="0"/>
        <w:spacing w:line="360" w:lineRule="auto"/>
        <w:rPr>
          <w:rFonts w:cs="Arial"/>
          <w:szCs w:val="24"/>
        </w:rPr>
      </w:pPr>
    </w:p>
    <w:p w:rsidR="003B2FC3" w:rsidRDefault="003B2FC3" w:rsidP="003B2FC3">
      <w:pPr>
        <w:keepNext/>
        <w:widowControl w:val="0"/>
        <w:spacing w:line="360" w:lineRule="auto"/>
        <w:rPr>
          <w:rFonts w:cs="Arial"/>
          <w:szCs w:val="24"/>
        </w:rPr>
      </w:pPr>
    </w:p>
    <w:p w:rsidR="003B2FC3" w:rsidRDefault="003B2FC3" w:rsidP="003B2FC3">
      <w:pPr>
        <w:keepNext/>
        <w:widowControl w:val="0"/>
        <w:spacing w:line="360" w:lineRule="auto"/>
        <w:rPr>
          <w:rFonts w:cs="Arial"/>
          <w:szCs w:val="24"/>
        </w:rPr>
      </w:pPr>
    </w:p>
    <w:p w:rsidR="003B2FC3" w:rsidRDefault="003B2FC3" w:rsidP="003B2FC3">
      <w:pPr>
        <w:keepNext/>
        <w:widowControl w:val="0"/>
        <w:spacing w:line="360" w:lineRule="auto"/>
        <w:rPr>
          <w:rFonts w:cs="Arial"/>
          <w:szCs w:val="24"/>
        </w:rPr>
      </w:pPr>
    </w:p>
    <w:p w:rsidR="003B2FC3" w:rsidRDefault="003B2FC3" w:rsidP="003B2FC3">
      <w:pPr>
        <w:keepNext/>
        <w:widowControl w:val="0"/>
        <w:spacing w:line="360" w:lineRule="auto"/>
        <w:rPr>
          <w:rFonts w:cs="Arial"/>
          <w:szCs w:val="24"/>
        </w:rPr>
      </w:pPr>
    </w:p>
    <w:p w:rsidR="003B2FC3" w:rsidRDefault="003B2FC3" w:rsidP="003B2FC3">
      <w:pPr>
        <w:keepNext/>
        <w:widowControl w:val="0"/>
        <w:spacing w:line="360" w:lineRule="auto"/>
        <w:rPr>
          <w:rFonts w:cs="Arial"/>
          <w:szCs w:val="24"/>
        </w:rPr>
      </w:pPr>
    </w:p>
    <w:p w:rsidR="00E140AA" w:rsidRDefault="00E140AA" w:rsidP="003B2FC3">
      <w:pPr>
        <w:keepNext/>
        <w:widowControl w:val="0"/>
        <w:spacing w:line="360" w:lineRule="auto"/>
        <w:rPr>
          <w:rFonts w:cs="Arial"/>
          <w:szCs w:val="24"/>
        </w:rPr>
      </w:pPr>
    </w:p>
    <w:p w:rsidR="003B2FC3" w:rsidRDefault="003B2FC3" w:rsidP="003B2FC3">
      <w:pPr>
        <w:keepNext/>
        <w:widowControl w:val="0"/>
        <w:spacing w:line="360" w:lineRule="auto"/>
        <w:rPr>
          <w:rFonts w:cs="Arial"/>
          <w:szCs w:val="24"/>
        </w:rPr>
      </w:pPr>
    </w:p>
    <w:p w:rsidR="003B2FC3" w:rsidRDefault="003B2FC3" w:rsidP="003B2FC3">
      <w:pPr>
        <w:keepNext/>
        <w:widowControl w:val="0"/>
        <w:spacing w:after="0" w:line="360" w:lineRule="auto"/>
        <w:jc w:val="center"/>
        <w:rPr>
          <w:rFonts w:cs="Arial"/>
          <w:b/>
          <w:szCs w:val="24"/>
        </w:rPr>
      </w:pPr>
      <w:r w:rsidRPr="004F28CB">
        <w:rPr>
          <w:rFonts w:cs="Arial"/>
          <w:b/>
          <w:szCs w:val="24"/>
        </w:rPr>
        <w:t>INFORME A LA ADMINISTRACIÓN</w:t>
      </w:r>
    </w:p>
    <w:p w:rsidR="003B2FC3" w:rsidRPr="004F28CB" w:rsidRDefault="003B2FC3" w:rsidP="003B2FC3">
      <w:pPr>
        <w:keepNext/>
        <w:widowControl w:val="0"/>
        <w:spacing w:after="0" w:line="360" w:lineRule="auto"/>
        <w:rPr>
          <w:rFonts w:cs="Arial"/>
          <w:szCs w:val="24"/>
        </w:rPr>
      </w:pPr>
      <w:r w:rsidRPr="004F28CB">
        <w:rPr>
          <w:rFonts w:cs="Arial"/>
          <w:szCs w:val="24"/>
        </w:rPr>
        <w:t xml:space="preserve">El Tribunal de Cuentas ha examinado los estados financieros del Banco Central del Uruguay (BCU) </w:t>
      </w:r>
      <w:r>
        <w:rPr>
          <w:rFonts w:cs="Arial"/>
          <w:szCs w:val="24"/>
        </w:rPr>
        <w:t>por el</w:t>
      </w:r>
      <w:r w:rsidRPr="004F28CB">
        <w:rPr>
          <w:rFonts w:cs="Arial"/>
          <w:szCs w:val="24"/>
        </w:rPr>
        <w:t xml:space="preserve"> ejercicio finalizado el 31/12/2017 y ha emitido su Dictamen.</w:t>
      </w:r>
    </w:p>
    <w:p w:rsidR="003B2FC3" w:rsidRPr="004F28CB" w:rsidRDefault="003B2FC3" w:rsidP="003B2FC3">
      <w:pPr>
        <w:keepNext/>
        <w:widowControl w:val="0"/>
        <w:spacing w:after="0" w:line="360" w:lineRule="auto"/>
        <w:rPr>
          <w:rFonts w:eastAsia="Times New Roman" w:cs="Arial"/>
          <w:szCs w:val="24"/>
          <w:lang w:eastAsia="es-ES"/>
        </w:rPr>
      </w:pPr>
      <w:r w:rsidRPr="004F28CB">
        <w:rPr>
          <w:rFonts w:eastAsia="Times New Roman" w:cs="Arial"/>
          <w:szCs w:val="24"/>
          <w:lang w:eastAsia="es-ES"/>
        </w:rPr>
        <w:t xml:space="preserve">Este informe contiene consideraciones relativas a la evaluación del control interno. Se incluyen además, comentarios </w:t>
      </w:r>
      <w:r>
        <w:rPr>
          <w:rFonts w:eastAsia="Times New Roman" w:cs="Arial"/>
          <w:szCs w:val="24"/>
          <w:lang w:eastAsia="es-ES"/>
        </w:rPr>
        <w:t xml:space="preserve">relativos a la presentación de los estados financieros, así como </w:t>
      </w:r>
      <w:r w:rsidRPr="004F28CB">
        <w:rPr>
          <w:rFonts w:eastAsia="Times New Roman" w:cs="Arial"/>
          <w:szCs w:val="24"/>
          <w:lang w:eastAsia="es-ES"/>
        </w:rPr>
        <w:t>una evaluación del cumplimiento de las recomendaciones presentadas en el informe de auditoría del ejercicio anterior.</w:t>
      </w:r>
    </w:p>
    <w:p w:rsidR="003B2FC3" w:rsidRDefault="003B2FC3" w:rsidP="003B2FC3">
      <w:pPr>
        <w:keepNext/>
        <w:widowControl w:val="0"/>
        <w:spacing w:after="0" w:line="360" w:lineRule="auto"/>
        <w:rPr>
          <w:rFonts w:cs="Arial"/>
          <w:b/>
          <w:szCs w:val="24"/>
        </w:rPr>
      </w:pPr>
    </w:p>
    <w:p w:rsidR="003B2FC3" w:rsidRPr="00B952B3" w:rsidRDefault="003B2FC3" w:rsidP="003B2FC3">
      <w:pPr>
        <w:keepNext/>
        <w:widowControl w:val="0"/>
        <w:spacing w:after="0" w:line="360" w:lineRule="auto"/>
        <w:rPr>
          <w:rFonts w:cs="Arial"/>
          <w:b/>
          <w:szCs w:val="24"/>
        </w:rPr>
      </w:pPr>
      <w:r w:rsidRPr="00B952B3">
        <w:rPr>
          <w:rFonts w:cs="Arial"/>
          <w:b/>
          <w:szCs w:val="24"/>
        </w:rPr>
        <w:t>Presentación de estados financieros</w:t>
      </w:r>
    </w:p>
    <w:p w:rsidR="003B2FC3" w:rsidRPr="00E34EBA" w:rsidRDefault="003B2FC3" w:rsidP="003B2FC3">
      <w:pPr>
        <w:keepNext/>
        <w:widowControl w:val="0"/>
        <w:spacing w:after="0" w:line="360" w:lineRule="auto"/>
        <w:rPr>
          <w:rFonts w:eastAsia="Times New Roman" w:cs="Arial"/>
          <w:spacing w:val="-3"/>
          <w:szCs w:val="24"/>
          <w:lang w:val="es-ES_tradnl" w:eastAsia="es-ES"/>
        </w:rPr>
      </w:pPr>
      <w:r w:rsidRPr="00B952B3">
        <w:rPr>
          <w:rFonts w:eastAsia="Times New Roman" w:cs="Arial"/>
          <w:bCs/>
          <w:szCs w:val="24"/>
          <w:lang w:val="es-ES" w:eastAsia="es-ES"/>
        </w:rPr>
        <w:t xml:space="preserve">Los estados </w:t>
      </w:r>
      <w:r w:rsidRPr="004E775E">
        <w:rPr>
          <w:rFonts w:eastAsia="Times New Roman" w:cs="Arial"/>
          <w:bCs/>
          <w:szCs w:val="24"/>
          <w:lang w:val="es-ES" w:eastAsia="es-ES"/>
        </w:rPr>
        <w:t xml:space="preserve">financieros del </w:t>
      </w:r>
      <w:r w:rsidRPr="004E775E">
        <w:rPr>
          <w:rFonts w:eastAsia="Times New Roman" w:cs="Arial"/>
          <w:szCs w:val="24"/>
          <w:lang w:eastAsia="es-ES"/>
        </w:rPr>
        <w:t>BCU</w:t>
      </w:r>
      <w:r w:rsidRPr="00B952B3">
        <w:rPr>
          <w:rFonts w:eastAsia="Times New Roman" w:cs="Arial"/>
          <w:szCs w:val="24"/>
          <w:lang w:eastAsia="es-ES"/>
        </w:rPr>
        <w:t xml:space="preserve"> </w:t>
      </w:r>
      <w:r w:rsidRPr="00B952B3">
        <w:rPr>
          <w:rFonts w:eastAsia="Times New Roman" w:cs="Arial"/>
          <w:bCs/>
          <w:szCs w:val="24"/>
          <w:lang w:val="es-ES" w:eastAsia="es-ES"/>
        </w:rPr>
        <w:t xml:space="preserve">correspondientes al ejercicio finalizado el </w:t>
      </w:r>
      <w:r w:rsidRPr="00B952B3">
        <w:rPr>
          <w:rFonts w:eastAsia="Times New Roman" w:cs="Arial"/>
          <w:spacing w:val="-12"/>
          <w:szCs w:val="24"/>
          <w:lang w:eastAsia="es-ES"/>
        </w:rPr>
        <w:t>31/12/2017</w:t>
      </w:r>
      <w:r w:rsidRPr="00B952B3">
        <w:rPr>
          <w:rFonts w:eastAsia="Times New Roman" w:cs="Arial"/>
          <w:bCs/>
          <w:szCs w:val="24"/>
          <w:lang w:val="es-ES" w:eastAsia="es-ES"/>
        </w:rPr>
        <w:t xml:space="preserve"> fueron aprobados por </w:t>
      </w:r>
      <w:r w:rsidRPr="00B952B3">
        <w:rPr>
          <w:rFonts w:cs="Arial"/>
          <w:szCs w:val="24"/>
        </w:rPr>
        <w:t xml:space="preserve">Resolución de Directorio N° D/69/2018, según consta en Acta Nº 3359 del 14/03/2018 </w:t>
      </w:r>
      <w:r w:rsidRPr="00B952B3">
        <w:rPr>
          <w:rFonts w:eastAsia="Times New Roman" w:cs="Arial"/>
          <w:spacing w:val="-3"/>
          <w:szCs w:val="24"/>
          <w:lang w:val="es-ES_tradnl" w:eastAsia="es-ES"/>
        </w:rPr>
        <w:t xml:space="preserve">y remitidos para su examen a este Tribunal con </w:t>
      </w:r>
      <w:r>
        <w:rPr>
          <w:rFonts w:eastAsia="Times New Roman" w:cs="Arial"/>
          <w:spacing w:val="-3"/>
          <w:szCs w:val="24"/>
          <w:lang w:val="es-ES_tradnl" w:eastAsia="es-ES"/>
        </w:rPr>
        <w:t xml:space="preserve">fecha </w:t>
      </w:r>
      <w:r w:rsidRPr="00B952B3">
        <w:rPr>
          <w:rFonts w:cs="Arial"/>
          <w:szCs w:val="24"/>
        </w:rPr>
        <w:t>23/03/2018.</w:t>
      </w:r>
    </w:p>
    <w:p w:rsidR="003B2FC3" w:rsidRPr="00B952B3" w:rsidRDefault="003B2FC3" w:rsidP="003B2FC3">
      <w:pPr>
        <w:keepNext/>
        <w:widowControl w:val="0"/>
        <w:spacing w:after="0" w:line="360" w:lineRule="auto"/>
        <w:ind w:left="60"/>
        <w:rPr>
          <w:rFonts w:cs="Arial"/>
          <w:bCs/>
          <w:szCs w:val="24"/>
          <w:lang w:val="es-ES"/>
        </w:rPr>
      </w:pPr>
      <w:r w:rsidRPr="00B952B3">
        <w:rPr>
          <w:rFonts w:eastAsia="Times New Roman" w:cs="Arial"/>
          <w:spacing w:val="-3"/>
          <w:szCs w:val="24"/>
          <w:lang w:val="es-ES_tradnl" w:eastAsia="es-ES"/>
        </w:rPr>
        <w:t xml:space="preserve">Dichos estados se presentan de acuerdo con </w:t>
      </w:r>
      <w:r w:rsidRPr="00B952B3">
        <w:rPr>
          <w:rFonts w:cs="Arial"/>
          <w:bCs/>
          <w:szCs w:val="24"/>
          <w:lang w:val="es-ES"/>
        </w:rPr>
        <w:t>las normas legales y reglamentarias aplicables al BCU, en particular las establecidas en el artículo 51 del Texto Ordenado de su Carta Orgánica, que expresa que los estados contables anuales serán elaborados “de acuerdo con criterios técnicos adecuados a la naturaleza de un Banco Central”. Según se señala en la</w:t>
      </w:r>
      <w:r w:rsidRPr="00B952B3">
        <w:rPr>
          <w:rFonts w:cs="Arial"/>
          <w:bCs/>
          <w:color w:val="FF0000"/>
          <w:szCs w:val="24"/>
          <w:lang w:val="es-ES"/>
        </w:rPr>
        <w:t xml:space="preserve"> </w:t>
      </w:r>
      <w:r w:rsidRPr="00B952B3">
        <w:rPr>
          <w:rFonts w:cs="Arial"/>
          <w:bCs/>
          <w:szCs w:val="24"/>
          <w:lang w:val="es-ES"/>
        </w:rPr>
        <w:t xml:space="preserve">Nota 2.1 a los estados financieros, en todo lo que no contradiga las disposiciones legales  y  reglamentarias  antes mencionadas, han sido aplicadas las </w:t>
      </w:r>
      <w:r>
        <w:rPr>
          <w:rFonts w:cs="Arial"/>
          <w:bCs/>
          <w:szCs w:val="24"/>
          <w:lang w:val="es-ES"/>
        </w:rPr>
        <w:t>n</w:t>
      </w:r>
      <w:r w:rsidRPr="00B952B3">
        <w:rPr>
          <w:rFonts w:cs="Arial"/>
          <w:bCs/>
          <w:szCs w:val="24"/>
          <w:lang w:val="es-ES"/>
        </w:rPr>
        <w:t xml:space="preserve">ormas </w:t>
      </w:r>
    </w:p>
    <w:p w:rsidR="003B2FC3" w:rsidRDefault="003B2FC3" w:rsidP="003B2FC3">
      <w:pPr>
        <w:pStyle w:val="Sangradetextonormal"/>
        <w:keepNext/>
        <w:widowControl w:val="0"/>
        <w:tabs>
          <w:tab w:val="clear" w:pos="2552"/>
        </w:tabs>
        <w:rPr>
          <w:bCs/>
          <w:szCs w:val="24"/>
          <w:lang w:val="es-ES"/>
        </w:rPr>
      </w:pPr>
      <w:r>
        <w:rPr>
          <w:bCs/>
          <w:szCs w:val="24"/>
          <w:lang w:val="es-ES"/>
        </w:rPr>
        <w:t>c</w:t>
      </w:r>
      <w:r w:rsidRPr="00B952B3">
        <w:rPr>
          <w:bCs/>
          <w:szCs w:val="24"/>
          <w:lang w:val="es-ES"/>
        </w:rPr>
        <w:t>ontables adecuadas en el Uruguay. Los estados se exponen siguiendo un esquema económico-contable recomendado por el Centro de Estudios Monetarios Latinoamericanos (CEMLA).</w:t>
      </w:r>
    </w:p>
    <w:p w:rsidR="003B2FC3" w:rsidRDefault="003B2FC3" w:rsidP="003B2FC3">
      <w:pPr>
        <w:pStyle w:val="Sangradetextonormal"/>
        <w:keepNext/>
        <w:widowControl w:val="0"/>
        <w:tabs>
          <w:tab w:val="clear" w:pos="2552"/>
        </w:tabs>
        <w:rPr>
          <w:bCs/>
          <w:szCs w:val="24"/>
          <w:lang w:val="es-ES"/>
        </w:rPr>
      </w:pPr>
    </w:p>
    <w:p w:rsidR="003B2FC3" w:rsidRPr="00FB7300" w:rsidRDefault="003B2FC3" w:rsidP="003B2FC3">
      <w:pPr>
        <w:keepNext/>
        <w:widowControl w:val="0"/>
        <w:spacing w:after="0" w:line="360" w:lineRule="auto"/>
        <w:rPr>
          <w:rFonts w:cs="Arial"/>
          <w:b/>
          <w:szCs w:val="24"/>
        </w:rPr>
      </w:pPr>
      <w:r w:rsidRPr="00FB7300">
        <w:rPr>
          <w:rFonts w:cs="Arial"/>
          <w:b/>
          <w:szCs w:val="24"/>
        </w:rPr>
        <w:t>Evaluación del control interno</w:t>
      </w:r>
    </w:p>
    <w:p w:rsidR="003B2FC3" w:rsidRPr="00BC3A66" w:rsidRDefault="003B2FC3" w:rsidP="003B2FC3">
      <w:pPr>
        <w:keepNext/>
        <w:widowControl w:val="0"/>
        <w:spacing w:after="0" w:line="360" w:lineRule="auto"/>
        <w:rPr>
          <w:rFonts w:cs="Arial"/>
          <w:szCs w:val="24"/>
        </w:rPr>
      </w:pPr>
      <w:r w:rsidRPr="00FB7300">
        <w:rPr>
          <w:rFonts w:cs="Arial"/>
          <w:szCs w:val="24"/>
        </w:rPr>
        <w:t>El examen de los aspectos de control interno relevantes para la preparación y presentación</w:t>
      </w:r>
      <w:r w:rsidRPr="00FB7300">
        <w:rPr>
          <w:rFonts w:eastAsia="Times New Roman" w:cs="Arial"/>
          <w:bCs/>
          <w:szCs w:val="24"/>
          <w:lang w:eastAsia="es-ES"/>
        </w:rPr>
        <w:t xml:space="preserve"> </w:t>
      </w:r>
      <w:r>
        <w:rPr>
          <w:rFonts w:eastAsia="Times New Roman" w:cs="Arial"/>
          <w:bCs/>
          <w:szCs w:val="24"/>
          <w:lang w:eastAsia="es-ES"/>
        </w:rPr>
        <w:t>r</w:t>
      </w:r>
      <w:r w:rsidRPr="00E34EBA">
        <w:rPr>
          <w:rFonts w:eastAsia="Times New Roman" w:cs="Arial"/>
          <w:bCs/>
          <w:szCs w:val="24"/>
          <w:lang w:eastAsia="es-ES"/>
        </w:rPr>
        <w:t xml:space="preserve">azonable de los estados financieros, permitió constatar </w:t>
      </w:r>
      <w:r w:rsidRPr="00BC3A66">
        <w:rPr>
          <w:rFonts w:cs="Arial"/>
          <w:szCs w:val="24"/>
        </w:rPr>
        <w:t>que el sistema de control interno diseñado e implementado es adecuado.</w:t>
      </w:r>
    </w:p>
    <w:p w:rsidR="003B2FC3" w:rsidRPr="00E34EBA" w:rsidRDefault="003B2FC3" w:rsidP="003B2FC3">
      <w:pPr>
        <w:keepNext/>
        <w:widowControl w:val="0"/>
        <w:spacing w:after="0" w:line="360" w:lineRule="auto"/>
        <w:rPr>
          <w:rFonts w:eastAsia="Times New Roman" w:cs="Arial"/>
          <w:b/>
          <w:szCs w:val="24"/>
          <w:lang w:val="es-ES" w:eastAsia="es-ES"/>
        </w:rPr>
      </w:pPr>
      <w:r w:rsidRPr="00E34EBA">
        <w:rPr>
          <w:rFonts w:eastAsia="Times New Roman" w:cs="Arial"/>
          <w:b/>
          <w:szCs w:val="24"/>
          <w:lang w:val="es-ES" w:eastAsia="es-ES"/>
        </w:rPr>
        <w:t>Recomendaciones</w:t>
      </w:r>
    </w:p>
    <w:p w:rsidR="003B2FC3" w:rsidRPr="00E34EBA" w:rsidRDefault="003B2FC3" w:rsidP="003B2FC3">
      <w:pPr>
        <w:keepNext/>
        <w:widowControl w:val="0"/>
        <w:spacing w:after="0" w:line="360" w:lineRule="auto"/>
        <w:ind w:left="720"/>
        <w:rPr>
          <w:rFonts w:eastAsia="Times New Roman" w:cs="Arial"/>
          <w:b/>
          <w:szCs w:val="24"/>
          <w:lang w:val="es-ES" w:eastAsia="es-ES"/>
        </w:rPr>
      </w:pPr>
    </w:p>
    <w:p w:rsidR="003B2FC3" w:rsidRPr="00E34EBA" w:rsidRDefault="003B2FC3" w:rsidP="003B2FC3">
      <w:pPr>
        <w:keepNext/>
        <w:widowControl w:val="0"/>
        <w:spacing w:after="0" w:line="360" w:lineRule="auto"/>
        <w:rPr>
          <w:rFonts w:eastAsia="Times New Roman" w:cs="Arial"/>
          <w:b/>
          <w:bCs/>
          <w:szCs w:val="24"/>
          <w:lang w:val="es-ES" w:eastAsia="es-ES"/>
        </w:rPr>
      </w:pPr>
      <w:r w:rsidRPr="00E34EBA">
        <w:rPr>
          <w:rFonts w:eastAsia="Times New Roman" w:cs="Arial"/>
          <w:b/>
          <w:bCs/>
          <w:szCs w:val="24"/>
          <w:lang w:val="es-ES" w:eastAsia="es-ES"/>
        </w:rPr>
        <w:t>Recomendaciones de ejercicios anteriores</w:t>
      </w:r>
    </w:p>
    <w:p w:rsidR="003B2FC3" w:rsidRDefault="00E140AA" w:rsidP="003B2FC3">
      <w:pPr>
        <w:keepNext/>
        <w:widowControl w:val="0"/>
        <w:spacing w:after="0" w:line="360" w:lineRule="auto"/>
        <w:rPr>
          <w:rFonts w:eastAsia="Times New Roman" w:cs="Arial"/>
          <w:b/>
          <w:bCs/>
          <w:szCs w:val="24"/>
          <w:lang w:val="es-ES" w:eastAsia="es-ES"/>
        </w:rPr>
      </w:pPr>
      <w:r>
        <w:rPr>
          <w:rFonts w:eastAsia="Times New Roman" w:cs="Arial"/>
          <w:b/>
          <w:bCs/>
          <w:szCs w:val="24"/>
          <w:lang w:val="es-ES" w:eastAsia="es-ES"/>
        </w:rPr>
        <w:t>Cumplidas</w:t>
      </w:r>
    </w:p>
    <w:p w:rsidR="003B2FC3" w:rsidRPr="00346D88" w:rsidRDefault="003B2FC3" w:rsidP="003B2FC3">
      <w:pPr>
        <w:pStyle w:val="Sangra2detindependiente"/>
        <w:keepNext/>
        <w:widowControl w:val="0"/>
        <w:spacing w:before="240" w:after="0" w:line="360" w:lineRule="auto"/>
        <w:ind w:left="0"/>
        <w:rPr>
          <w:rFonts w:eastAsia="Times New Roman" w:cs="Arial"/>
          <w:bCs/>
          <w:szCs w:val="24"/>
          <w:lang w:eastAsia="es-ES"/>
        </w:rPr>
      </w:pPr>
      <w:r w:rsidRPr="00346D88">
        <w:rPr>
          <w:rFonts w:eastAsia="Times New Roman" w:cs="Arial"/>
          <w:bCs/>
          <w:szCs w:val="24"/>
          <w:lang w:eastAsia="es-ES"/>
        </w:rPr>
        <w:t xml:space="preserve">Por Resolución de Directorio </w:t>
      </w:r>
      <w:r>
        <w:rPr>
          <w:rFonts w:eastAsia="Times New Roman" w:cs="Arial"/>
          <w:bCs/>
          <w:szCs w:val="24"/>
          <w:lang w:eastAsia="es-ES"/>
        </w:rPr>
        <w:t xml:space="preserve">N° D/355/2017 </w:t>
      </w:r>
      <w:r w:rsidRPr="00346D88">
        <w:rPr>
          <w:rFonts w:eastAsia="Times New Roman" w:cs="Arial"/>
          <w:bCs/>
          <w:szCs w:val="24"/>
          <w:lang w:eastAsia="es-ES"/>
        </w:rPr>
        <w:t xml:space="preserve">de fecha 20/12/2017 </w:t>
      </w:r>
      <w:r>
        <w:rPr>
          <w:rFonts w:eastAsia="Times New Roman" w:cs="Arial"/>
          <w:bCs/>
          <w:szCs w:val="24"/>
          <w:lang w:eastAsia="es-ES"/>
        </w:rPr>
        <w:t>fue ajustado</w:t>
      </w:r>
      <w:r w:rsidRPr="00346D88">
        <w:rPr>
          <w:rFonts w:eastAsia="Times New Roman" w:cs="Arial"/>
          <w:bCs/>
          <w:szCs w:val="24"/>
          <w:lang w:eastAsia="es-ES"/>
        </w:rPr>
        <w:t xml:space="preserve"> con cargo a resultados </w:t>
      </w:r>
      <w:r>
        <w:rPr>
          <w:rFonts w:eastAsia="Times New Roman" w:cs="Arial"/>
          <w:bCs/>
          <w:szCs w:val="24"/>
          <w:lang w:eastAsia="es-ES"/>
        </w:rPr>
        <w:t>el</w:t>
      </w:r>
      <w:r w:rsidRPr="00346D88">
        <w:rPr>
          <w:rFonts w:eastAsia="Times New Roman" w:cs="Arial"/>
          <w:bCs/>
          <w:szCs w:val="24"/>
          <w:lang w:eastAsia="es-ES"/>
        </w:rPr>
        <w:t xml:space="preserve"> saldo de los créditos a cobrar al Ministerio de Economía y Finanzas</w:t>
      </w:r>
      <w:r w:rsidRPr="00346D88">
        <w:rPr>
          <w:szCs w:val="24"/>
          <w:lang w:val="es-ES"/>
        </w:rPr>
        <w:t xml:space="preserve"> </w:t>
      </w:r>
      <w:r>
        <w:rPr>
          <w:szCs w:val="24"/>
          <w:lang w:val="es-ES"/>
        </w:rPr>
        <w:t xml:space="preserve">de </w:t>
      </w:r>
      <w:r w:rsidRPr="00346D88">
        <w:rPr>
          <w:bCs/>
          <w:szCs w:val="24"/>
        </w:rPr>
        <w:t>operaciones realizadas en los años 1991, 2002 y 2003 por un total de millones de $ 16.912</w:t>
      </w:r>
      <w:r>
        <w:rPr>
          <w:bCs/>
          <w:szCs w:val="24"/>
        </w:rPr>
        <w:t>.</w:t>
      </w:r>
    </w:p>
    <w:p w:rsidR="003B2FC3" w:rsidRDefault="003B2FC3" w:rsidP="003B2FC3">
      <w:pPr>
        <w:keepNext/>
        <w:widowControl w:val="0"/>
        <w:jc w:val="right"/>
        <w:rPr>
          <w:rFonts w:cs="Arial"/>
          <w:szCs w:val="24"/>
          <w:lang w:val="es-MX"/>
        </w:rPr>
      </w:pPr>
      <w:r w:rsidRPr="00DF7846">
        <w:rPr>
          <w:rFonts w:cs="Arial"/>
          <w:szCs w:val="24"/>
          <w:lang w:val="es-MX"/>
        </w:rPr>
        <w:t xml:space="preserve">Montevideo, </w:t>
      </w:r>
      <w:r>
        <w:rPr>
          <w:rFonts w:cs="Arial"/>
          <w:szCs w:val="24"/>
          <w:lang w:val="es-MX"/>
        </w:rPr>
        <w:t xml:space="preserve">22 </w:t>
      </w:r>
      <w:r w:rsidRPr="00DF7846">
        <w:rPr>
          <w:rFonts w:cs="Arial"/>
          <w:szCs w:val="24"/>
          <w:lang w:val="es-MX"/>
        </w:rPr>
        <w:t>de junio de 2018</w:t>
      </w:r>
    </w:p>
    <w:p w:rsidR="003B2FC3" w:rsidRDefault="003B2FC3">
      <w:pPr>
        <w:keepNext/>
        <w:widowControl w:val="0"/>
        <w:rPr>
          <w:rFonts w:cs="Arial"/>
          <w:b/>
        </w:rPr>
      </w:pPr>
      <w:proofErr w:type="spellStart"/>
      <w:proofErr w:type="gramStart"/>
      <w:r>
        <w:rPr>
          <w:rFonts w:cs="Arial"/>
          <w:szCs w:val="24"/>
          <w:lang w:val="es-MX"/>
        </w:rPr>
        <w:t>ag</w:t>
      </w:r>
      <w:proofErr w:type="spellEnd"/>
      <w:proofErr w:type="gramEnd"/>
    </w:p>
    <w:sectPr w:rsidR="003B2FC3" w:rsidSect="000B36FD">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F77" w:rsidRDefault="004F2F77" w:rsidP="00160CC7">
      <w:pPr>
        <w:spacing w:after="0" w:line="240" w:lineRule="auto"/>
      </w:pPr>
      <w:r>
        <w:separator/>
      </w:r>
    </w:p>
  </w:endnote>
  <w:endnote w:type="continuationSeparator" w:id="0">
    <w:p w:rsidR="004F2F77" w:rsidRDefault="004F2F77" w:rsidP="00160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F77" w:rsidRDefault="004F2F77" w:rsidP="00160CC7">
      <w:pPr>
        <w:spacing w:after="0" w:line="240" w:lineRule="auto"/>
      </w:pPr>
      <w:r>
        <w:separator/>
      </w:r>
    </w:p>
  </w:footnote>
  <w:footnote w:type="continuationSeparator" w:id="0">
    <w:p w:rsidR="004F2F77" w:rsidRDefault="004F2F77" w:rsidP="00160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E29"/>
    <w:multiLevelType w:val="hybridMultilevel"/>
    <w:tmpl w:val="01DCB5E8"/>
    <w:lvl w:ilvl="0" w:tplc="20909E0E">
      <w:start w:val="1"/>
      <w:numFmt w:val="decimal"/>
      <w:lvlText w:val="%1"/>
      <w:lvlJc w:val="left"/>
      <w:pPr>
        <w:ind w:left="705" w:hanging="645"/>
      </w:pPr>
      <w:rPr>
        <w:rFonts w:hint="default"/>
      </w:rPr>
    </w:lvl>
    <w:lvl w:ilvl="1" w:tplc="380A0019" w:tentative="1">
      <w:start w:val="1"/>
      <w:numFmt w:val="lowerLetter"/>
      <w:lvlText w:val="%2."/>
      <w:lvlJc w:val="left"/>
      <w:pPr>
        <w:ind w:left="1140" w:hanging="360"/>
      </w:pPr>
    </w:lvl>
    <w:lvl w:ilvl="2" w:tplc="380A001B" w:tentative="1">
      <w:start w:val="1"/>
      <w:numFmt w:val="lowerRoman"/>
      <w:lvlText w:val="%3."/>
      <w:lvlJc w:val="right"/>
      <w:pPr>
        <w:ind w:left="1860" w:hanging="180"/>
      </w:pPr>
    </w:lvl>
    <w:lvl w:ilvl="3" w:tplc="380A000F" w:tentative="1">
      <w:start w:val="1"/>
      <w:numFmt w:val="decimal"/>
      <w:lvlText w:val="%4."/>
      <w:lvlJc w:val="left"/>
      <w:pPr>
        <w:ind w:left="2580" w:hanging="360"/>
      </w:pPr>
    </w:lvl>
    <w:lvl w:ilvl="4" w:tplc="380A0019" w:tentative="1">
      <w:start w:val="1"/>
      <w:numFmt w:val="lowerLetter"/>
      <w:lvlText w:val="%5."/>
      <w:lvlJc w:val="left"/>
      <w:pPr>
        <w:ind w:left="3300" w:hanging="360"/>
      </w:pPr>
    </w:lvl>
    <w:lvl w:ilvl="5" w:tplc="380A001B" w:tentative="1">
      <w:start w:val="1"/>
      <w:numFmt w:val="lowerRoman"/>
      <w:lvlText w:val="%6."/>
      <w:lvlJc w:val="right"/>
      <w:pPr>
        <w:ind w:left="4020" w:hanging="180"/>
      </w:pPr>
    </w:lvl>
    <w:lvl w:ilvl="6" w:tplc="380A000F" w:tentative="1">
      <w:start w:val="1"/>
      <w:numFmt w:val="decimal"/>
      <w:lvlText w:val="%7."/>
      <w:lvlJc w:val="left"/>
      <w:pPr>
        <w:ind w:left="4740" w:hanging="360"/>
      </w:pPr>
    </w:lvl>
    <w:lvl w:ilvl="7" w:tplc="380A0019" w:tentative="1">
      <w:start w:val="1"/>
      <w:numFmt w:val="lowerLetter"/>
      <w:lvlText w:val="%8."/>
      <w:lvlJc w:val="left"/>
      <w:pPr>
        <w:ind w:left="5460" w:hanging="360"/>
      </w:pPr>
    </w:lvl>
    <w:lvl w:ilvl="8" w:tplc="380A001B" w:tentative="1">
      <w:start w:val="1"/>
      <w:numFmt w:val="lowerRoman"/>
      <w:lvlText w:val="%9."/>
      <w:lvlJc w:val="right"/>
      <w:pPr>
        <w:ind w:left="6180" w:hanging="180"/>
      </w:pPr>
    </w:lvl>
  </w:abstractNum>
  <w:abstractNum w:abstractNumId="1">
    <w:nsid w:val="0139055A"/>
    <w:multiLevelType w:val="hybridMultilevel"/>
    <w:tmpl w:val="16BA1CD6"/>
    <w:lvl w:ilvl="0" w:tplc="380A0005">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2">
    <w:nsid w:val="032C6FAC"/>
    <w:multiLevelType w:val="hybridMultilevel"/>
    <w:tmpl w:val="B3D455D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14565893"/>
    <w:multiLevelType w:val="hybridMultilevel"/>
    <w:tmpl w:val="CD8E609E"/>
    <w:lvl w:ilvl="0" w:tplc="380A0005">
      <w:start w:val="1"/>
      <w:numFmt w:val="bullet"/>
      <w:lvlText w:val=""/>
      <w:lvlJc w:val="left"/>
      <w:pPr>
        <w:ind w:left="1425" w:hanging="360"/>
      </w:pPr>
      <w:rPr>
        <w:rFonts w:ascii="Wingdings" w:hAnsi="Wingdings" w:hint="default"/>
      </w:rPr>
    </w:lvl>
    <w:lvl w:ilvl="1" w:tplc="380A0003" w:tentative="1">
      <w:start w:val="1"/>
      <w:numFmt w:val="bullet"/>
      <w:lvlText w:val="o"/>
      <w:lvlJc w:val="left"/>
      <w:pPr>
        <w:ind w:left="2145" w:hanging="360"/>
      </w:pPr>
      <w:rPr>
        <w:rFonts w:ascii="Courier New" w:hAnsi="Courier New" w:cs="Courier New" w:hint="default"/>
      </w:rPr>
    </w:lvl>
    <w:lvl w:ilvl="2" w:tplc="380A0005" w:tentative="1">
      <w:start w:val="1"/>
      <w:numFmt w:val="bullet"/>
      <w:lvlText w:val=""/>
      <w:lvlJc w:val="left"/>
      <w:pPr>
        <w:ind w:left="2865" w:hanging="360"/>
      </w:pPr>
      <w:rPr>
        <w:rFonts w:ascii="Wingdings" w:hAnsi="Wingdings" w:hint="default"/>
      </w:rPr>
    </w:lvl>
    <w:lvl w:ilvl="3" w:tplc="380A0001" w:tentative="1">
      <w:start w:val="1"/>
      <w:numFmt w:val="bullet"/>
      <w:lvlText w:val=""/>
      <w:lvlJc w:val="left"/>
      <w:pPr>
        <w:ind w:left="3585" w:hanging="360"/>
      </w:pPr>
      <w:rPr>
        <w:rFonts w:ascii="Symbol" w:hAnsi="Symbol" w:hint="default"/>
      </w:rPr>
    </w:lvl>
    <w:lvl w:ilvl="4" w:tplc="380A0003" w:tentative="1">
      <w:start w:val="1"/>
      <w:numFmt w:val="bullet"/>
      <w:lvlText w:val="o"/>
      <w:lvlJc w:val="left"/>
      <w:pPr>
        <w:ind w:left="4305" w:hanging="360"/>
      </w:pPr>
      <w:rPr>
        <w:rFonts w:ascii="Courier New" w:hAnsi="Courier New" w:cs="Courier New" w:hint="default"/>
      </w:rPr>
    </w:lvl>
    <w:lvl w:ilvl="5" w:tplc="380A0005" w:tentative="1">
      <w:start w:val="1"/>
      <w:numFmt w:val="bullet"/>
      <w:lvlText w:val=""/>
      <w:lvlJc w:val="left"/>
      <w:pPr>
        <w:ind w:left="5025" w:hanging="360"/>
      </w:pPr>
      <w:rPr>
        <w:rFonts w:ascii="Wingdings" w:hAnsi="Wingdings" w:hint="default"/>
      </w:rPr>
    </w:lvl>
    <w:lvl w:ilvl="6" w:tplc="380A0001" w:tentative="1">
      <w:start w:val="1"/>
      <w:numFmt w:val="bullet"/>
      <w:lvlText w:val=""/>
      <w:lvlJc w:val="left"/>
      <w:pPr>
        <w:ind w:left="5745" w:hanging="360"/>
      </w:pPr>
      <w:rPr>
        <w:rFonts w:ascii="Symbol" w:hAnsi="Symbol" w:hint="default"/>
      </w:rPr>
    </w:lvl>
    <w:lvl w:ilvl="7" w:tplc="380A0003" w:tentative="1">
      <w:start w:val="1"/>
      <w:numFmt w:val="bullet"/>
      <w:lvlText w:val="o"/>
      <w:lvlJc w:val="left"/>
      <w:pPr>
        <w:ind w:left="6465" w:hanging="360"/>
      </w:pPr>
      <w:rPr>
        <w:rFonts w:ascii="Courier New" w:hAnsi="Courier New" w:cs="Courier New" w:hint="default"/>
      </w:rPr>
    </w:lvl>
    <w:lvl w:ilvl="8" w:tplc="380A0005" w:tentative="1">
      <w:start w:val="1"/>
      <w:numFmt w:val="bullet"/>
      <w:lvlText w:val=""/>
      <w:lvlJc w:val="left"/>
      <w:pPr>
        <w:ind w:left="7185" w:hanging="360"/>
      </w:pPr>
      <w:rPr>
        <w:rFonts w:ascii="Wingdings" w:hAnsi="Wingdings" w:hint="default"/>
      </w:rPr>
    </w:lvl>
  </w:abstractNum>
  <w:abstractNum w:abstractNumId="4">
    <w:nsid w:val="1E4D2467"/>
    <w:multiLevelType w:val="multilevel"/>
    <w:tmpl w:val="64FA3DF4"/>
    <w:lvl w:ilvl="0">
      <w:start w:val="3"/>
      <w:numFmt w:val="decimal"/>
      <w:lvlText w:val="%1"/>
      <w:lvlJc w:val="left"/>
      <w:pPr>
        <w:tabs>
          <w:tab w:val="num" w:pos="525"/>
        </w:tabs>
        <w:ind w:left="525" w:hanging="525"/>
      </w:pPr>
      <w:rPr>
        <w:rFonts w:hint="default"/>
        <w:b/>
      </w:rPr>
    </w:lvl>
    <w:lvl w:ilvl="1">
      <w:start w:val="1"/>
      <w:numFmt w:val="decimal"/>
      <w:lvlText w:val="%1.%2"/>
      <w:lvlJc w:val="left"/>
      <w:pPr>
        <w:tabs>
          <w:tab w:val="num" w:pos="525"/>
        </w:tabs>
        <w:ind w:left="525" w:hanging="525"/>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291B2255"/>
    <w:multiLevelType w:val="multilevel"/>
    <w:tmpl w:val="B56A135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44D847EF"/>
    <w:multiLevelType w:val="multilevel"/>
    <w:tmpl w:val="5CB285DA"/>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b/>
        <w:i w:val="0"/>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7">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2"/>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46B"/>
    <w:rsid w:val="00011443"/>
    <w:rsid w:val="00021294"/>
    <w:rsid w:val="00022ADE"/>
    <w:rsid w:val="00070F49"/>
    <w:rsid w:val="000B36FD"/>
    <w:rsid w:val="000C0A71"/>
    <w:rsid w:val="001467BE"/>
    <w:rsid w:val="001544A0"/>
    <w:rsid w:val="00160CC7"/>
    <w:rsid w:val="00170D62"/>
    <w:rsid w:val="001956FB"/>
    <w:rsid w:val="001C7C6F"/>
    <w:rsid w:val="001E26F1"/>
    <w:rsid w:val="001F3D84"/>
    <w:rsid w:val="001F4E07"/>
    <w:rsid w:val="00287185"/>
    <w:rsid w:val="002B14DD"/>
    <w:rsid w:val="002B559C"/>
    <w:rsid w:val="002C51AC"/>
    <w:rsid w:val="00322779"/>
    <w:rsid w:val="00346D88"/>
    <w:rsid w:val="003515D4"/>
    <w:rsid w:val="0036173F"/>
    <w:rsid w:val="003646C6"/>
    <w:rsid w:val="0038073E"/>
    <w:rsid w:val="003854AF"/>
    <w:rsid w:val="003B0EE9"/>
    <w:rsid w:val="003B2FC3"/>
    <w:rsid w:val="003C5D36"/>
    <w:rsid w:val="003F5F7D"/>
    <w:rsid w:val="004122FA"/>
    <w:rsid w:val="00427A2F"/>
    <w:rsid w:val="004E29F0"/>
    <w:rsid w:val="004E775E"/>
    <w:rsid w:val="004F28CB"/>
    <w:rsid w:val="004F2F77"/>
    <w:rsid w:val="00535E64"/>
    <w:rsid w:val="00565C99"/>
    <w:rsid w:val="005A4460"/>
    <w:rsid w:val="006072B5"/>
    <w:rsid w:val="00612ADA"/>
    <w:rsid w:val="00673F67"/>
    <w:rsid w:val="006F3B68"/>
    <w:rsid w:val="00700876"/>
    <w:rsid w:val="00726B66"/>
    <w:rsid w:val="00773A7C"/>
    <w:rsid w:val="007A5D80"/>
    <w:rsid w:val="007B099F"/>
    <w:rsid w:val="007E234F"/>
    <w:rsid w:val="008448B1"/>
    <w:rsid w:val="008547CF"/>
    <w:rsid w:val="00855B8D"/>
    <w:rsid w:val="00876C33"/>
    <w:rsid w:val="00926086"/>
    <w:rsid w:val="009C132E"/>
    <w:rsid w:val="00A35C0F"/>
    <w:rsid w:val="00A533E7"/>
    <w:rsid w:val="00A76732"/>
    <w:rsid w:val="00AA23B0"/>
    <w:rsid w:val="00AB1C14"/>
    <w:rsid w:val="00AE302F"/>
    <w:rsid w:val="00AF185B"/>
    <w:rsid w:val="00AF2557"/>
    <w:rsid w:val="00B3546B"/>
    <w:rsid w:val="00B456DE"/>
    <w:rsid w:val="00B541E7"/>
    <w:rsid w:val="00B952B3"/>
    <w:rsid w:val="00BC3A66"/>
    <w:rsid w:val="00C0618F"/>
    <w:rsid w:val="00C068A5"/>
    <w:rsid w:val="00C21CFD"/>
    <w:rsid w:val="00C22F2D"/>
    <w:rsid w:val="00C31E41"/>
    <w:rsid w:val="00C65632"/>
    <w:rsid w:val="00C77675"/>
    <w:rsid w:val="00C77E50"/>
    <w:rsid w:val="00C84388"/>
    <w:rsid w:val="00CD04F4"/>
    <w:rsid w:val="00CD6F85"/>
    <w:rsid w:val="00CF7342"/>
    <w:rsid w:val="00D673F3"/>
    <w:rsid w:val="00DB6BA5"/>
    <w:rsid w:val="00DF7846"/>
    <w:rsid w:val="00E140AA"/>
    <w:rsid w:val="00E14659"/>
    <w:rsid w:val="00E32FC7"/>
    <w:rsid w:val="00EB42D5"/>
    <w:rsid w:val="00EB4882"/>
    <w:rsid w:val="00EF4AC5"/>
    <w:rsid w:val="00F11B33"/>
    <w:rsid w:val="00F67CB6"/>
    <w:rsid w:val="00F828A0"/>
    <w:rsid w:val="00FB107A"/>
    <w:rsid w:val="00FB7300"/>
    <w:rsid w:val="00FC47A4"/>
    <w:rsid w:val="00FC5F12"/>
    <w:rsid w:val="00FE2F55"/>
    <w:rsid w:val="00FE3329"/>
    <w:rsid w:val="00FF148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46B"/>
    <w:pPr>
      <w:jc w:val="both"/>
    </w:pPr>
    <w:rPr>
      <w:rFonts w:ascii="Arial" w:eastAsia="Calibri" w:hAnsi="Arial" w:cs="Times New Roman"/>
      <w:sz w:val="24"/>
    </w:rPr>
  </w:style>
  <w:style w:type="paragraph" w:styleId="Ttulo1">
    <w:name w:val="heading 1"/>
    <w:basedOn w:val="Normal"/>
    <w:next w:val="Normal"/>
    <w:link w:val="Ttulo1Car"/>
    <w:qFormat/>
    <w:rsid w:val="00B3546B"/>
    <w:pPr>
      <w:keepNext/>
      <w:numPr>
        <w:numId w:val="1"/>
      </w:numPr>
      <w:spacing w:after="0" w:line="360" w:lineRule="auto"/>
      <w:jc w:val="left"/>
      <w:outlineLvl w:val="0"/>
    </w:pPr>
    <w:rPr>
      <w:rFonts w:eastAsia="Times New Roman" w:cs="Arial"/>
      <w:b/>
      <w:szCs w:val="24"/>
      <w:lang w:val="es-ES" w:eastAsia="es-ES"/>
    </w:rPr>
  </w:style>
  <w:style w:type="paragraph" w:styleId="Ttulo2">
    <w:name w:val="heading 2"/>
    <w:basedOn w:val="Normal"/>
    <w:next w:val="Normal"/>
    <w:link w:val="Ttulo2Car"/>
    <w:qFormat/>
    <w:rsid w:val="00B3546B"/>
    <w:pPr>
      <w:keepNext/>
      <w:numPr>
        <w:ilvl w:val="1"/>
        <w:numId w:val="1"/>
      </w:numPr>
      <w:spacing w:before="240" w:after="60" w:line="240" w:lineRule="auto"/>
      <w:jc w:val="left"/>
      <w:outlineLvl w:val="1"/>
    </w:pPr>
    <w:rPr>
      <w:rFonts w:eastAsia="Times New Roman" w:cs="Arial"/>
      <w:b/>
      <w:bCs/>
      <w:i/>
      <w:iCs/>
      <w:sz w:val="28"/>
      <w:szCs w:val="28"/>
      <w:lang w:val="es-ES" w:eastAsia="es-ES"/>
    </w:rPr>
  </w:style>
  <w:style w:type="paragraph" w:styleId="Ttulo3">
    <w:name w:val="heading 3"/>
    <w:basedOn w:val="Normal"/>
    <w:next w:val="Normal"/>
    <w:link w:val="Ttulo3Car"/>
    <w:qFormat/>
    <w:rsid w:val="00B3546B"/>
    <w:pPr>
      <w:keepNext/>
      <w:numPr>
        <w:ilvl w:val="2"/>
        <w:numId w:val="1"/>
      </w:numPr>
      <w:spacing w:before="240" w:after="60" w:line="240" w:lineRule="auto"/>
      <w:jc w:val="left"/>
      <w:outlineLvl w:val="2"/>
    </w:pPr>
    <w:rPr>
      <w:rFonts w:eastAsia="Times New Roman" w:cs="Arial"/>
      <w:b/>
      <w:bCs/>
      <w:sz w:val="26"/>
      <w:szCs w:val="26"/>
      <w:lang w:val="es-ES" w:eastAsia="es-ES"/>
    </w:rPr>
  </w:style>
  <w:style w:type="paragraph" w:styleId="Ttulo4">
    <w:name w:val="heading 4"/>
    <w:basedOn w:val="Normal"/>
    <w:next w:val="Normal"/>
    <w:link w:val="Ttulo4Car"/>
    <w:qFormat/>
    <w:rsid w:val="00B3546B"/>
    <w:pPr>
      <w:keepNext/>
      <w:numPr>
        <w:ilvl w:val="3"/>
        <w:numId w:val="1"/>
      </w:numPr>
      <w:spacing w:after="0" w:line="360" w:lineRule="auto"/>
      <w:jc w:val="center"/>
      <w:outlineLvl w:val="3"/>
    </w:pPr>
    <w:rPr>
      <w:rFonts w:eastAsia="Times New Roman" w:cs="Arial"/>
      <w:b/>
      <w:bCs/>
      <w:szCs w:val="24"/>
      <w:lang w:val="es-ES" w:eastAsia="es-ES"/>
    </w:rPr>
  </w:style>
  <w:style w:type="paragraph" w:styleId="Ttulo5">
    <w:name w:val="heading 5"/>
    <w:basedOn w:val="Normal"/>
    <w:next w:val="Normal"/>
    <w:link w:val="Ttulo5Car"/>
    <w:qFormat/>
    <w:rsid w:val="00B3546B"/>
    <w:pPr>
      <w:numPr>
        <w:ilvl w:val="4"/>
        <w:numId w:val="1"/>
      </w:numPr>
      <w:spacing w:before="240" w:after="60" w:line="240" w:lineRule="auto"/>
      <w:jc w:val="left"/>
      <w:outlineLvl w:val="4"/>
    </w:pPr>
    <w:rPr>
      <w:rFonts w:ascii="Times New Roman" w:eastAsia="Times New Roman" w:hAnsi="Times New Roman"/>
      <w:b/>
      <w:bCs/>
      <w:i/>
      <w:iCs/>
      <w:sz w:val="26"/>
      <w:szCs w:val="26"/>
      <w:lang w:val="es-ES" w:eastAsia="es-ES"/>
    </w:rPr>
  </w:style>
  <w:style w:type="paragraph" w:styleId="Ttulo6">
    <w:name w:val="heading 6"/>
    <w:basedOn w:val="Normal"/>
    <w:next w:val="Normal"/>
    <w:link w:val="Ttulo6Car"/>
    <w:qFormat/>
    <w:rsid w:val="00B3546B"/>
    <w:pPr>
      <w:numPr>
        <w:ilvl w:val="5"/>
        <w:numId w:val="1"/>
      </w:numPr>
      <w:spacing w:before="240" w:after="60" w:line="240" w:lineRule="auto"/>
      <w:jc w:val="left"/>
      <w:outlineLvl w:val="5"/>
    </w:pPr>
    <w:rPr>
      <w:rFonts w:ascii="Times New Roman" w:eastAsia="Times New Roman" w:hAnsi="Times New Roman"/>
      <w:b/>
      <w:bCs/>
      <w:sz w:val="22"/>
      <w:lang w:val="es-ES" w:eastAsia="es-ES"/>
    </w:rPr>
  </w:style>
  <w:style w:type="paragraph" w:styleId="Ttulo7">
    <w:name w:val="heading 7"/>
    <w:basedOn w:val="Normal"/>
    <w:next w:val="Normal"/>
    <w:link w:val="Ttulo7Car"/>
    <w:qFormat/>
    <w:rsid w:val="00B3546B"/>
    <w:pPr>
      <w:numPr>
        <w:ilvl w:val="6"/>
        <w:numId w:val="1"/>
      </w:numPr>
      <w:spacing w:before="240" w:after="60" w:line="240" w:lineRule="auto"/>
      <w:jc w:val="left"/>
      <w:outlineLvl w:val="6"/>
    </w:pPr>
    <w:rPr>
      <w:rFonts w:ascii="Times New Roman" w:eastAsia="Times New Roman" w:hAnsi="Times New Roman"/>
      <w:szCs w:val="24"/>
      <w:lang w:val="es-ES" w:eastAsia="es-ES"/>
    </w:rPr>
  </w:style>
  <w:style w:type="paragraph" w:styleId="Ttulo8">
    <w:name w:val="heading 8"/>
    <w:basedOn w:val="Normal"/>
    <w:next w:val="Normal"/>
    <w:link w:val="Ttulo8Car"/>
    <w:qFormat/>
    <w:rsid w:val="00B3546B"/>
    <w:pPr>
      <w:numPr>
        <w:ilvl w:val="7"/>
        <w:numId w:val="1"/>
      </w:numPr>
      <w:spacing w:before="240" w:after="60" w:line="240" w:lineRule="auto"/>
      <w:jc w:val="left"/>
      <w:outlineLvl w:val="7"/>
    </w:pPr>
    <w:rPr>
      <w:rFonts w:ascii="Times New Roman" w:eastAsia="Times New Roman" w:hAnsi="Times New Roman"/>
      <w:i/>
      <w:iCs/>
      <w:szCs w:val="24"/>
      <w:lang w:val="es-ES" w:eastAsia="es-ES"/>
    </w:rPr>
  </w:style>
  <w:style w:type="paragraph" w:styleId="Ttulo9">
    <w:name w:val="heading 9"/>
    <w:basedOn w:val="Normal"/>
    <w:next w:val="Normal"/>
    <w:link w:val="Ttulo9Car"/>
    <w:qFormat/>
    <w:rsid w:val="00B3546B"/>
    <w:pPr>
      <w:numPr>
        <w:ilvl w:val="8"/>
        <w:numId w:val="1"/>
      </w:numPr>
      <w:spacing w:before="240" w:after="60" w:line="240" w:lineRule="auto"/>
      <w:jc w:val="left"/>
      <w:outlineLvl w:val="8"/>
    </w:pPr>
    <w:rPr>
      <w:rFonts w:eastAsia="Times New Roman" w:cs="Arial"/>
      <w:sz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B3546B"/>
    <w:pPr>
      <w:spacing w:after="120" w:line="240" w:lineRule="auto"/>
      <w:jc w:val="left"/>
    </w:pPr>
    <w:rPr>
      <w:rFonts w:ascii="Times New Roman" w:eastAsia="Times New Roman" w:hAnsi="Times New Roman"/>
      <w:szCs w:val="24"/>
      <w:lang w:val="es-ES" w:eastAsia="es-ES"/>
    </w:rPr>
  </w:style>
  <w:style w:type="character" w:customStyle="1" w:styleId="TextoindependienteCar">
    <w:name w:val="Texto independiente Car"/>
    <w:basedOn w:val="Fuentedeprrafopredeter"/>
    <w:link w:val="Textoindependiente"/>
    <w:semiHidden/>
    <w:rsid w:val="00B3546B"/>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rsid w:val="00B3546B"/>
    <w:pPr>
      <w:tabs>
        <w:tab w:val="left" w:pos="2552"/>
      </w:tabs>
      <w:spacing w:after="0" w:line="360" w:lineRule="auto"/>
    </w:pPr>
    <w:rPr>
      <w:rFonts w:eastAsia="Times New Roman" w:cs="Arial"/>
      <w:szCs w:val="20"/>
      <w:lang w:val="es-MX" w:eastAsia="es-ES"/>
    </w:rPr>
  </w:style>
  <w:style w:type="character" w:customStyle="1" w:styleId="SangradetextonormalCar">
    <w:name w:val="Sangría de texto normal Car"/>
    <w:basedOn w:val="Fuentedeprrafopredeter"/>
    <w:link w:val="Sangradetextonormal"/>
    <w:semiHidden/>
    <w:rsid w:val="00B3546B"/>
    <w:rPr>
      <w:rFonts w:ascii="Arial" w:eastAsia="Times New Roman" w:hAnsi="Arial" w:cs="Arial"/>
      <w:sz w:val="24"/>
      <w:szCs w:val="20"/>
      <w:lang w:val="es-MX" w:eastAsia="es-ES"/>
    </w:rPr>
  </w:style>
  <w:style w:type="paragraph" w:styleId="Sangra2detindependiente">
    <w:name w:val="Body Text Indent 2"/>
    <w:basedOn w:val="Normal"/>
    <w:link w:val="Sangra2detindependienteCar"/>
    <w:uiPriority w:val="99"/>
    <w:semiHidden/>
    <w:unhideWhenUsed/>
    <w:rsid w:val="00B3546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3546B"/>
    <w:rPr>
      <w:rFonts w:ascii="Arial" w:eastAsia="Calibri" w:hAnsi="Arial" w:cs="Times New Roman"/>
      <w:sz w:val="24"/>
    </w:rPr>
  </w:style>
  <w:style w:type="character" w:customStyle="1" w:styleId="Ttulo1Car">
    <w:name w:val="Título 1 Car"/>
    <w:basedOn w:val="Fuentedeprrafopredeter"/>
    <w:link w:val="Ttulo1"/>
    <w:rsid w:val="00B3546B"/>
    <w:rPr>
      <w:rFonts w:ascii="Arial" w:eastAsia="Times New Roman" w:hAnsi="Arial" w:cs="Arial"/>
      <w:b/>
      <w:sz w:val="24"/>
      <w:szCs w:val="24"/>
      <w:lang w:val="es-ES" w:eastAsia="es-ES"/>
    </w:rPr>
  </w:style>
  <w:style w:type="character" w:customStyle="1" w:styleId="Ttulo2Car">
    <w:name w:val="Título 2 Car"/>
    <w:basedOn w:val="Fuentedeprrafopredeter"/>
    <w:link w:val="Ttulo2"/>
    <w:rsid w:val="00B3546B"/>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B3546B"/>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B3546B"/>
    <w:rPr>
      <w:rFonts w:ascii="Arial" w:eastAsia="Times New Roman" w:hAnsi="Arial" w:cs="Arial"/>
      <w:b/>
      <w:bCs/>
      <w:sz w:val="24"/>
      <w:szCs w:val="24"/>
      <w:lang w:val="es-ES" w:eastAsia="es-ES"/>
    </w:rPr>
  </w:style>
  <w:style w:type="character" w:customStyle="1" w:styleId="Ttulo5Car">
    <w:name w:val="Título 5 Car"/>
    <w:basedOn w:val="Fuentedeprrafopredeter"/>
    <w:link w:val="Ttulo5"/>
    <w:rsid w:val="00B3546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3546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B3546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B3546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B3546B"/>
    <w:rPr>
      <w:rFonts w:ascii="Arial" w:eastAsia="Times New Roman" w:hAnsi="Arial" w:cs="Arial"/>
      <w:lang w:val="es-ES" w:eastAsia="es-ES"/>
    </w:rPr>
  </w:style>
  <w:style w:type="paragraph" w:styleId="NormalWeb">
    <w:name w:val="Normal (Web)"/>
    <w:basedOn w:val="Normal"/>
    <w:semiHidden/>
    <w:rsid w:val="00B3546B"/>
    <w:pPr>
      <w:spacing w:before="100" w:beforeAutospacing="1" w:after="100" w:afterAutospacing="1" w:line="240" w:lineRule="auto"/>
      <w:ind w:firstLine="180"/>
    </w:pPr>
    <w:rPr>
      <w:rFonts w:ascii="Times New Roman" w:eastAsia="Times New Roman" w:hAnsi="Times New Roman"/>
      <w:szCs w:val="24"/>
      <w:lang w:val="es-ES" w:eastAsia="es-ES"/>
    </w:rPr>
  </w:style>
  <w:style w:type="paragraph" w:styleId="Encabezado">
    <w:name w:val="header"/>
    <w:basedOn w:val="Normal"/>
    <w:link w:val="EncabezadoCar"/>
    <w:uiPriority w:val="99"/>
    <w:unhideWhenUsed/>
    <w:rsid w:val="00160C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0CC7"/>
    <w:rPr>
      <w:rFonts w:ascii="Arial" w:eastAsia="Calibri" w:hAnsi="Arial" w:cs="Times New Roman"/>
      <w:sz w:val="24"/>
    </w:rPr>
  </w:style>
  <w:style w:type="paragraph" w:styleId="Piedepgina">
    <w:name w:val="footer"/>
    <w:basedOn w:val="Normal"/>
    <w:link w:val="PiedepginaCar"/>
    <w:uiPriority w:val="99"/>
    <w:unhideWhenUsed/>
    <w:rsid w:val="00160C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0CC7"/>
    <w:rPr>
      <w:rFonts w:ascii="Arial" w:eastAsia="Calibri" w:hAnsi="Arial" w:cs="Times New Roman"/>
      <w:sz w:val="24"/>
    </w:rPr>
  </w:style>
  <w:style w:type="paragraph" w:styleId="Prrafodelista">
    <w:name w:val="List Paragraph"/>
    <w:basedOn w:val="Normal"/>
    <w:uiPriority w:val="34"/>
    <w:qFormat/>
    <w:rsid w:val="00A533E7"/>
    <w:pPr>
      <w:ind w:left="720"/>
      <w:contextualSpacing/>
      <w:jc w:val="left"/>
    </w:pPr>
    <w:rPr>
      <w:rFonts w:asciiTheme="minorHAnsi" w:eastAsiaTheme="minorEastAsia" w:hAnsiTheme="minorHAnsi" w:cstheme="minorBidi"/>
      <w:lang w:eastAsia="es-UY"/>
    </w:rPr>
  </w:style>
  <w:style w:type="paragraph" w:styleId="Textodeglobo">
    <w:name w:val="Balloon Text"/>
    <w:basedOn w:val="Normal"/>
    <w:link w:val="TextodegloboCar"/>
    <w:uiPriority w:val="99"/>
    <w:semiHidden/>
    <w:unhideWhenUsed/>
    <w:rsid w:val="00C061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18F"/>
    <w:rPr>
      <w:rFonts w:ascii="Tahoma" w:eastAsia="Calibri" w:hAnsi="Tahoma" w:cs="Tahoma"/>
      <w:sz w:val="16"/>
      <w:szCs w:val="16"/>
    </w:rPr>
  </w:style>
  <w:style w:type="paragraph" w:styleId="Revisin">
    <w:name w:val="Revision"/>
    <w:hidden/>
    <w:uiPriority w:val="99"/>
    <w:semiHidden/>
    <w:rsid w:val="00C31E41"/>
    <w:pPr>
      <w:spacing w:after="0" w:line="240" w:lineRule="auto"/>
    </w:pPr>
    <w:rPr>
      <w:rFonts w:ascii="Arial" w:eastAsia="Calibri" w:hAnsi="Arial"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46B"/>
    <w:pPr>
      <w:jc w:val="both"/>
    </w:pPr>
    <w:rPr>
      <w:rFonts w:ascii="Arial" w:eastAsia="Calibri" w:hAnsi="Arial" w:cs="Times New Roman"/>
      <w:sz w:val="24"/>
    </w:rPr>
  </w:style>
  <w:style w:type="paragraph" w:styleId="Ttulo1">
    <w:name w:val="heading 1"/>
    <w:basedOn w:val="Normal"/>
    <w:next w:val="Normal"/>
    <w:link w:val="Ttulo1Car"/>
    <w:qFormat/>
    <w:rsid w:val="00B3546B"/>
    <w:pPr>
      <w:keepNext/>
      <w:numPr>
        <w:numId w:val="1"/>
      </w:numPr>
      <w:spacing w:after="0" w:line="360" w:lineRule="auto"/>
      <w:jc w:val="left"/>
      <w:outlineLvl w:val="0"/>
    </w:pPr>
    <w:rPr>
      <w:rFonts w:eastAsia="Times New Roman" w:cs="Arial"/>
      <w:b/>
      <w:szCs w:val="24"/>
      <w:lang w:val="es-ES" w:eastAsia="es-ES"/>
    </w:rPr>
  </w:style>
  <w:style w:type="paragraph" w:styleId="Ttulo2">
    <w:name w:val="heading 2"/>
    <w:basedOn w:val="Normal"/>
    <w:next w:val="Normal"/>
    <w:link w:val="Ttulo2Car"/>
    <w:qFormat/>
    <w:rsid w:val="00B3546B"/>
    <w:pPr>
      <w:keepNext/>
      <w:numPr>
        <w:ilvl w:val="1"/>
        <w:numId w:val="1"/>
      </w:numPr>
      <w:spacing w:before="240" w:after="60" w:line="240" w:lineRule="auto"/>
      <w:jc w:val="left"/>
      <w:outlineLvl w:val="1"/>
    </w:pPr>
    <w:rPr>
      <w:rFonts w:eastAsia="Times New Roman" w:cs="Arial"/>
      <w:b/>
      <w:bCs/>
      <w:i/>
      <w:iCs/>
      <w:sz w:val="28"/>
      <w:szCs w:val="28"/>
      <w:lang w:val="es-ES" w:eastAsia="es-ES"/>
    </w:rPr>
  </w:style>
  <w:style w:type="paragraph" w:styleId="Ttulo3">
    <w:name w:val="heading 3"/>
    <w:basedOn w:val="Normal"/>
    <w:next w:val="Normal"/>
    <w:link w:val="Ttulo3Car"/>
    <w:qFormat/>
    <w:rsid w:val="00B3546B"/>
    <w:pPr>
      <w:keepNext/>
      <w:numPr>
        <w:ilvl w:val="2"/>
        <w:numId w:val="1"/>
      </w:numPr>
      <w:spacing w:before="240" w:after="60" w:line="240" w:lineRule="auto"/>
      <w:jc w:val="left"/>
      <w:outlineLvl w:val="2"/>
    </w:pPr>
    <w:rPr>
      <w:rFonts w:eastAsia="Times New Roman" w:cs="Arial"/>
      <w:b/>
      <w:bCs/>
      <w:sz w:val="26"/>
      <w:szCs w:val="26"/>
      <w:lang w:val="es-ES" w:eastAsia="es-ES"/>
    </w:rPr>
  </w:style>
  <w:style w:type="paragraph" w:styleId="Ttulo4">
    <w:name w:val="heading 4"/>
    <w:basedOn w:val="Normal"/>
    <w:next w:val="Normal"/>
    <w:link w:val="Ttulo4Car"/>
    <w:qFormat/>
    <w:rsid w:val="00B3546B"/>
    <w:pPr>
      <w:keepNext/>
      <w:numPr>
        <w:ilvl w:val="3"/>
        <w:numId w:val="1"/>
      </w:numPr>
      <w:spacing w:after="0" w:line="360" w:lineRule="auto"/>
      <w:jc w:val="center"/>
      <w:outlineLvl w:val="3"/>
    </w:pPr>
    <w:rPr>
      <w:rFonts w:eastAsia="Times New Roman" w:cs="Arial"/>
      <w:b/>
      <w:bCs/>
      <w:szCs w:val="24"/>
      <w:lang w:val="es-ES" w:eastAsia="es-ES"/>
    </w:rPr>
  </w:style>
  <w:style w:type="paragraph" w:styleId="Ttulo5">
    <w:name w:val="heading 5"/>
    <w:basedOn w:val="Normal"/>
    <w:next w:val="Normal"/>
    <w:link w:val="Ttulo5Car"/>
    <w:qFormat/>
    <w:rsid w:val="00B3546B"/>
    <w:pPr>
      <w:numPr>
        <w:ilvl w:val="4"/>
        <w:numId w:val="1"/>
      </w:numPr>
      <w:spacing w:before="240" w:after="60" w:line="240" w:lineRule="auto"/>
      <w:jc w:val="left"/>
      <w:outlineLvl w:val="4"/>
    </w:pPr>
    <w:rPr>
      <w:rFonts w:ascii="Times New Roman" w:eastAsia="Times New Roman" w:hAnsi="Times New Roman"/>
      <w:b/>
      <w:bCs/>
      <w:i/>
      <w:iCs/>
      <w:sz w:val="26"/>
      <w:szCs w:val="26"/>
      <w:lang w:val="es-ES" w:eastAsia="es-ES"/>
    </w:rPr>
  </w:style>
  <w:style w:type="paragraph" w:styleId="Ttulo6">
    <w:name w:val="heading 6"/>
    <w:basedOn w:val="Normal"/>
    <w:next w:val="Normal"/>
    <w:link w:val="Ttulo6Car"/>
    <w:qFormat/>
    <w:rsid w:val="00B3546B"/>
    <w:pPr>
      <w:numPr>
        <w:ilvl w:val="5"/>
        <w:numId w:val="1"/>
      </w:numPr>
      <w:spacing w:before="240" w:after="60" w:line="240" w:lineRule="auto"/>
      <w:jc w:val="left"/>
      <w:outlineLvl w:val="5"/>
    </w:pPr>
    <w:rPr>
      <w:rFonts w:ascii="Times New Roman" w:eastAsia="Times New Roman" w:hAnsi="Times New Roman"/>
      <w:b/>
      <w:bCs/>
      <w:sz w:val="22"/>
      <w:lang w:val="es-ES" w:eastAsia="es-ES"/>
    </w:rPr>
  </w:style>
  <w:style w:type="paragraph" w:styleId="Ttulo7">
    <w:name w:val="heading 7"/>
    <w:basedOn w:val="Normal"/>
    <w:next w:val="Normal"/>
    <w:link w:val="Ttulo7Car"/>
    <w:qFormat/>
    <w:rsid w:val="00B3546B"/>
    <w:pPr>
      <w:numPr>
        <w:ilvl w:val="6"/>
        <w:numId w:val="1"/>
      </w:numPr>
      <w:spacing w:before="240" w:after="60" w:line="240" w:lineRule="auto"/>
      <w:jc w:val="left"/>
      <w:outlineLvl w:val="6"/>
    </w:pPr>
    <w:rPr>
      <w:rFonts w:ascii="Times New Roman" w:eastAsia="Times New Roman" w:hAnsi="Times New Roman"/>
      <w:szCs w:val="24"/>
      <w:lang w:val="es-ES" w:eastAsia="es-ES"/>
    </w:rPr>
  </w:style>
  <w:style w:type="paragraph" w:styleId="Ttulo8">
    <w:name w:val="heading 8"/>
    <w:basedOn w:val="Normal"/>
    <w:next w:val="Normal"/>
    <w:link w:val="Ttulo8Car"/>
    <w:qFormat/>
    <w:rsid w:val="00B3546B"/>
    <w:pPr>
      <w:numPr>
        <w:ilvl w:val="7"/>
        <w:numId w:val="1"/>
      </w:numPr>
      <w:spacing w:before="240" w:after="60" w:line="240" w:lineRule="auto"/>
      <w:jc w:val="left"/>
      <w:outlineLvl w:val="7"/>
    </w:pPr>
    <w:rPr>
      <w:rFonts w:ascii="Times New Roman" w:eastAsia="Times New Roman" w:hAnsi="Times New Roman"/>
      <w:i/>
      <w:iCs/>
      <w:szCs w:val="24"/>
      <w:lang w:val="es-ES" w:eastAsia="es-ES"/>
    </w:rPr>
  </w:style>
  <w:style w:type="paragraph" w:styleId="Ttulo9">
    <w:name w:val="heading 9"/>
    <w:basedOn w:val="Normal"/>
    <w:next w:val="Normal"/>
    <w:link w:val="Ttulo9Car"/>
    <w:qFormat/>
    <w:rsid w:val="00B3546B"/>
    <w:pPr>
      <w:numPr>
        <w:ilvl w:val="8"/>
        <w:numId w:val="1"/>
      </w:numPr>
      <w:spacing w:before="240" w:after="60" w:line="240" w:lineRule="auto"/>
      <w:jc w:val="left"/>
      <w:outlineLvl w:val="8"/>
    </w:pPr>
    <w:rPr>
      <w:rFonts w:eastAsia="Times New Roman" w:cs="Arial"/>
      <w:sz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B3546B"/>
    <w:pPr>
      <w:spacing w:after="120" w:line="240" w:lineRule="auto"/>
      <w:jc w:val="left"/>
    </w:pPr>
    <w:rPr>
      <w:rFonts w:ascii="Times New Roman" w:eastAsia="Times New Roman" w:hAnsi="Times New Roman"/>
      <w:szCs w:val="24"/>
      <w:lang w:val="es-ES" w:eastAsia="es-ES"/>
    </w:rPr>
  </w:style>
  <w:style w:type="character" w:customStyle="1" w:styleId="TextoindependienteCar">
    <w:name w:val="Texto independiente Car"/>
    <w:basedOn w:val="Fuentedeprrafopredeter"/>
    <w:link w:val="Textoindependiente"/>
    <w:semiHidden/>
    <w:rsid w:val="00B3546B"/>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rsid w:val="00B3546B"/>
    <w:pPr>
      <w:tabs>
        <w:tab w:val="left" w:pos="2552"/>
      </w:tabs>
      <w:spacing w:after="0" w:line="360" w:lineRule="auto"/>
    </w:pPr>
    <w:rPr>
      <w:rFonts w:eastAsia="Times New Roman" w:cs="Arial"/>
      <w:szCs w:val="20"/>
      <w:lang w:val="es-MX" w:eastAsia="es-ES"/>
    </w:rPr>
  </w:style>
  <w:style w:type="character" w:customStyle="1" w:styleId="SangradetextonormalCar">
    <w:name w:val="Sangría de texto normal Car"/>
    <w:basedOn w:val="Fuentedeprrafopredeter"/>
    <w:link w:val="Sangradetextonormal"/>
    <w:semiHidden/>
    <w:rsid w:val="00B3546B"/>
    <w:rPr>
      <w:rFonts w:ascii="Arial" w:eastAsia="Times New Roman" w:hAnsi="Arial" w:cs="Arial"/>
      <w:sz w:val="24"/>
      <w:szCs w:val="20"/>
      <w:lang w:val="es-MX" w:eastAsia="es-ES"/>
    </w:rPr>
  </w:style>
  <w:style w:type="paragraph" w:styleId="Sangra2detindependiente">
    <w:name w:val="Body Text Indent 2"/>
    <w:basedOn w:val="Normal"/>
    <w:link w:val="Sangra2detindependienteCar"/>
    <w:uiPriority w:val="99"/>
    <w:semiHidden/>
    <w:unhideWhenUsed/>
    <w:rsid w:val="00B3546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3546B"/>
    <w:rPr>
      <w:rFonts w:ascii="Arial" w:eastAsia="Calibri" w:hAnsi="Arial" w:cs="Times New Roman"/>
      <w:sz w:val="24"/>
    </w:rPr>
  </w:style>
  <w:style w:type="character" w:customStyle="1" w:styleId="Ttulo1Car">
    <w:name w:val="Título 1 Car"/>
    <w:basedOn w:val="Fuentedeprrafopredeter"/>
    <w:link w:val="Ttulo1"/>
    <w:rsid w:val="00B3546B"/>
    <w:rPr>
      <w:rFonts w:ascii="Arial" w:eastAsia="Times New Roman" w:hAnsi="Arial" w:cs="Arial"/>
      <w:b/>
      <w:sz w:val="24"/>
      <w:szCs w:val="24"/>
      <w:lang w:val="es-ES" w:eastAsia="es-ES"/>
    </w:rPr>
  </w:style>
  <w:style w:type="character" w:customStyle="1" w:styleId="Ttulo2Car">
    <w:name w:val="Título 2 Car"/>
    <w:basedOn w:val="Fuentedeprrafopredeter"/>
    <w:link w:val="Ttulo2"/>
    <w:rsid w:val="00B3546B"/>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B3546B"/>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B3546B"/>
    <w:rPr>
      <w:rFonts w:ascii="Arial" w:eastAsia="Times New Roman" w:hAnsi="Arial" w:cs="Arial"/>
      <w:b/>
      <w:bCs/>
      <w:sz w:val="24"/>
      <w:szCs w:val="24"/>
      <w:lang w:val="es-ES" w:eastAsia="es-ES"/>
    </w:rPr>
  </w:style>
  <w:style w:type="character" w:customStyle="1" w:styleId="Ttulo5Car">
    <w:name w:val="Título 5 Car"/>
    <w:basedOn w:val="Fuentedeprrafopredeter"/>
    <w:link w:val="Ttulo5"/>
    <w:rsid w:val="00B3546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3546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B3546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B3546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B3546B"/>
    <w:rPr>
      <w:rFonts w:ascii="Arial" w:eastAsia="Times New Roman" w:hAnsi="Arial" w:cs="Arial"/>
      <w:lang w:val="es-ES" w:eastAsia="es-ES"/>
    </w:rPr>
  </w:style>
  <w:style w:type="paragraph" w:styleId="NormalWeb">
    <w:name w:val="Normal (Web)"/>
    <w:basedOn w:val="Normal"/>
    <w:semiHidden/>
    <w:rsid w:val="00B3546B"/>
    <w:pPr>
      <w:spacing w:before="100" w:beforeAutospacing="1" w:after="100" w:afterAutospacing="1" w:line="240" w:lineRule="auto"/>
      <w:ind w:firstLine="180"/>
    </w:pPr>
    <w:rPr>
      <w:rFonts w:ascii="Times New Roman" w:eastAsia="Times New Roman" w:hAnsi="Times New Roman"/>
      <w:szCs w:val="24"/>
      <w:lang w:val="es-ES" w:eastAsia="es-ES"/>
    </w:rPr>
  </w:style>
  <w:style w:type="paragraph" w:styleId="Encabezado">
    <w:name w:val="header"/>
    <w:basedOn w:val="Normal"/>
    <w:link w:val="EncabezadoCar"/>
    <w:uiPriority w:val="99"/>
    <w:unhideWhenUsed/>
    <w:rsid w:val="00160C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0CC7"/>
    <w:rPr>
      <w:rFonts w:ascii="Arial" w:eastAsia="Calibri" w:hAnsi="Arial" w:cs="Times New Roman"/>
      <w:sz w:val="24"/>
    </w:rPr>
  </w:style>
  <w:style w:type="paragraph" w:styleId="Piedepgina">
    <w:name w:val="footer"/>
    <w:basedOn w:val="Normal"/>
    <w:link w:val="PiedepginaCar"/>
    <w:uiPriority w:val="99"/>
    <w:unhideWhenUsed/>
    <w:rsid w:val="00160C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0CC7"/>
    <w:rPr>
      <w:rFonts w:ascii="Arial" w:eastAsia="Calibri" w:hAnsi="Arial" w:cs="Times New Roman"/>
      <w:sz w:val="24"/>
    </w:rPr>
  </w:style>
  <w:style w:type="paragraph" w:styleId="Prrafodelista">
    <w:name w:val="List Paragraph"/>
    <w:basedOn w:val="Normal"/>
    <w:uiPriority w:val="34"/>
    <w:qFormat/>
    <w:rsid w:val="00A533E7"/>
    <w:pPr>
      <w:ind w:left="720"/>
      <w:contextualSpacing/>
      <w:jc w:val="left"/>
    </w:pPr>
    <w:rPr>
      <w:rFonts w:asciiTheme="minorHAnsi" w:eastAsiaTheme="minorEastAsia" w:hAnsiTheme="minorHAnsi" w:cstheme="minorBidi"/>
      <w:lang w:eastAsia="es-UY"/>
    </w:rPr>
  </w:style>
  <w:style w:type="paragraph" w:styleId="Textodeglobo">
    <w:name w:val="Balloon Text"/>
    <w:basedOn w:val="Normal"/>
    <w:link w:val="TextodegloboCar"/>
    <w:uiPriority w:val="99"/>
    <w:semiHidden/>
    <w:unhideWhenUsed/>
    <w:rsid w:val="00C061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18F"/>
    <w:rPr>
      <w:rFonts w:ascii="Tahoma" w:eastAsia="Calibri" w:hAnsi="Tahoma" w:cs="Tahoma"/>
      <w:sz w:val="16"/>
      <w:szCs w:val="16"/>
    </w:rPr>
  </w:style>
  <w:style w:type="paragraph" w:styleId="Revisin">
    <w:name w:val="Revision"/>
    <w:hidden/>
    <w:uiPriority w:val="99"/>
    <w:semiHidden/>
    <w:rsid w:val="00C31E41"/>
    <w:pPr>
      <w:spacing w:after="0" w:line="240" w:lineRule="auto"/>
    </w:pPr>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D3065-0000-47B8-9E4D-7D6C08CA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1634</Words>
  <Characters>8987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BCU</Company>
  <LinksUpToDate>false</LinksUpToDate>
  <CharactersWithSpaces>10600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Muñoz</dc:creator>
  <cp:lastModifiedBy>Tribunal1</cp:lastModifiedBy>
  <cp:revision>12</cp:revision>
  <cp:lastPrinted>2018-07-23T16:18:00Z</cp:lastPrinted>
  <dcterms:created xsi:type="dcterms:W3CDTF">2018-07-23T15:10:00Z</dcterms:created>
  <dcterms:modified xsi:type="dcterms:W3CDTF">2018-09-17T18:35:00Z</dcterms:modified>
</cp:coreProperties>
</file>