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7C8" w:rsidRPr="00786EEB" w:rsidRDefault="009A27C8"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w:t>
      </w:r>
      <w:r w:rsidR="002D3482">
        <w:rPr>
          <w:rFonts w:ascii="Arial" w:hAnsi="Arial" w:cs="Arial"/>
          <w:b/>
          <w:sz w:val="28"/>
          <w:szCs w:val="28"/>
          <w:lang w:val="es-ES_tradnl"/>
        </w:rPr>
        <w:t xml:space="preserve"> </w:t>
      </w:r>
      <w:r w:rsidR="00B5587A">
        <w:rPr>
          <w:rFonts w:ascii="Arial" w:hAnsi="Arial" w:cs="Arial"/>
          <w:b/>
          <w:sz w:val="28"/>
          <w:szCs w:val="28"/>
          <w:lang w:val="es-ES_tradnl"/>
        </w:rPr>
        <w:t>2393</w:t>
      </w:r>
      <w:r>
        <w:rPr>
          <w:rFonts w:ascii="Arial" w:hAnsi="Arial" w:cs="Arial"/>
          <w:b/>
          <w:sz w:val="28"/>
          <w:szCs w:val="28"/>
          <w:lang w:val="es-ES_tradnl"/>
        </w:rPr>
        <w:t>/18</w:t>
      </w:r>
    </w:p>
    <w:p w:rsidR="009A27C8" w:rsidRPr="00762B34" w:rsidRDefault="009A27C8" w:rsidP="009A27C8">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9A27C8" w:rsidRPr="00762B34" w:rsidRDefault="009A27C8" w:rsidP="009A27C8">
      <w:pPr>
        <w:tabs>
          <w:tab w:val="left" w:pos="-720"/>
        </w:tabs>
        <w:suppressAutoHyphens/>
        <w:spacing w:after="0" w:line="240" w:lineRule="auto"/>
        <w:jc w:val="center"/>
        <w:rPr>
          <w:rFonts w:ascii="Arial" w:hAnsi="Arial" w:cs="Arial"/>
          <w:b/>
          <w:lang w:val="es-ES_tradnl"/>
        </w:rPr>
      </w:pPr>
    </w:p>
    <w:p w:rsidR="009A27C8" w:rsidRPr="00762B34" w:rsidRDefault="009A27C8" w:rsidP="009A27C8">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TRIBUNAL DE CUENTAS</w:t>
      </w:r>
    </w:p>
    <w:p w:rsidR="009A27C8" w:rsidRPr="00762B34" w:rsidRDefault="009A27C8" w:rsidP="009A27C8">
      <w:pPr>
        <w:tabs>
          <w:tab w:val="left" w:pos="-720"/>
        </w:tabs>
        <w:suppressAutoHyphens/>
        <w:spacing w:after="0" w:line="240" w:lineRule="auto"/>
        <w:jc w:val="center"/>
        <w:rPr>
          <w:rFonts w:ascii="Arial" w:hAnsi="Arial" w:cs="Arial"/>
          <w:b/>
          <w:lang w:val="es-ES_tradnl"/>
        </w:rPr>
      </w:pPr>
    </w:p>
    <w:p w:rsidR="009A27C8" w:rsidRPr="00034B54" w:rsidRDefault="009A27C8" w:rsidP="009A27C8">
      <w:pPr>
        <w:tabs>
          <w:tab w:val="center" w:pos="4253"/>
        </w:tabs>
        <w:suppressAutoHyphens/>
        <w:spacing w:after="0" w:line="240" w:lineRule="auto"/>
        <w:jc w:val="center"/>
        <w:rPr>
          <w:rFonts w:ascii="Arial" w:hAnsi="Arial" w:cs="Arial"/>
          <w:b/>
          <w:color w:val="0D0D0D"/>
          <w:lang w:val="es-ES_tradnl"/>
        </w:rPr>
      </w:pPr>
      <w:r w:rsidRPr="00762B34">
        <w:rPr>
          <w:rFonts w:ascii="Arial" w:hAnsi="Arial" w:cs="Arial"/>
          <w:b/>
          <w:lang w:val="es-ES_tradnl"/>
        </w:rPr>
        <w:t xml:space="preserve">EN SESION DE FECHA </w:t>
      </w:r>
      <w:r w:rsidRPr="00034B54">
        <w:rPr>
          <w:rFonts w:ascii="Arial" w:hAnsi="Arial" w:cs="Arial"/>
          <w:b/>
          <w:color w:val="0D0D0D"/>
          <w:lang w:val="es-ES_tradnl"/>
        </w:rPr>
        <w:t>19 DE JULIO DE 2018</w:t>
      </w:r>
    </w:p>
    <w:p w:rsidR="009A27C8" w:rsidRPr="00BE4FE3" w:rsidRDefault="009A27C8" w:rsidP="009A27C8">
      <w:pPr>
        <w:tabs>
          <w:tab w:val="center" w:pos="4253"/>
        </w:tabs>
        <w:suppressAutoHyphens/>
        <w:spacing w:after="0" w:line="240" w:lineRule="auto"/>
        <w:jc w:val="center"/>
        <w:rPr>
          <w:rFonts w:ascii="Arial" w:hAnsi="Arial" w:cs="Arial"/>
          <w:b/>
          <w:color w:val="FF0000"/>
          <w:lang w:val="es-ES_tradnl"/>
        </w:rPr>
      </w:pPr>
    </w:p>
    <w:p w:rsidR="009A27C8" w:rsidRPr="00DA702C" w:rsidRDefault="009A27C8" w:rsidP="009A27C8">
      <w:pPr>
        <w:tabs>
          <w:tab w:val="center" w:pos="4253"/>
        </w:tabs>
        <w:suppressAutoHyphens/>
        <w:spacing w:after="0" w:line="240" w:lineRule="auto"/>
        <w:jc w:val="center"/>
        <w:rPr>
          <w:rFonts w:ascii="Arial" w:hAnsi="Arial" w:cs="Arial"/>
          <w:b/>
        </w:rPr>
      </w:pPr>
      <w:r w:rsidRPr="00DA702C">
        <w:rPr>
          <w:rFonts w:ascii="Arial" w:hAnsi="Arial" w:cs="Arial"/>
          <w:b/>
        </w:rPr>
        <w:t>(E. E. Nº</w:t>
      </w:r>
      <w:r w:rsidR="002D3482">
        <w:rPr>
          <w:rFonts w:ascii="Arial" w:hAnsi="Arial" w:cs="Arial"/>
          <w:b/>
        </w:rPr>
        <w:t xml:space="preserve"> </w:t>
      </w:r>
      <w:r w:rsidRPr="00DA702C">
        <w:rPr>
          <w:rFonts w:ascii="Arial" w:hAnsi="Arial" w:cs="Arial"/>
          <w:b/>
        </w:rPr>
        <w:t xml:space="preserve">2017-17-1-0004916, </w:t>
      </w:r>
      <w:proofErr w:type="spellStart"/>
      <w:r w:rsidRPr="00DA702C">
        <w:rPr>
          <w:rFonts w:ascii="Arial" w:hAnsi="Arial" w:cs="Arial"/>
          <w:b/>
        </w:rPr>
        <w:t>Ent</w:t>
      </w:r>
      <w:proofErr w:type="spellEnd"/>
      <w:r w:rsidRPr="00DA702C">
        <w:rPr>
          <w:rFonts w:ascii="Arial" w:hAnsi="Arial" w:cs="Arial"/>
          <w:b/>
        </w:rPr>
        <w:t>. Iniciada)</w:t>
      </w:r>
    </w:p>
    <w:p w:rsidR="004D035A" w:rsidRDefault="004D035A" w:rsidP="009A27C8">
      <w:pPr>
        <w:rPr>
          <w:rFonts w:ascii="Arial" w:hAnsi="Arial" w:cs="Arial"/>
          <w:b/>
        </w:rPr>
      </w:pPr>
    </w:p>
    <w:p w:rsidR="004D035A" w:rsidRPr="009A27C8" w:rsidRDefault="004D035A" w:rsidP="00900A26">
      <w:pPr>
        <w:spacing w:after="0" w:line="360" w:lineRule="auto"/>
        <w:ind w:firstLine="851"/>
        <w:jc w:val="both"/>
        <w:rPr>
          <w:rFonts w:ascii="Arial" w:hAnsi="Arial" w:cs="Arial"/>
          <w:szCs w:val="24"/>
        </w:rPr>
      </w:pPr>
      <w:r w:rsidRPr="009A27C8">
        <w:rPr>
          <w:rFonts w:ascii="Arial" w:hAnsi="Arial" w:cs="Arial"/>
          <w:b/>
          <w:szCs w:val="24"/>
        </w:rPr>
        <w:t xml:space="preserve">VISTO: </w:t>
      </w:r>
      <w:r w:rsidRPr="009A27C8">
        <w:rPr>
          <w:rFonts w:ascii="Arial" w:hAnsi="Arial" w:cs="Arial"/>
          <w:szCs w:val="24"/>
        </w:rPr>
        <w:t>que este Tribunal ha examinado los Estados Financieros correspondientes al Ejercicio finalizado el 31 de diciembre 2016 formulado por la Cámara de Senadores del Poder Legislativo;</w:t>
      </w:r>
    </w:p>
    <w:p w:rsidR="004D035A" w:rsidRPr="009A27C8" w:rsidRDefault="004D035A" w:rsidP="00900A26">
      <w:pPr>
        <w:spacing w:after="0" w:line="360" w:lineRule="auto"/>
        <w:ind w:firstLine="851"/>
        <w:jc w:val="both"/>
        <w:rPr>
          <w:rFonts w:ascii="Arial" w:hAnsi="Arial" w:cs="Arial"/>
          <w:szCs w:val="24"/>
        </w:rPr>
      </w:pPr>
      <w:r w:rsidRPr="009A27C8">
        <w:rPr>
          <w:rFonts w:ascii="Arial" w:hAnsi="Arial" w:cs="Arial"/>
          <w:b/>
          <w:szCs w:val="24"/>
        </w:rPr>
        <w:t xml:space="preserve">RESULTANDO: </w:t>
      </w:r>
      <w:r w:rsidRPr="009A27C8">
        <w:rPr>
          <w:rFonts w:ascii="Arial" w:hAnsi="Arial" w:cs="Arial"/>
          <w:szCs w:val="24"/>
        </w:rPr>
        <w:t>que la auditoría fue practicada de acuerdo con los Principios Fundamentales de Auditoría (ISSAI 100 y 200) de la Organización Internacional de Entidades Fiscalizadoras Superiores (INTOSAI);</w:t>
      </w:r>
    </w:p>
    <w:p w:rsidR="004D035A" w:rsidRPr="009A27C8" w:rsidRDefault="004D035A" w:rsidP="00900A26">
      <w:pPr>
        <w:spacing w:after="0" w:line="360" w:lineRule="auto"/>
        <w:ind w:firstLine="851"/>
        <w:jc w:val="both"/>
        <w:rPr>
          <w:rFonts w:ascii="Arial" w:hAnsi="Arial" w:cs="Arial"/>
          <w:szCs w:val="24"/>
        </w:rPr>
      </w:pPr>
      <w:r w:rsidRPr="009A27C8">
        <w:rPr>
          <w:rFonts w:ascii="Arial" w:hAnsi="Arial" w:cs="Arial"/>
          <w:b/>
          <w:szCs w:val="24"/>
        </w:rPr>
        <w:t>CONSIDERANDO:</w:t>
      </w:r>
      <w:r w:rsidRPr="009A27C8">
        <w:rPr>
          <w:rFonts w:ascii="Arial" w:hAnsi="Arial" w:cs="Arial"/>
          <w:szCs w:val="24"/>
        </w:rPr>
        <w:t xml:space="preserve"> que las conclusiones y evidencias obtenidas son las que se expresan en el informe de Auditoría que incluye Dictamen e Informe a la Administración;</w:t>
      </w:r>
    </w:p>
    <w:p w:rsidR="004D035A" w:rsidRPr="009A27C8" w:rsidRDefault="004D035A" w:rsidP="00900A26">
      <w:pPr>
        <w:spacing w:after="0" w:line="360" w:lineRule="auto"/>
        <w:ind w:firstLine="851"/>
        <w:jc w:val="both"/>
        <w:rPr>
          <w:rFonts w:ascii="Arial" w:hAnsi="Arial" w:cs="Arial"/>
          <w:szCs w:val="24"/>
        </w:rPr>
      </w:pPr>
      <w:r w:rsidRPr="009A27C8">
        <w:rPr>
          <w:rFonts w:ascii="Arial" w:hAnsi="Arial" w:cs="Arial"/>
          <w:b/>
          <w:szCs w:val="24"/>
        </w:rPr>
        <w:t>ATENTO:</w:t>
      </w:r>
      <w:r w:rsidRPr="009A27C8">
        <w:rPr>
          <w:rFonts w:ascii="Arial" w:hAnsi="Arial" w:cs="Arial"/>
          <w:szCs w:val="24"/>
        </w:rPr>
        <w:t xml:space="preserve"> a lo dispuesto en el Artículo 211 Literal C) de la Constitución de la República;</w:t>
      </w:r>
    </w:p>
    <w:p w:rsidR="004D035A" w:rsidRPr="009A27C8" w:rsidRDefault="004D035A" w:rsidP="009A27C8">
      <w:pPr>
        <w:spacing w:after="0" w:line="360" w:lineRule="auto"/>
        <w:jc w:val="center"/>
        <w:rPr>
          <w:rFonts w:ascii="Arial" w:hAnsi="Arial" w:cs="Arial"/>
          <w:b/>
          <w:szCs w:val="24"/>
        </w:rPr>
      </w:pPr>
      <w:r w:rsidRPr="009A27C8">
        <w:rPr>
          <w:rFonts w:ascii="Arial" w:hAnsi="Arial" w:cs="Arial"/>
          <w:b/>
          <w:szCs w:val="24"/>
        </w:rPr>
        <w:t>EL TRIBUNAL ACUERDA</w:t>
      </w:r>
    </w:p>
    <w:p w:rsidR="004D035A" w:rsidRPr="009A27C8" w:rsidRDefault="004D035A" w:rsidP="009A27C8">
      <w:pPr>
        <w:pStyle w:val="Prrafodelista"/>
        <w:numPr>
          <w:ilvl w:val="0"/>
          <w:numId w:val="8"/>
        </w:numPr>
        <w:tabs>
          <w:tab w:val="left" w:pos="284"/>
        </w:tabs>
        <w:spacing w:after="0" w:line="360" w:lineRule="auto"/>
        <w:ind w:left="0" w:firstLine="0"/>
        <w:rPr>
          <w:rFonts w:ascii="Arial" w:hAnsi="Arial" w:cs="Arial"/>
          <w:sz w:val="24"/>
          <w:szCs w:val="24"/>
        </w:rPr>
      </w:pPr>
      <w:r w:rsidRPr="009A27C8">
        <w:rPr>
          <w:rFonts w:ascii="Arial" w:hAnsi="Arial" w:cs="Arial"/>
          <w:sz w:val="24"/>
          <w:szCs w:val="24"/>
        </w:rPr>
        <w:t>Expedirse en los términos del Informe de Auditoría que se adjunta;</w:t>
      </w:r>
    </w:p>
    <w:p w:rsidR="004D035A" w:rsidRPr="009A27C8" w:rsidRDefault="004D035A" w:rsidP="009A27C8">
      <w:pPr>
        <w:pStyle w:val="Prrafodelista"/>
        <w:numPr>
          <w:ilvl w:val="0"/>
          <w:numId w:val="8"/>
        </w:numPr>
        <w:tabs>
          <w:tab w:val="left" w:pos="284"/>
        </w:tabs>
        <w:spacing w:after="0" w:line="360" w:lineRule="auto"/>
        <w:ind w:left="0" w:firstLine="0"/>
        <w:rPr>
          <w:rFonts w:ascii="Arial" w:hAnsi="Arial" w:cs="Arial"/>
          <w:sz w:val="24"/>
          <w:szCs w:val="24"/>
        </w:rPr>
      </w:pPr>
      <w:r w:rsidRPr="009A27C8">
        <w:rPr>
          <w:rFonts w:ascii="Arial" w:hAnsi="Arial" w:cs="Arial"/>
          <w:sz w:val="24"/>
          <w:szCs w:val="24"/>
        </w:rPr>
        <w:t>Comunicar la presente Resoluc</w:t>
      </w:r>
      <w:r w:rsidR="002D3482">
        <w:rPr>
          <w:rFonts w:ascii="Arial" w:hAnsi="Arial" w:cs="Arial"/>
          <w:sz w:val="24"/>
          <w:szCs w:val="24"/>
        </w:rPr>
        <w:t>ión a la Cámara de Senadores; y</w:t>
      </w:r>
    </w:p>
    <w:p w:rsidR="004D035A" w:rsidRPr="009A27C8" w:rsidRDefault="004D035A" w:rsidP="009A27C8">
      <w:pPr>
        <w:pStyle w:val="Prrafodelista"/>
        <w:numPr>
          <w:ilvl w:val="0"/>
          <w:numId w:val="8"/>
        </w:numPr>
        <w:tabs>
          <w:tab w:val="left" w:pos="284"/>
        </w:tabs>
        <w:spacing w:after="0" w:line="360" w:lineRule="auto"/>
        <w:ind w:left="0" w:firstLine="0"/>
        <w:rPr>
          <w:rFonts w:ascii="Arial" w:hAnsi="Arial" w:cs="Arial"/>
          <w:sz w:val="24"/>
          <w:szCs w:val="24"/>
        </w:rPr>
      </w:pPr>
      <w:r w:rsidRPr="009A27C8">
        <w:rPr>
          <w:rFonts w:ascii="Arial" w:hAnsi="Arial" w:cs="Arial"/>
          <w:sz w:val="24"/>
          <w:szCs w:val="24"/>
        </w:rPr>
        <w:t>Da</w:t>
      </w:r>
      <w:r w:rsidR="00545330">
        <w:rPr>
          <w:rFonts w:ascii="Arial" w:hAnsi="Arial" w:cs="Arial"/>
          <w:sz w:val="24"/>
          <w:szCs w:val="24"/>
        </w:rPr>
        <w:t>r cuenta a la Asamblea General.</w:t>
      </w:r>
    </w:p>
    <w:p w:rsidR="005B1EAB" w:rsidRPr="009A27C8" w:rsidRDefault="009A27C8" w:rsidP="009A27C8">
      <w:pPr>
        <w:tabs>
          <w:tab w:val="left" w:pos="284"/>
        </w:tabs>
        <w:spacing w:after="0" w:line="360" w:lineRule="auto"/>
        <w:rPr>
          <w:rFonts w:ascii="Arial" w:hAnsi="Arial" w:cs="Arial"/>
          <w:sz w:val="20"/>
          <w:szCs w:val="20"/>
        </w:rPr>
      </w:pPr>
      <w:r>
        <w:rPr>
          <w:rFonts w:ascii="Arial" w:hAnsi="Arial" w:cs="Arial"/>
          <w:sz w:val="20"/>
          <w:szCs w:val="20"/>
        </w:rPr>
        <w:t>CLC</w:t>
      </w:r>
    </w:p>
    <w:p w:rsidR="004D035A" w:rsidRDefault="004D035A"/>
    <w:p w:rsidR="004D035A" w:rsidRDefault="004D035A"/>
    <w:p w:rsidR="00DA702C" w:rsidRDefault="00DA702C"/>
    <w:p w:rsidR="002D3482" w:rsidRDefault="002D3482"/>
    <w:p w:rsidR="00DA702C" w:rsidRDefault="00DA702C"/>
    <w:p w:rsidR="00DA702C" w:rsidRDefault="00DA702C" w:rsidP="003B23B4">
      <w:pPr>
        <w:pStyle w:val="ndice11"/>
        <w:tabs>
          <w:tab w:val="clear" w:pos="3960"/>
        </w:tabs>
        <w:spacing w:before="0" w:line="360" w:lineRule="auto"/>
        <w:jc w:val="center"/>
        <w:rPr>
          <w:rFonts w:ascii="Arial" w:hAnsi="Arial" w:cs="Arial"/>
          <w:sz w:val="24"/>
          <w:szCs w:val="24"/>
        </w:rPr>
      </w:pPr>
      <w:r>
        <w:rPr>
          <w:rFonts w:ascii="Arial" w:hAnsi="Arial" w:cs="Arial"/>
          <w:sz w:val="24"/>
          <w:szCs w:val="24"/>
        </w:rPr>
        <w:lastRenderedPageBreak/>
        <w:t>DICTAMEN</w:t>
      </w:r>
    </w:p>
    <w:p w:rsidR="002D3482" w:rsidRPr="002D3482" w:rsidRDefault="002D3482" w:rsidP="002D3482">
      <w:pPr>
        <w:rPr>
          <w:lang w:val="es-ES" w:eastAsia="es-ES"/>
        </w:rPr>
      </w:pPr>
    </w:p>
    <w:p w:rsidR="00DA702C" w:rsidRPr="00E009FF" w:rsidRDefault="00DA702C" w:rsidP="005B1EAB">
      <w:pPr>
        <w:spacing w:after="260" w:line="360" w:lineRule="auto"/>
        <w:jc w:val="both"/>
        <w:rPr>
          <w:rFonts w:ascii="Arial" w:hAnsi="Arial" w:cs="Arial"/>
          <w:szCs w:val="24"/>
        </w:rPr>
      </w:pPr>
      <w:r w:rsidRPr="00E009FF">
        <w:rPr>
          <w:rFonts w:ascii="Arial" w:hAnsi="Arial" w:cs="Arial"/>
          <w:szCs w:val="24"/>
        </w:rPr>
        <w:t>El Tribunal de Cuentas ha examinado los estados financieros de la Cámara de Senadores que se adjuntan</w:t>
      </w:r>
      <w:r>
        <w:rPr>
          <w:rFonts w:ascii="Arial" w:hAnsi="Arial" w:cs="Arial"/>
          <w:szCs w:val="24"/>
        </w:rPr>
        <w:t>. D</w:t>
      </w:r>
      <w:r w:rsidRPr="00E009FF">
        <w:rPr>
          <w:rFonts w:ascii="Arial" w:hAnsi="Arial" w:cs="Arial"/>
          <w:szCs w:val="24"/>
        </w:rPr>
        <w:t xml:space="preserve">ichos estados financieros comprenden el Estado de Situación Patrimonial al 31 de diciembre de 2016, el Estado de </w:t>
      </w:r>
      <w:r>
        <w:rPr>
          <w:rFonts w:ascii="Arial" w:hAnsi="Arial" w:cs="Arial"/>
          <w:szCs w:val="24"/>
        </w:rPr>
        <w:t>Gestión</w:t>
      </w:r>
      <w:r w:rsidRPr="00E009FF">
        <w:rPr>
          <w:rFonts w:ascii="Arial" w:hAnsi="Arial" w:cs="Arial"/>
          <w:szCs w:val="24"/>
        </w:rPr>
        <w:t>, y de Flujos de Efectivo por el ejercicio anual finalizado en esa fecha, los Anexos y las notas explicativas a los estados financieros.</w:t>
      </w:r>
    </w:p>
    <w:p w:rsidR="00DA702C" w:rsidRPr="00E009FF" w:rsidRDefault="00DA702C" w:rsidP="005B1EAB">
      <w:pPr>
        <w:spacing w:after="260" w:line="360" w:lineRule="auto"/>
        <w:jc w:val="both"/>
        <w:rPr>
          <w:rFonts w:ascii="Arial" w:hAnsi="Arial" w:cs="Arial"/>
          <w:szCs w:val="24"/>
        </w:rPr>
      </w:pPr>
      <w:r w:rsidRPr="00E009FF">
        <w:rPr>
          <w:rFonts w:ascii="Arial" w:hAnsi="Arial" w:cs="Arial"/>
          <w:szCs w:val="24"/>
        </w:rPr>
        <w:t>También se presentan, en caso de corresponder, los incumplimientos legales constatados por el Tribunal de Cuentas en el curso de la auditoría efectuada.</w:t>
      </w:r>
    </w:p>
    <w:p w:rsidR="00DA702C" w:rsidRPr="00E009FF" w:rsidRDefault="00DA702C" w:rsidP="005B1EAB">
      <w:pPr>
        <w:spacing w:after="260" w:line="360" w:lineRule="auto"/>
        <w:jc w:val="both"/>
        <w:rPr>
          <w:rFonts w:ascii="Arial" w:hAnsi="Arial" w:cs="Arial"/>
          <w:b/>
          <w:szCs w:val="24"/>
        </w:rPr>
      </w:pPr>
      <w:r w:rsidRPr="00E009FF">
        <w:rPr>
          <w:rFonts w:ascii="Arial" w:hAnsi="Arial" w:cs="Arial"/>
          <w:b/>
          <w:szCs w:val="24"/>
        </w:rPr>
        <w:t xml:space="preserve">Responsabilidad </w:t>
      </w:r>
      <w:r w:rsidRPr="00147BA3">
        <w:rPr>
          <w:rFonts w:ascii="Arial" w:hAnsi="Arial" w:cs="Arial"/>
          <w:b/>
          <w:szCs w:val="24"/>
        </w:rPr>
        <w:t>de la Cámara de Senadores  por los estados financieros</w:t>
      </w:r>
    </w:p>
    <w:p w:rsidR="00DA702C" w:rsidRDefault="00DA702C" w:rsidP="00764B52">
      <w:pPr>
        <w:spacing w:after="0" w:line="360" w:lineRule="auto"/>
        <w:jc w:val="both"/>
        <w:rPr>
          <w:rFonts w:ascii="Arial" w:hAnsi="Arial" w:cs="Arial"/>
          <w:szCs w:val="24"/>
        </w:rPr>
      </w:pPr>
      <w:r>
        <w:rPr>
          <w:rFonts w:ascii="Arial" w:hAnsi="Arial" w:cs="Arial"/>
          <w:szCs w:val="24"/>
        </w:rPr>
        <w:t>De acuerdo a lo señalado por la</w:t>
      </w:r>
      <w:r w:rsidRPr="00E009FF">
        <w:rPr>
          <w:rFonts w:ascii="Arial" w:hAnsi="Arial" w:cs="Arial"/>
          <w:szCs w:val="24"/>
        </w:rPr>
        <w:t xml:space="preserve"> Cámara de Senadores</w:t>
      </w:r>
      <w:r>
        <w:rPr>
          <w:rFonts w:ascii="Arial" w:hAnsi="Arial" w:cs="Arial"/>
          <w:szCs w:val="24"/>
        </w:rPr>
        <w:t>, la misma</w:t>
      </w:r>
      <w:r w:rsidRPr="00E009FF">
        <w:rPr>
          <w:rFonts w:ascii="Arial" w:hAnsi="Arial" w:cs="Arial"/>
          <w:szCs w:val="24"/>
        </w:rPr>
        <w:t xml:space="preserve"> es responsable por la preparación y la razonable presentación de estos estados financieros</w:t>
      </w:r>
      <w:r>
        <w:rPr>
          <w:rFonts w:ascii="Arial" w:hAnsi="Arial" w:cs="Arial"/>
          <w:szCs w:val="24"/>
        </w:rPr>
        <w:t xml:space="preserve"> de acuerdo con la Ordenanza N° 81 del Tribunal de Cuentas. </w:t>
      </w:r>
      <w:r w:rsidRPr="00E009FF">
        <w:rPr>
          <w:rFonts w:ascii="Arial" w:hAnsi="Arial" w:cs="Arial"/>
          <w:szCs w:val="24"/>
        </w:rPr>
        <w:t>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DA702C" w:rsidRPr="00E009FF" w:rsidRDefault="00DA702C" w:rsidP="00764B52">
      <w:pPr>
        <w:spacing w:after="0" w:line="360" w:lineRule="auto"/>
        <w:jc w:val="both"/>
        <w:rPr>
          <w:rFonts w:ascii="Arial" w:hAnsi="Arial" w:cs="Arial"/>
          <w:szCs w:val="24"/>
        </w:rPr>
      </w:pPr>
    </w:p>
    <w:p w:rsidR="00DA702C" w:rsidRPr="00E009FF" w:rsidRDefault="00DA702C" w:rsidP="005B1EAB">
      <w:pPr>
        <w:spacing w:after="260" w:line="360" w:lineRule="auto"/>
        <w:jc w:val="both"/>
        <w:rPr>
          <w:rFonts w:ascii="Arial" w:hAnsi="Arial" w:cs="Arial"/>
          <w:b/>
          <w:szCs w:val="24"/>
        </w:rPr>
      </w:pPr>
      <w:r w:rsidRPr="00E009FF">
        <w:rPr>
          <w:rFonts w:ascii="Arial" w:hAnsi="Arial" w:cs="Arial"/>
          <w:b/>
          <w:szCs w:val="24"/>
        </w:rPr>
        <w:t>Responsabilidad del auditor</w:t>
      </w:r>
    </w:p>
    <w:p w:rsidR="00DA702C" w:rsidRPr="00E009FF" w:rsidRDefault="00DA702C" w:rsidP="005B1EAB">
      <w:pPr>
        <w:pStyle w:val="Sangradetindependiente"/>
        <w:tabs>
          <w:tab w:val="clear" w:pos="860"/>
        </w:tabs>
        <w:spacing w:line="360" w:lineRule="auto"/>
        <w:rPr>
          <w:rFonts w:ascii="Arial" w:hAnsi="Arial" w:cs="Arial"/>
          <w:sz w:val="24"/>
          <w:szCs w:val="24"/>
        </w:rPr>
      </w:pPr>
      <w:r w:rsidRPr="00E009FF">
        <w:rPr>
          <w:rFonts w:ascii="Arial" w:hAnsi="Arial" w:cs="Arial"/>
          <w:sz w:val="24"/>
          <w:szCs w:val="24"/>
        </w:rPr>
        <w:t>La responsabilidad del Tribunal de Cuentas es expresar una opinión sobre dichos estados financieros basada en la auditoría realizada. Esta auditoría fue practicada de acuerdo con los Principios Fundamentales de Auditoría (ISSAI 100 y 200)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DA702C" w:rsidRPr="00E009FF" w:rsidRDefault="00DA702C" w:rsidP="005B1EAB">
      <w:pPr>
        <w:spacing w:after="260" w:line="360" w:lineRule="auto"/>
        <w:jc w:val="both"/>
        <w:rPr>
          <w:rFonts w:ascii="Arial" w:hAnsi="Arial" w:cs="Arial"/>
          <w:szCs w:val="24"/>
        </w:rPr>
      </w:pPr>
      <w:r w:rsidRPr="00E009FF">
        <w:rPr>
          <w:rFonts w:ascii="Arial" w:hAnsi="Arial" w:cs="Arial"/>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DA702C" w:rsidRPr="00E009FF" w:rsidRDefault="00DA702C" w:rsidP="005B1EAB">
      <w:pPr>
        <w:spacing w:after="260" w:line="360" w:lineRule="auto"/>
        <w:jc w:val="both"/>
        <w:rPr>
          <w:rFonts w:ascii="Arial" w:hAnsi="Arial" w:cs="Arial"/>
          <w:szCs w:val="24"/>
        </w:rPr>
      </w:pPr>
      <w:r w:rsidRPr="00E009FF">
        <w:rPr>
          <w:rFonts w:ascii="Arial" w:hAnsi="Arial" w:cs="Arial"/>
          <w:szCs w:val="24"/>
        </w:rPr>
        <w:t>Se considera que la evidencia de auditoría obtenida brinda una base suficiente y apropiada para sustentar la opinión.</w:t>
      </w:r>
    </w:p>
    <w:p w:rsidR="00DA702C" w:rsidRPr="00E009FF" w:rsidRDefault="00DA702C" w:rsidP="005B1EAB">
      <w:pPr>
        <w:spacing w:after="260" w:line="360" w:lineRule="auto"/>
        <w:jc w:val="both"/>
        <w:rPr>
          <w:rFonts w:ascii="Arial" w:hAnsi="Arial" w:cs="Arial"/>
          <w:b/>
          <w:szCs w:val="24"/>
        </w:rPr>
      </w:pPr>
      <w:r w:rsidRPr="00E009FF">
        <w:rPr>
          <w:rFonts w:ascii="Arial" w:hAnsi="Arial" w:cs="Arial"/>
          <w:b/>
          <w:szCs w:val="24"/>
        </w:rPr>
        <w:t xml:space="preserve">Bases </w:t>
      </w:r>
      <w:r w:rsidR="002D3482">
        <w:rPr>
          <w:rFonts w:ascii="Arial" w:hAnsi="Arial" w:cs="Arial"/>
          <w:b/>
          <w:szCs w:val="24"/>
        </w:rPr>
        <w:t>para la calificación de opinión</w:t>
      </w:r>
    </w:p>
    <w:p w:rsidR="00DA702C" w:rsidRPr="006B5F45" w:rsidRDefault="00DA702C" w:rsidP="00DA47BD">
      <w:pPr>
        <w:numPr>
          <w:ilvl w:val="0"/>
          <w:numId w:val="9"/>
        </w:numPr>
        <w:tabs>
          <w:tab w:val="left" w:pos="-142"/>
          <w:tab w:val="left" w:pos="284"/>
        </w:tabs>
        <w:spacing w:after="260" w:line="360" w:lineRule="auto"/>
        <w:ind w:left="0" w:firstLine="0"/>
        <w:jc w:val="both"/>
        <w:rPr>
          <w:rFonts w:ascii="Arial" w:hAnsi="Arial" w:cs="Arial"/>
          <w:szCs w:val="24"/>
        </w:rPr>
      </w:pPr>
      <w:r w:rsidRPr="006B5F45">
        <w:rPr>
          <w:rFonts w:ascii="Arial" w:hAnsi="Arial" w:cs="Arial"/>
          <w:szCs w:val="24"/>
        </w:rPr>
        <w:t xml:space="preserve">La Cámara de Senadores no revela la información sobre los juicios y litigios. La Dirección Jurídica de la Cámara de Senadores estimó en $ 27:737.612 y USD 63:041.528 el monto reclamado al cierre del ejercicio 2016; considerando las acciones </w:t>
      </w:r>
      <w:proofErr w:type="spellStart"/>
      <w:r w:rsidRPr="006B5F45">
        <w:rPr>
          <w:rFonts w:ascii="Arial" w:hAnsi="Arial" w:cs="Arial"/>
          <w:szCs w:val="24"/>
        </w:rPr>
        <w:t>reparatorias</w:t>
      </w:r>
      <w:proofErr w:type="spellEnd"/>
      <w:r w:rsidRPr="006B5F45">
        <w:rPr>
          <w:rFonts w:ascii="Arial" w:hAnsi="Arial" w:cs="Arial"/>
          <w:szCs w:val="24"/>
        </w:rPr>
        <w:t xml:space="preserve"> patrimoniales y los juicios pendientes.</w:t>
      </w:r>
    </w:p>
    <w:p w:rsidR="00DA702C" w:rsidRPr="006B5F45" w:rsidRDefault="00DA702C" w:rsidP="00DA47BD">
      <w:pPr>
        <w:numPr>
          <w:ilvl w:val="0"/>
          <w:numId w:val="9"/>
        </w:numPr>
        <w:tabs>
          <w:tab w:val="left" w:pos="-142"/>
          <w:tab w:val="left" w:pos="284"/>
        </w:tabs>
        <w:spacing w:after="260" w:line="360" w:lineRule="auto"/>
        <w:ind w:left="0" w:firstLine="0"/>
        <w:jc w:val="both"/>
        <w:rPr>
          <w:rFonts w:ascii="Arial" w:hAnsi="Arial" w:cs="Arial"/>
          <w:szCs w:val="24"/>
        </w:rPr>
      </w:pPr>
      <w:r w:rsidRPr="006B5F45">
        <w:rPr>
          <w:rFonts w:ascii="Arial" w:hAnsi="Arial" w:cs="Arial"/>
          <w:szCs w:val="24"/>
        </w:rPr>
        <w:t xml:space="preserve">En el Estado de Origen y Aplicación de Fondos no hay exactitud en cuanto a las variaciones que impactan en el flujo de efectivo. No se incluyen las partidas correspondientes a las adquisiciones de bienes de uso del ejercicio por </w:t>
      </w:r>
      <w:r>
        <w:rPr>
          <w:rFonts w:ascii="Arial" w:hAnsi="Arial" w:cs="Arial"/>
          <w:szCs w:val="24"/>
        </w:rPr>
        <w:t xml:space="preserve">            </w:t>
      </w:r>
      <w:r w:rsidRPr="006B5F45">
        <w:rPr>
          <w:rFonts w:ascii="Arial" w:hAnsi="Arial" w:cs="Arial"/>
          <w:szCs w:val="24"/>
        </w:rPr>
        <w:t xml:space="preserve">$ </w:t>
      </w:r>
      <w:r w:rsidRPr="006B5F45">
        <w:rPr>
          <w:rFonts w:ascii="Arial" w:hAnsi="Arial" w:cs="Arial"/>
          <w:color w:val="000000"/>
          <w:szCs w:val="24"/>
        </w:rPr>
        <w:t>5:385.245</w:t>
      </w:r>
      <w:r w:rsidRPr="006B5F45">
        <w:rPr>
          <w:rFonts w:ascii="Arial" w:hAnsi="Arial" w:cs="Arial"/>
          <w:szCs w:val="24"/>
        </w:rPr>
        <w:t xml:space="preserve"> y se ajustan los fondos provenientes de operaciones por un importe en menos de $</w:t>
      </w:r>
      <w:r>
        <w:rPr>
          <w:rFonts w:ascii="Arial" w:hAnsi="Arial" w:cs="Arial"/>
          <w:szCs w:val="24"/>
        </w:rPr>
        <w:t xml:space="preserve"> </w:t>
      </w:r>
      <w:r w:rsidRPr="006B5F45">
        <w:rPr>
          <w:rFonts w:ascii="Arial" w:hAnsi="Arial" w:cs="Arial"/>
          <w:color w:val="000000"/>
          <w:szCs w:val="24"/>
        </w:rPr>
        <w:t xml:space="preserve">3:046.094 </w:t>
      </w:r>
      <w:r w:rsidRPr="006B5F45">
        <w:rPr>
          <w:rFonts w:ascii="Arial" w:hAnsi="Arial" w:cs="Arial"/>
          <w:szCs w:val="24"/>
        </w:rPr>
        <w:t>no especificándose a que c</w:t>
      </w:r>
      <w:r w:rsidR="002D3482">
        <w:rPr>
          <w:rFonts w:ascii="Arial" w:hAnsi="Arial" w:cs="Arial"/>
          <w:szCs w:val="24"/>
        </w:rPr>
        <w:t>orresponde dicha rectificación.</w:t>
      </w:r>
    </w:p>
    <w:p w:rsidR="00DA702C" w:rsidRPr="0023258E" w:rsidRDefault="002D3482" w:rsidP="005B1EAB">
      <w:pPr>
        <w:spacing w:after="260" w:line="360" w:lineRule="auto"/>
        <w:jc w:val="both"/>
        <w:rPr>
          <w:rFonts w:ascii="Arial" w:hAnsi="Arial" w:cs="Arial"/>
          <w:b/>
          <w:szCs w:val="24"/>
        </w:rPr>
      </w:pPr>
      <w:r>
        <w:rPr>
          <w:rFonts w:ascii="Arial" w:hAnsi="Arial" w:cs="Arial"/>
          <w:b/>
          <w:szCs w:val="24"/>
        </w:rPr>
        <w:t>Opinión Calificada</w:t>
      </w:r>
    </w:p>
    <w:p w:rsidR="00DA702C" w:rsidRDefault="00DA702C" w:rsidP="00DA47BD">
      <w:pPr>
        <w:spacing w:after="0" w:line="360" w:lineRule="auto"/>
        <w:jc w:val="both"/>
        <w:rPr>
          <w:rFonts w:ascii="Arial" w:hAnsi="Arial" w:cs="Arial"/>
          <w:szCs w:val="24"/>
        </w:rPr>
      </w:pPr>
      <w:r w:rsidRPr="009E5F96">
        <w:rPr>
          <w:rFonts w:ascii="Arial" w:hAnsi="Arial" w:cs="Arial"/>
          <w:szCs w:val="24"/>
        </w:rPr>
        <w:t xml:space="preserve">En opinión del Tribunal de Cuentas, excepto por </w:t>
      </w:r>
      <w:r>
        <w:rPr>
          <w:rFonts w:ascii="Arial" w:hAnsi="Arial" w:cs="Arial"/>
          <w:szCs w:val="24"/>
        </w:rPr>
        <w:t>lo mencionado en el párrafo anterior</w:t>
      </w:r>
      <w:r w:rsidRPr="009E5F96">
        <w:rPr>
          <w:rFonts w:ascii="Arial" w:hAnsi="Arial" w:cs="Arial"/>
          <w:szCs w:val="24"/>
        </w:rPr>
        <w:t xml:space="preserve">, los estados financieros mencionados presentan razonablemente, en todos sus aspectos importantes, la situación patrimonial de la Cámara de Senadores al 31 de </w:t>
      </w:r>
      <w:r w:rsidRPr="002F7264">
        <w:rPr>
          <w:rFonts w:ascii="Arial" w:hAnsi="Arial" w:cs="Arial"/>
          <w:szCs w:val="24"/>
        </w:rPr>
        <w:t>diciembre de 2016</w:t>
      </w:r>
      <w:r>
        <w:rPr>
          <w:rFonts w:ascii="Arial" w:hAnsi="Arial" w:cs="Arial"/>
          <w:szCs w:val="24"/>
        </w:rPr>
        <w:t xml:space="preserve"> </w:t>
      </w:r>
      <w:r w:rsidRPr="002F7264">
        <w:rPr>
          <w:rFonts w:ascii="Arial" w:hAnsi="Arial" w:cs="Arial"/>
          <w:szCs w:val="24"/>
        </w:rPr>
        <w:t>y el resultado de sus operaciones de</w:t>
      </w:r>
      <w:r>
        <w:rPr>
          <w:rFonts w:ascii="Arial" w:hAnsi="Arial" w:cs="Arial"/>
          <w:szCs w:val="24"/>
        </w:rPr>
        <w:t xml:space="preserve"> acuerdo con lo establecido en la Ordenanza 81.</w:t>
      </w:r>
    </w:p>
    <w:p w:rsidR="00DA702C" w:rsidRDefault="00DA702C" w:rsidP="00DA47BD">
      <w:pPr>
        <w:pStyle w:val="Textoindependiente2"/>
        <w:spacing w:after="0" w:line="360" w:lineRule="auto"/>
        <w:jc w:val="both"/>
        <w:rPr>
          <w:rFonts w:ascii="Arial" w:hAnsi="Arial" w:cs="Arial"/>
          <w:sz w:val="24"/>
          <w:szCs w:val="24"/>
        </w:rPr>
      </w:pPr>
    </w:p>
    <w:p w:rsidR="00DA702C" w:rsidRPr="00E81B70" w:rsidRDefault="00DA702C" w:rsidP="00DA47BD">
      <w:pPr>
        <w:pStyle w:val="Textoindependiente2"/>
        <w:spacing w:after="0" w:line="360" w:lineRule="auto"/>
        <w:jc w:val="both"/>
        <w:rPr>
          <w:rFonts w:ascii="Arial" w:hAnsi="Arial" w:cs="Arial"/>
          <w:sz w:val="24"/>
          <w:szCs w:val="24"/>
        </w:rPr>
      </w:pPr>
      <w:r w:rsidRPr="00E009FF">
        <w:rPr>
          <w:rFonts w:ascii="Arial" w:hAnsi="Arial" w:cs="Arial"/>
          <w:sz w:val="24"/>
          <w:szCs w:val="24"/>
        </w:rPr>
        <w:t xml:space="preserve">Con relación </w:t>
      </w:r>
      <w:r>
        <w:rPr>
          <w:rFonts w:ascii="Arial" w:hAnsi="Arial" w:cs="Arial"/>
          <w:sz w:val="24"/>
          <w:szCs w:val="24"/>
        </w:rPr>
        <w:t>a</w:t>
      </w:r>
      <w:r w:rsidRPr="00E009FF">
        <w:rPr>
          <w:rFonts w:ascii="Arial" w:hAnsi="Arial" w:cs="Arial"/>
          <w:sz w:val="24"/>
          <w:szCs w:val="24"/>
        </w:rPr>
        <w:t xml:space="preserve"> la normativa vigente, en el curso de la auditoría realizada, se ha constatado </w:t>
      </w:r>
      <w:r>
        <w:rPr>
          <w:rFonts w:ascii="Arial" w:hAnsi="Arial" w:cs="Arial"/>
          <w:sz w:val="24"/>
          <w:szCs w:val="24"/>
        </w:rPr>
        <w:t>que no se ha cumplido con lo siguiente</w:t>
      </w:r>
      <w:r w:rsidRPr="00E009FF">
        <w:rPr>
          <w:rFonts w:ascii="Arial" w:hAnsi="Arial" w:cs="Arial"/>
          <w:sz w:val="24"/>
          <w:szCs w:val="24"/>
        </w:rPr>
        <w:t>:</w:t>
      </w:r>
    </w:p>
    <w:p w:rsidR="00DA702C" w:rsidRPr="005515C8" w:rsidRDefault="00DA702C" w:rsidP="00DA47BD">
      <w:pPr>
        <w:pStyle w:val="Textoindependiente2"/>
        <w:numPr>
          <w:ilvl w:val="0"/>
          <w:numId w:val="10"/>
        </w:numPr>
        <w:tabs>
          <w:tab w:val="left" w:pos="284"/>
        </w:tabs>
        <w:spacing w:after="0" w:line="360" w:lineRule="auto"/>
        <w:jc w:val="both"/>
        <w:rPr>
          <w:rFonts w:ascii="Arial" w:hAnsi="Arial" w:cs="Arial"/>
          <w:sz w:val="24"/>
          <w:szCs w:val="24"/>
        </w:rPr>
      </w:pPr>
      <w:r w:rsidRPr="000A2341">
        <w:rPr>
          <w:rFonts w:ascii="Arial" w:hAnsi="Arial" w:cs="Arial"/>
          <w:sz w:val="24"/>
          <w:szCs w:val="24"/>
          <w:lang w:val="es-ES"/>
        </w:rPr>
        <w:t>Artículo 84 del TOCAF</w:t>
      </w:r>
      <w:r>
        <w:rPr>
          <w:rFonts w:ascii="Arial" w:hAnsi="Arial" w:cs="Arial"/>
          <w:sz w:val="24"/>
          <w:szCs w:val="24"/>
          <w:lang w:val="es-ES"/>
        </w:rPr>
        <w:t>,</w:t>
      </w:r>
      <w:r w:rsidRPr="00DB7506">
        <w:rPr>
          <w:rFonts w:ascii="Arial" w:hAnsi="Arial" w:cs="Arial"/>
          <w:sz w:val="24"/>
          <w:szCs w:val="24"/>
          <w:lang w:val="es-ES"/>
        </w:rPr>
        <w:t xml:space="preserve"> al no haber </w:t>
      </w:r>
      <w:r>
        <w:rPr>
          <w:rFonts w:ascii="Arial" w:hAnsi="Arial" w:cs="Arial"/>
          <w:sz w:val="24"/>
          <w:szCs w:val="24"/>
          <w:lang w:val="es-ES"/>
        </w:rPr>
        <w:t xml:space="preserve">efectuado el inventario de Materiales e </w:t>
      </w:r>
      <w:r w:rsidRPr="00DB7506">
        <w:rPr>
          <w:rFonts w:ascii="Arial" w:hAnsi="Arial" w:cs="Arial"/>
          <w:sz w:val="24"/>
          <w:szCs w:val="24"/>
          <w:lang w:val="es-ES"/>
        </w:rPr>
        <w:t>Insumos</w:t>
      </w:r>
      <w:r w:rsidRPr="002D3482">
        <w:rPr>
          <w:rFonts w:ascii="Arial" w:hAnsi="Arial" w:cs="Arial"/>
          <w:sz w:val="24"/>
          <w:szCs w:val="24"/>
          <w:lang w:val="es-ES"/>
        </w:rPr>
        <w:t>.</w:t>
      </w:r>
    </w:p>
    <w:p w:rsidR="00DA702C" w:rsidRPr="003B23B4" w:rsidRDefault="00DA702C" w:rsidP="003B23B4">
      <w:pPr>
        <w:pStyle w:val="Textoindependiente2"/>
        <w:numPr>
          <w:ilvl w:val="0"/>
          <w:numId w:val="10"/>
        </w:numPr>
        <w:tabs>
          <w:tab w:val="left" w:pos="284"/>
        </w:tabs>
        <w:spacing w:after="0" w:line="360" w:lineRule="auto"/>
        <w:jc w:val="both"/>
        <w:rPr>
          <w:rFonts w:ascii="Arial" w:hAnsi="Arial" w:cs="Arial"/>
          <w:sz w:val="24"/>
          <w:szCs w:val="24"/>
          <w:lang w:val="es-ES"/>
        </w:rPr>
      </w:pPr>
      <w:r w:rsidRPr="004F00F6">
        <w:rPr>
          <w:rFonts w:ascii="Arial" w:hAnsi="Arial" w:cs="Arial"/>
          <w:sz w:val="24"/>
          <w:szCs w:val="24"/>
          <w:lang w:val="es-ES"/>
        </w:rPr>
        <w:t xml:space="preserve">Artículo 89 del </w:t>
      </w:r>
      <w:r>
        <w:rPr>
          <w:rFonts w:ascii="Arial" w:hAnsi="Arial" w:cs="Arial"/>
          <w:sz w:val="24"/>
          <w:szCs w:val="24"/>
          <w:lang w:val="es-ES"/>
        </w:rPr>
        <w:t>TOCAF,</w:t>
      </w:r>
      <w:r w:rsidRPr="004F00F6">
        <w:rPr>
          <w:rFonts w:ascii="Arial" w:hAnsi="Arial" w:cs="Arial"/>
          <w:sz w:val="24"/>
          <w:szCs w:val="24"/>
          <w:lang w:val="es-ES"/>
        </w:rPr>
        <w:t xml:space="preserve"> </w:t>
      </w:r>
      <w:r>
        <w:rPr>
          <w:rFonts w:ascii="Arial" w:hAnsi="Arial" w:cs="Arial"/>
          <w:sz w:val="24"/>
          <w:szCs w:val="24"/>
          <w:lang w:val="es-ES"/>
        </w:rPr>
        <w:t>a</w:t>
      </w:r>
      <w:r w:rsidRPr="004F00F6">
        <w:rPr>
          <w:rFonts w:ascii="Arial" w:hAnsi="Arial" w:cs="Arial"/>
          <w:sz w:val="24"/>
          <w:szCs w:val="24"/>
          <w:lang w:val="es-ES"/>
        </w:rPr>
        <w:t>l no haber establecido el monto de los fondos en moneda extranje</w:t>
      </w:r>
      <w:r>
        <w:rPr>
          <w:rFonts w:ascii="Arial" w:hAnsi="Arial" w:cs="Arial"/>
          <w:sz w:val="24"/>
          <w:szCs w:val="24"/>
          <w:lang w:val="es-ES"/>
        </w:rPr>
        <w:t>ra a mantener en Tesorería ni</w:t>
      </w:r>
      <w:r w:rsidRPr="004F00F6">
        <w:rPr>
          <w:rFonts w:ascii="Arial" w:hAnsi="Arial" w:cs="Arial"/>
          <w:sz w:val="24"/>
          <w:szCs w:val="24"/>
          <w:lang w:val="es-ES"/>
        </w:rPr>
        <w:t xml:space="preserve"> reglamentad</w:t>
      </w:r>
      <w:r>
        <w:rPr>
          <w:rFonts w:ascii="Arial" w:hAnsi="Arial" w:cs="Arial"/>
          <w:sz w:val="24"/>
          <w:szCs w:val="24"/>
          <w:lang w:val="es-ES"/>
        </w:rPr>
        <w:t>o la utilización de los mismos.</w:t>
      </w:r>
    </w:p>
    <w:p w:rsidR="00DA702C" w:rsidRDefault="00DA702C" w:rsidP="003B23B4">
      <w:pPr>
        <w:spacing w:after="260" w:line="360" w:lineRule="auto"/>
        <w:ind w:left="4248"/>
        <w:jc w:val="right"/>
        <w:rPr>
          <w:rFonts w:ascii="Arial" w:hAnsi="Arial" w:cs="Arial"/>
          <w:szCs w:val="24"/>
        </w:rPr>
      </w:pPr>
      <w:r w:rsidRPr="00F02D66">
        <w:rPr>
          <w:rFonts w:ascii="Arial" w:hAnsi="Arial" w:cs="Arial"/>
          <w:szCs w:val="24"/>
        </w:rPr>
        <w:t>Montevideo, 17 de mayo de 2018</w:t>
      </w:r>
    </w:p>
    <w:p w:rsidR="00DA702C" w:rsidRPr="003B23B4" w:rsidRDefault="00DA702C" w:rsidP="003B23B4">
      <w:pPr>
        <w:spacing w:after="260" w:line="360" w:lineRule="auto"/>
        <w:ind w:left="4248" w:hanging="4248"/>
        <w:rPr>
          <w:sz w:val="20"/>
          <w:szCs w:val="20"/>
        </w:rPr>
      </w:pPr>
      <w:r>
        <w:rPr>
          <w:rFonts w:ascii="Arial" w:hAnsi="Arial" w:cs="Arial"/>
          <w:sz w:val="20"/>
          <w:szCs w:val="20"/>
        </w:rPr>
        <w:t>CLC</w:t>
      </w:r>
    </w:p>
    <w:p w:rsidR="00DA702C" w:rsidRDefault="00DA702C"/>
    <w:p w:rsidR="00DA702C" w:rsidRDefault="00DA702C"/>
    <w:p w:rsidR="00DA702C" w:rsidRDefault="00DA702C"/>
    <w:p w:rsidR="00DA702C" w:rsidRDefault="00DA702C"/>
    <w:p w:rsidR="00DA702C" w:rsidRDefault="00DA702C"/>
    <w:p w:rsidR="00DA702C" w:rsidRDefault="00DA702C"/>
    <w:p w:rsidR="002D3482" w:rsidRDefault="002D3482"/>
    <w:p w:rsidR="002D3482" w:rsidRDefault="002D3482"/>
    <w:p w:rsidR="002D3482" w:rsidRDefault="002D3482"/>
    <w:p w:rsidR="00DA702C" w:rsidRPr="006A4928" w:rsidRDefault="00DA702C" w:rsidP="005B1EAB">
      <w:pPr>
        <w:spacing w:after="0" w:line="360" w:lineRule="auto"/>
        <w:jc w:val="center"/>
        <w:rPr>
          <w:rFonts w:ascii="Arial" w:hAnsi="Arial" w:cs="Arial"/>
          <w:b/>
          <w:bCs/>
          <w:szCs w:val="24"/>
          <w:lang w:val="es-ES" w:eastAsia="es-ES"/>
        </w:rPr>
      </w:pPr>
      <w:r w:rsidRPr="006A4928">
        <w:rPr>
          <w:rFonts w:ascii="Arial" w:hAnsi="Arial" w:cs="Arial"/>
          <w:b/>
          <w:bCs/>
          <w:szCs w:val="24"/>
          <w:lang w:val="es-ES" w:eastAsia="es-ES"/>
        </w:rPr>
        <w:t>INFORME A LA ADMINISTRACIÓN</w:t>
      </w:r>
    </w:p>
    <w:p w:rsidR="00DA702C" w:rsidRPr="006A4928" w:rsidRDefault="00DA702C" w:rsidP="005B1EAB">
      <w:pPr>
        <w:spacing w:after="0" w:line="360" w:lineRule="auto"/>
        <w:rPr>
          <w:rFonts w:ascii="Arial" w:hAnsi="Arial" w:cs="Arial"/>
          <w:szCs w:val="24"/>
          <w:lang w:val="es-ES" w:eastAsia="es-ES"/>
        </w:rPr>
      </w:pPr>
    </w:p>
    <w:p w:rsidR="00DA702C" w:rsidRPr="006A4928" w:rsidRDefault="00DA702C" w:rsidP="00DA47BD">
      <w:pPr>
        <w:spacing w:after="0" w:line="360" w:lineRule="auto"/>
        <w:jc w:val="both"/>
        <w:rPr>
          <w:rFonts w:ascii="Arial" w:hAnsi="Arial" w:cs="Arial"/>
          <w:szCs w:val="24"/>
          <w:lang w:eastAsia="es-ES"/>
        </w:rPr>
      </w:pPr>
      <w:r w:rsidRPr="006A4928">
        <w:rPr>
          <w:rFonts w:ascii="Arial" w:hAnsi="Arial" w:cs="Arial"/>
          <w:szCs w:val="24"/>
          <w:lang w:eastAsia="es-ES"/>
        </w:rPr>
        <w:t>El Tribunal de Cuentas ha examina</w:t>
      </w:r>
      <w:r>
        <w:rPr>
          <w:rFonts w:ascii="Arial" w:hAnsi="Arial" w:cs="Arial"/>
          <w:szCs w:val="24"/>
          <w:lang w:eastAsia="es-ES"/>
        </w:rPr>
        <w:t>do los Estados Financieros de la Cámara de Senadores</w:t>
      </w:r>
      <w:r>
        <w:rPr>
          <w:rFonts w:ascii="Arial" w:hAnsi="Arial" w:cs="Arial"/>
          <w:spacing w:val="-12"/>
          <w:szCs w:val="24"/>
          <w:lang w:eastAsia="es-ES"/>
        </w:rPr>
        <w:t xml:space="preserve"> </w:t>
      </w:r>
      <w:r w:rsidRPr="00F42091">
        <w:rPr>
          <w:rFonts w:ascii="Arial" w:hAnsi="Arial" w:cs="Arial"/>
          <w:szCs w:val="24"/>
          <w:lang w:eastAsia="es-ES"/>
        </w:rPr>
        <w:t xml:space="preserve">por el ejercicio finalizado el </w:t>
      </w:r>
      <w:r>
        <w:rPr>
          <w:rFonts w:ascii="Arial" w:hAnsi="Arial" w:cs="Arial"/>
          <w:szCs w:val="24"/>
          <w:lang w:eastAsia="es-ES"/>
        </w:rPr>
        <w:t>31 de diciembre de 2016</w:t>
      </w:r>
      <w:r w:rsidRPr="00F42091">
        <w:rPr>
          <w:rFonts w:ascii="Arial" w:hAnsi="Arial" w:cs="Arial"/>
          <w:szCs w:val="24"/>
          <w:lang w:eastAsia="es-ES"/>
        </w:rPr>
        <w:t xml:space="preserve"> y ha emitido su</w:t>
      </w:r>
      <w:r w:rsidRPr="006A4928">
        <w:rPr>
          <w:rFonts w:ascii="Arial" w:hAnsi="Arial" w:cs="Arial"/>
          <w:szCs w:val="24"/>
          <w:lang w:eastAsia="es-ES"/>
        </w:rPr>
        <w:t xml:space="preserve"> Dictamen.</w:t>
      </w:r>
    </w:p>
    <w:p w:rsidR="00DA702C" w:rsidRDefault="00DA702C" w:rsidP="00DA47BD">
      <w:pPr>
        <w:spacing w:after="0" w:line="360" w:lineRule="auto"/>
        <w:jc w:val="both"/>
        <w:rPr>
          <w:rFonts w:ascii="Arial" w:hAnsi="Arial" w:cs="Arial"/>
          <w:szCs w:val="24"/>
          <w:lang w:eastAsia="es-ES"/>
        </w:rPr>
      </w:pPr>
      <w:r w:rsidRPr="006A4928">
        <w:rPr>
          <w:rFonts w:ascii="Arial" w:hAnsi="Arial" w:cs="Arial"/>
          <w:szCs w:val="24"/>
          <w:lang w:eastAsia="es-ES"/>
        </w:rPr>
        <w:t>Este informe contiene consideraciones relat</w:t>
      </w:r>
      <w:r>
        <w:rPr>
          <w:rFonts w:ascii="Arial" w:hAnsi="Arial" w:cs="Arial"/>
          <w:szCs w:val="24"/>
          <w:lang w:eastAsia="es-ES"/>
        </w:rPr>
        <w:t>ivas a la evaluación del</w:t>
      </w:r>
      <w:r w:rsidRPr="006A4928">
        <w:rPr>
          <w:rFonts w:ascii="Arial" w:hAnsi="Arial" w:cs="Arial"/>
          <w:szCs w:val="24"/>
          <w:lang w:eastAsia="es-ES"/>
        </w:rPr>
        <w:t xml:space="preserve"> control interno</w:t>
      </w:r>
      <w:r>
        <w:rPr>
          <w:rFonts w:ascii="Arial" w:hAnsi="Arial" w:cs="Arial"/>
          <w:szCs w:val="24"/>
          <w:lang w:eastAsia="es-ES"/>
        </w:rPr>
        <w:t xml:space="preserve"> del Organismo</w:t>
      </w:r>
      <w:r w:rsidRPr="006A4928">
        <w:rPr>
          <w:rFonts w:ascii="Arial" w:hAnsi="Arial" w:cs="Arial"/>
          <w:szCs w:val="24"/>
          <w:lang w:eastAsia="es-ES"/>
        </w:rPr>
        <w:t xml:space="preserve">. Se incluyen además, comentarios </w:t>
      </w:r>
      <w:r>
        <w:rPr>
          <w:rFonts w:ascii="Arial" w:hAnsi="Arial" w:cs="Arial"/>
          <w:szCs w:val="24"/>
          <w:lang w:eastAsia="es-ES"/>
        </w:rPr>
        <w:t>que se ha entendido pertinente</w:t>
      </w:r>
      <w:r w:rsidRPr="006A4928">
        <w:rPr>
          <w:rFonts w:ascii="Arial" w:hAnsi="Arial" w:cs="Arial"/>
          <w:szCs w:val="24"/>
          <w:lang w:eastAsia="es-ES"/>
        </w:rPr>
        <w:t xml:space="preserve"> exponer, relacionados a la situación de determinados capítulos y rubros de los estados examinados y a disposiciones legales vigentes.</w:t>
      </w:r>
    </w:p>
    <w:p w:rsidR="00DA702C" w:rsidRPr="006A4928" w:rsidRDefault="00DA702C" w:rsidP="00DA47BD">
      <w:pPr>
        <w:spacing w:after="0" w:line="360" w:lineRule="auto"/>
        <w:jc w:val="both"/>
        <w:rPr>
          <w:rFonts w:ascii="Arial" w:hAnsi="Arial" w:cs="Arial"/>
          <w:szCs w:val="24"/>
          <w:lang w:eastAsia="es-ES"/>
        </w:rPr>
      </w:pPr>
      <w:r w:rsidRPr="006A4928">
        <w:rPr>
          <w:rFonts w:ascii="Arial" w:hAnsi="Arial" w:cs="Arial"/>
          <w:szCs w:val="24"/>
          <w:lang w:eastAsia="es-ES"/>
        </w:rPr>
        <w:t xml:space="preserve">También se agregan las principales recomendaciones que </w:t>
      </w:r>
      <w:r>
        <w:rPr>
          <w:rFonts w:ascii="Arial" w:hAnsi="Arial" w:cs="Arial"/>
          <w:szCs w:val="24"/>
          <w:lang w:eastAsia="es-ES"/>
        </w:rPr>
        <w:t>deberán</w:t>
      </w:r>
      <w:r w:rsidRPr="006A4928">
        <w:rPr>
          <w:rFonts w:ascii="Arial" w:hAnsi="Arial" w:cs="Arial"/>
          <w:szCs w:val="24"/>
          <w:lang w:eastAsia="es-ES"/>
        </w:rPr>
        <w:t xml:space="preserve"> atender el Organismo y una evaluación del cumplimiento de las recomendaciones presentadas </w:t>
      </w:r>
      <w:r>
        <w:rPr>
          <w:rFonts w:ascii="Arial" w:hAnsi="Arial" w:cs="Arial"/>
          <w:szCs w:val="24"/>
          <w:lang w:eastAsia="es-ES"/>
        </w:rPr>
        <w:t>en el informe de auditoría del e</w:t>
      </w:r>
      <w:r w:rsidRPr="006A4928">
        <w:rPr>
          <w:rFonts w:ascii="Arial" w:hAnsi="Arial" w:cs="Arial"/>
          <w:szCs w:val="24"/>
          <w:lang w:eastAsia="es-ES"/>
        </w:rPr>
        <w:t>jercicio anterior.</w:t>
      </w:r>
    </w:p>
    <w:p w:rsidR="00DA702C" w:rsidRPr="006A4928" w:rsidRDefault="00DA702C" w:rsidP="00DA47BD">
      <w:pPr>
        <w:spacing w:after="0" w:line="360" w:lineRule="auto"/>
        <w:rPr>
          <w:rFonts w:ascii="Arial" w:hAnsi="Arial" w:cs="Arial"/>
          <w:szCs w:val="24"/>
          <w:lang w:eastAsia="es-ES"/>
        </w:rPr>
      </w:pPr>
    </w:p>
    <w:p w:rsidR="00DA702C" w:rsidRPr="00E8097A" w:rsidRDefault="00DA702C" w:rsidP="00DA47BD">
      <w:pPr>
        <w:spacing w:after="0" w:line="360" w:lineRule="auto"/>
        <w:jc w:val="both"/>
        <w:rPr>
          <w:rFonts w:ascii="Arial" w:hAnsi="Arial" w:cs="Arial"/>
          <w:b/>
          <w:szCs w:val="24"/>
          <w:lang w:val="es-ES" w:eastAsia="es-ES"/>
        </w:rPr>
      </w:pPr>
      <w:r>
        <w:rPr>
          <w:rFonts w:ascii="Arial" w:hAnsi="Arial" w:cs="Arial"/>
          <w:b/>
          <w:szCs w:val="24"/>
          <w:lang w:val="es-ES" w:eastAsia="es-ES"/>
        </w:rPr>
        <w:t xml:space="preserve">1 </w:t>
      </w:r>
      <w:r w:rsidRPr="006A4928">
        <w:rPr>
          <w:rFonts w:ascii="Arial" w:hAnsi="Arial" w:cs="Arial"/>
          <w:b/>
          <w:szCs w:val="24"/>
          <w:lang w:val="es-ES" w:eastAsia="es-ES"/>
        </w:rPr>
        <w:t>Presentación de</w:t>
      </w:r>
      <w:r w:rsidR="002D3482">
        <w:rPr>
          <w:rFonts w:ascii="Arial" w:hAnsi="Arial" w:cs="Arial"/>
          <w:b/>
          <w:szCs w:val="24"/>
          <w:lang w:val="es-ES" w:eastAsia="es-ES"/>
        </w:rPr>
        <w:t xml:space="preserve"> los Estados</w:t>
      </w:r>
    </w:p>
    <w:p w:rsidR="00DA702C" w:rsidRDefault="00DA702C" w:rsidP="00DA47BD">
      <w:pPr>
        <w:spacing w:after="0" w:line="360" w:lineRule="auto"/>
        <w:jc w:val="both"/>
        <w:rPr>
          <w:rFonts w:ascii="Arial" w:hAnsi="Arial" w:cs="Arial"/>
          <w:spacing w:val="-3"/>
          <w:szCs w:val="24"/>
          <w:lang w:val="es-ES_tradnl" w:eastAsia="es-ES"/>
        </w:rPr>
      </w:pPr>
      <w:r>
        <w:rPr>
          <w:rFonts w:ascii="Arial" w:hAnsi="Arial" w:cs="Arial"/>
          <w:bCs/>
          <w:szCs w:val="24"/>
          <w:lang w:val="es-ES" w:eastAsia="es-ES"/>
        </w:rPr>
        <w:t>Los Estados Financieros de la Cámara de Senadores correspondiente</w:t>
      </w:r>
      <w:r w:rsidRPr="006A4928">
        <w:rPr>
          <w:rFonts w:ascii="Arial" w:hAnsi="Arial" w:cs="Arial"/>
          <w:bCs/>
          <w:szCs w:val="24"/>
          <w:lang w:val="es-ES" w:eastAsia="es-ES"/>
        </w:rPr>
        <w:t xml:space="preserve"> al ejercicio finalizado el </w:t>
      </w:r>
      <w:r>
        <w:rPr>
          <w:rFonts w:ascii="Arial" w:hAnsi="Arial" w:cs="Arial"/>
          <w:spacing w:val="-12"/>
          <w:szCs w:val="24"/>
          <w:lang w:eastAsia="es-ES"/>
        </w:rPr>
        <w:t>31/12/2016,</w:t>
      </w:r>
      <w:r>
        <w:rPr>
          <w:rFonts w:ascii="Arial" w:hAnsi="Arial" w:cs="Arial"/>
          <w:bCs/>
          <w:szCs w:val="24"/>
          <w:lang w:val="es-ES" w:eastAsia="es-ES"/>
        </w:rPr>
        <w:t xml:space="preserve"> fueron </w:t>
      </w:r>
      <w:r>
        <w:rPr>
          <w:rFonts w:ascii="Arial" w:hAnsi="Arial" w:cs="Arial"/>
          <w:spacing w:val="-3"/>
          <w:szCs w:val="24"/>
          <w:lang w:val="es-ES_tradnl" w:eastAsia="es-ES"/>
        </w:rPr>
        <w:t>remitidos</w:t>
      </w:r>
      <w:r w:rsidRPr="006A4928">
        <w:rPr>
          <w:rFonts w:ascii="Arial" w:hAnsi="Arial" w:cs="Arial"/>
          <w:spacing w:val="-3"/>
          <w:szCs w:val="24"/>
          <w:lang w:val="es-ES_tradnl" w:eastAsia="es-ES"/>
        </w:rPr>
        <w:t xml:space="preserve"> </w:t>
      </w:r>
      <w:r>
        <w:rPr>
          <w:rFonts w:ascii="Arial" w:hAnsi="Arial" w:cs="Arial"/>
          <w:spacing w:val="-3"/>
          <w:szCs w:val="24"/>
          <w:lang w:val="es-ES_tradnl" w:eastAsia="es-ES"/>
        </w:rPr>
        <w:t>a este Tribunal con fecha 26/07/</w:t>
      </w:r>
      <w:r w:rsidR="002D3482">
        <w:rPr>
          <w:rFonts w:ascii="Arial" w:hAnsi="Arial" w:cs="Arial"/>
          <w:spacing w:val="-3"/>
          <w:szCs w:val="24"/>
          <w:lang w:val="es-ES_tradnl" w:eastAsia="es-ES"/>
        </w:rPr>
        <w:t>2017.</w:t>
      </w:r>
    </w:p>
    <w:p w:rsidR="00DA702C" w:rsidRDefault="00DA702C" w:rsidP="00DA47BD">
      <w:pPr>
        <w:spacing w:after="0" w:line="360" w:lineRule="auto"/>
        <w:jc w:val="both"/>
        <w:rPr>
          <w:rFonts w:ascii="Arial" w:hAnsi="Arial" w:cs="Arial"/>
          <w:spacing w:val="-3"/>
          <w:szCs w:val="24"/>
          <w:lang w:val="es-ES_tradnl" w:eastAsia="es-ES"/>
        </w:rPr>
      </w:pPr>
      <w:r w:rsidRPr="00936F69">
        <w:rPr>
          <w:rFonts w:ascii="Arial" w:hAnsi="Arial" w:cs="Arial"/>
          <w:spacing w:val="-3"/>
          <w:szCs w:val="24"/>
          <w:lang w:val="es-ES_tradnl" w:eastAsia="es-ES"/>
        </w:rPr>
        <w:t xml:space="preserve">Corresponde señalar que </w:t>
      </w:r>
      <w:r>
        <w:rPr>
          <w:rFonts w:ascii="Arial" w:hAnsi="Arial" w:cs="Arial"/>
          <w:spacing w:val="-3"/>
          <w:szCs w:val="24"/>
          <w:lang w:val="es-ES_tradnl" w:eastAsia="es-ES"/>
        </w:rPr>
        <w:t>dichos estados no se presentan en forma comparativa con el ejercicio anterior. Según lo señalado por el Organismo en la Nota 5.1 esto se debe a que en el ejercicio auditado se comenzó a contabilizar la amortización del activo fij</w:t>
      </w:r>
      <w:r w:rsidR="002D3482">
        <w:rPr>
          <w:rFonts w:ascii="Arial" w:hAnsi="Arial" w:cs="Arial"/>
          <w:spacing w:val="-3"/>
          <w:szCs w:val="24"/>
          <w:lang w:val="es-ES_tradnl" w:eastAsia="es-ES"/>
        </w:rPr>
        <w:t>o y el resultado del ejercicio.</w:t>
      </w:r>
    </w:p>
    <w:p w:rsidR="00DA702C" w:rsidRDefault="00DA702C" w:rsidP="00DA47BD">
      <w:pPr>
        <w:spacing w:after="0" w:line="360" w:lineRule="auto"/>
        <w:jc w:val="both"/>
        <w:rPr>
          <w:rFonts w:ascii="Arial" w:hAnsi="Arial" w:cs="Arial"/>
          <w:spacing w:val="-3"/>
          <w:szCs w:val="24"/>
          <w:lang w:val="es-ES_tradnl" w:eastAsia="es-ES"/>
        </w:rPr>
      </w:pPr>
      <w:r>
        <w:rPr>
          <w:rFonts w:ascii="Arial" w:hAnsi="Arial" w:cs="Arial"/>
          <w:spacing w:val="-3"/>
          <w:szCs w:val="24"/>
          <w:lang w:val="es-ES_tradnl" w:eastAsia="es-ES"/>
        </w:rPr>
        <w:t>No se remitió el Estado de Evolución del Patrimonio y en el Estado de Resultados no se denominaron los ingresos con referencia al origen de los mismos.</w:t>
      </w:r>
    </w:p>
    <w:p w:rsidR="00DA702C" w:rsidRDefault="00DA702C" w:rsidP="00DA47BD">
      <w:pPr>
        <w:spacing w:after="0" w:line="360" w:lineRule="auto"/>
        <w:jc w:val="both"/>
        <w:rPr>
          <w:rFonts w:ascii="Arial" w:hAnsi="Arial" w:cs="Arial"/>
          <w:spacing w:val="-3"/>
          <w:szCs w:val="24"/>
          <w:lang w:val="es-ES_tradnl" w:eastAsia="es-ES"/>
        </w:rPr>
      </w:pPr>
      <w:r w:rsidRPr="00342B6B">
        <w:rPr>
          <w:rFonts w:ascii="Arial" w:hAnsi="Arial" w:cs="Arial"/>
          <w:spacing w:val="-3"/>
          <w:szCs w:val="24"/>
          <w:lang w:val="es-ES_tradnl" w:eastAsia="es-ES"/>
        </w:rPr>
        <w:t>Las notas no detallan las normas utilizadas en la preparación de los estados contables (NICSP).</w:t>
      </w:r>
    </w:p>
    <w:p w:rsidR="00DA702C" w:rsidRDefault="00DA702C" w:rsidP="00DA47BD">
      <w:pPr>
        <w:spacing w:after="0" w:line="360" w:lineRule="auto"/>
        <w:jc w:val="both"/>
        <w:rPr>
          <w:rFonts w:ascii="Arial" w:hAnsi="Arial" w:cs="Arial"/>
          <w:spacing w:val="-3"/>
          <w:szCs w:val="24"/>
          <w:lang w:val="es-ES_tradnl" w:eastAsia="es-ES"/>
        </w:rPr>
      </w:pPr>
      <w:r>
        <w:rPr>
          <w:rFonts w:ascii="Arial" w:hAnsi="Arial" w:cs="Arial"/>
          <w:spacing w:val="-3"/>
          <w:szCs w:val="24"/>
          <w:lang w:val="es-ES_tradnl" w:eastAsia="es-ES"/>
        </w:rPr>
        <w:t>Por último se señala que no se</w:t>
      </w:r>
      <w:r w:rsidRPr="001B2856">
        <w:rPr>
          <w:rFonts w:ascii="Arial" w:hAnsi="Arial" w:cs="Arial"/>
          <w:spacing w:val="-3"/>
          <w:szCs w:val="24"/>
          <w:lang w:val="es-ES_tradnl" w:eastAsia="es-ES"/>
        </w:rPr>
        <w:t xml:space="preserve"> estableció en forma expresa </w:t>
      </w:r>
      <w:r>
        <w:rPr>
          <w:rFonts w:ascii="Arial" w:hAnsi="Arial" w:cs="Arial"/>
          <w:spacing w:val="-3"/>
          <w:szCs w:val="24"/>
          <w:lang w:val="es-ES_tradnl" w:eastAsia="es-ES"/>
        </w:rPr>
        <w:t xml:space="preserve">la aprobación de los Estados Financieros y el </w:t>
      </w:r>
      <w:r w:rsidRPr="00936F69">
        <w:rPr>
          <w:rFonts w:ascii="Arial" w:hAnsi="Arial" w:cs="Arial"/>
          <w:spacing w:val="-3"/>
          <w:szCs w:val="24"/>
          <w:lang w:val="es-ES_tradnl" w:eastAsia="es-ES"/>
        </w:rPr>
        <w:t>Resultado del Ejercicio</w:t>
      </w:r>
      <w:r>
        <w:rPr>
          <w:rFonts w:ascii="Arial" w:hAnsi="Arial" w:cs="Arial"/>
          <w:spacing w:val="-3"/>
          <w:szCs w:val="24"/>
          <w:lang w:val="es-ES_tradnl" w:eastAsia="es-ES"/>
        </w:rPr>
        <w:t>,</w:t>
      </w:r>
      <w:r w:rsidRPr="00936F69">
        <w:rPr>
          <w:rFonts w:ascii="Arial" w:hAnsi="Arial" w:cs="Arial"/>
          <w:spacing w:val="-3"/>
          <w:szCs w:val="24"/>
          <w:lang w:val="es-ES_tradnl" w:eastAsia="es-ES"/>
        </w:rPr>
        <w:t xml:space="preserve"> </w:t>
      </w:r>
      <w:r w:rsidRPr="001B2856">
        <w:rPr>
          <w:rFonts w:ascii="Arial" w:hAnsi="Arial" w:cs="Arial"/>
          <w:spacing w:val="-3"/>
          <w:szCs w:val="24"/>
          <w:lang w:val="es-ES_tradnl" w:eastAsia="es-ES"/>
        </w:rPr>
        <w:t xml:space="preserve">en el acta de la Sesión en que se consideraron </w:t>
      </w:r>
      <w:r>
        <w:rPr>
          <w:rFonts w:ascii="Arial" w:hAnsi="Arial" w:cs="Arial"/>
          <w:spacing w:val="-3"/>
          <w:szCs w:val="24"/>
          <w:lang w:val="es-ES_tradnl" w:eastAsia="es-ES"/>
        </w:rPr>
        <w:t>dichos estados.</w:t>
      </w:r>
    </w:p>
    <w:p w:rsidR="00DA702C" w:rsidRDefault="00DA702C" w:rsidP="00DA47BD">
      <w:pPr>
        <w:spacing w:after="0" w:line="200" w:lineRule="atLeast"/>
        <w:jc w:val="both"/>
        <w:rPr>
          <w:rFonts w:ascii="Arial" w:hAnsi="Arial" w:cs="Arial"/>
          <w:b/>
          <w:szCs w:val="24"/>
        </w:rPr>
      </w:pPr>
    </w:p>
    <w:p w:rsidR="00DA702C" w:rsidRDefault="00DA702C" w:rsidP="00DA47BD">
      <w:pPr>
        <w:spacing w:after="0" w:line="200" w:lineRule="atLeast"/>
        <w:jc w:val="both"/>
        <w:rPr>
          <w:rFonts w:ascii="Arial" w:hAnsi="Arial" w:cs="Arial"/>
          <w:b/>
          <w:szCs w:val="24"/>
        </w:rPr>
      </w:pPr>
    </w:p>
    <w:p w:rsidR="00DA702C" w:rsidRDefault="00DA702C" w:rsidP="00DA47BD">
      <w:pPr>
        <w:spacing w:after="0" w:line="200" w:lineRule="atLeast"/>
        <w:jc w:val="both"/>
        <w:rPr>
          <w:rFonts w:ascii="Arial" w:hAnsi="Arial" w:cs="Arial"/>
          <w:b/>
          <w:szCs w:val="24"/>
        </w:rPr>
      </w:pPr>
      <w:r>
        <w:rPr>
          <w:rFonts w:ascii="Arial" w:hAnsi="Arial" w:cs="Arial"/>
          <w:b/>
          <w:szCs w:val="24"/>
        </w:rPr>
        <w:t xml:space="preserve">2 </w:t>
      </w:r>
      <w:r w:rsidRPr="00E41F1F">
        <w:rPr>
          <w:rFonts w:ascii="Arial" w:hAnsi="Arial" w:cs="Arial"/>
          <w:b/>
          <w:szCs w:val="24"/>
        </w:rPr>
        <w:t>Situacion</w:t>
      </w:r>
      <w:r>
        <w:rPr>
          <w:rFonts w:ascii="Arial" w:hAnsi="Arial" w:cs="Arial"/>
          <w:b/>
          <w:szCs w:val="24"/>
        </w:rPr>
        <w:t>e</w:t>
      </w:r>
      <w:r w:rsidRPr="00E41F1F">
        <w:rPr>
          <w:rFonts w:ascii="Arial" w:hAnsi="Arial" w:cs="Arial"/>
          <w:b/>
          <w:szCs w:val="24"/>
        </w:rPr>
        <w:t>s</w:t>
      </w:r>
      <w:r w:rsidRPr="00AE3020">
        <w:rPr>
          <w:rFonts w:ascii="Arial" w:hAnsi="Arial" w:cs="Arial"/>
          <w:b/>
          <w:szCs w:val="24"/>
        </w:rPr>
        <w:t xml:space="preserve"> que afectan la opinión</w:t>
      </w:r>
    </w:p>
    <w:p w:rsidR="00DA702C" w:rsidRDefault="00DA702C" w:rsidP="00DA47BD">
      <w:pPr>
        <w:spacing w:after="0" w:line="200" w:lineRule="atLeast"/>
        <w:jc w:val="both"/>
        <w:rPr>
          <w:rFonts w:ascii="Arial" w:hAnsi="Arial" w:cs="Arial"/>
          <w:b/>
          <w:szCs w:val="24"/>
        </w:rPr>
      </w:pPr>
    </w:p>
    <w:p w:rsidR="00DA702C" w:rsidRPr="002F5C2F" w:rsidRDefault="00DA702C" w:rsidP="00DA47BD">
      <w:pPr>
        <w:spacing w:after="0" w:line="360" w:lineRule="auto"/>
        <w:jc w:val="both"/>
        <w:rPr>
          <w:rFonts w:ascii="Arial" w:hAnsi="Arial" w:cs="Arial"/>
          <w:b/>
          <w:szCs w:val="24"/>
          <w:lang w:val="es-ES"/>
        </w:rPr>
      </w:pPr>
      <w:r>
        <w:rPr>
          <w:rFonts w:ascii="Arial" w:hAnsi="Arial" w:cs="Arial"/>
          <w:b/>
          <w:spacing w:val="-3"/>
          <w:szCs w:val="24"/>
          <w:lang w:val="es-ES_tradnl" w:eastAsia="es-ES"/>
        </w:rPr>
        <w:t xml:space="preserve">2.1 </w:t>
      </w:r>
      <w:r w:rsidRPr="006C4021">
        <w:rPr>
          <w:rFonts w:ascii="Arial" w:hAnsi="Arial" w:cs="Arial"/>
          <w:b/>
          <w:szCs w:val="24"/>
          <w:lang w:val="es-ES"/>
        </w:rPr>
        <w:t>Juicios Pendientes</w:t>
      </w:r>
    </w:p>
    <w:p w:rsidR="00DA702C" w:rsidRDefault="00DA702C" w:rsidP="00DA47BD">
      <w:pPr>
        <w:tabs>
          <w:tab w:val="left" w:pos="284"/>
        </w:tabs>
        <w:spacing w:after="0" w:line="360" w:lineRule="auto"/>
        <w:jc w:val="both"/>
        <w:rPr>
          <w:rFonts w:ascii="Arial" w:hAnsi="Arial" w:cs="Arial"/>
          <w:szCs w:val="24"/>
          <w:lang w:val="es-ES"/>
        </w:rPr>
      </w:pPr>
      <w:r>
        <w:rPr>
          <w:rFonts w:ascii="Arial" w:hAnsi="Arial" w:cs="Arial"/>
          <w:szCs w:val="24"/>
          <w:lang w:val="es-ES"/>
        </w:rPr>
        <w:t>No</w:t>
      </w:r>
      <w:r w:rsidRPr="00921EFA">
        <w:rPr>
          <w:rFonts w:ascii="Arial" w:hAnsi="Arial" w:cs="Arial"/>
          <w:szCs w:val="24"/>
          <w:lang w:val="es-ES"/>
        </w:rPr>
        <w:t xml:space="preserve"> se expone la información</w:t>
      </w:r>
      <w:r w:rsidRPr="00E9668A">
        <w:rPr>
          <w:rFonts w:ascii="Arial" w:hAnsi="Arial" w:cs="Arial"/>
          <w:szCs w:val="24"/>
          <w:lang w:val="es-ES"/>
        </w:rPr>
        <w:t xml:space="preserve"> relativa a los </w:t>
      </w:r>
      <w:r>
        <w:rPr>
          <w:rFonts w:ascii="Arial" w:hAnsi="Arial" w:cs="Arial"/>
          <w:szCs w:val="24"/>
          <w:lang w:val="es-ES"/>
        </w:rPr>
        <w:t>j</w:t>
      </w:r>
      <w:r w:rsidRPr="00E9668A">
        <w:rPr>
          <w:rFonts w:ascii="Arial" w:hAnsi="Arial" w:cs="Arial"/>
          <w:szCs w:val="24"/>
          <w:lang w:val="es-ES"/>
        </w:rPr>
        <w:t>uicios pendientes</w:t>
      </w:r>
      <w:r>
        <w:rPr>
          <w:rFonts w:ascii="Arial" w:hAnsi="Arial" w:cs="Arial"/>
          <w:szCs w:val="24"/>
          <w:lang w:val="es-ES"/>
        </w:rPr>
        <w:t>, según lo previsto por la NICSP 19</w:t>
      </w:r>
      <w:r w:rsidRPr="00E9668A">
        <w:rPr>
          <w:rFonts w:ascii="Arial" w:hAnsi="Arial" w:cs="Arial"/>
          <w:szCs w:val="24"/>
          <w:lang w:val="es-ES"/>
        </w:rPr>
        <w:t xml:space="preserve">. </w:t>
      </w:r>
      <w:r>
        <w:rPr>
          <w:rFonts w:ascii="Arial" w:hAnsi="Arial" w:cs="Arial"/>
          <w:szCs w:val="24"/>
          <w:lang w:val="es-ES"/>
        </w:rPr>
        <w:t>De acuerdo a</w:t>
      </w:r>
      <w:r w:rsidRPr="00E9668A">
        <w:rPr>
          <w:rFonts w:ascii="Arial" w:hAnsi="Arial" w:cs="Arial"/>
          <w:szCs w:val="24"/>
          <w:lang w:val="es-ES"/>
        </w:rPr>
        <w:t xml:space="preserve"> </w:t>
      </w:r>
      <w:r>
        <w:rPr>
          <w:rFonts w:ascii="Arial" w:hAnsi="Arial" w:cs="Arial"/>
          <w:szCs w:val="24"/>
          <w:lang w:val="es-ES"/>
        </w:rPr>
        <w:t xml:space="preserve"> </w:t>
      </w:r>
      <w:r w:rsidRPr="00E9668A">
        <w:rPr>
          <w:rFonts w:ascii="Arial" w:hAnsi="Arial" w:cs="Arial"/>
          <w:szCs w:val="24"/>
          <w:lang w:val="es-ES"/>
        </w:rPr>
        <w:t xml:space="preserve">información proporcionada por la Dirección Jurídica de la Cámara de Senadores, </w:t>
      </w:r>
      <w:r>
        <w:rPr>
          <w:rFonts w:ascii="Arial" w:hAnsi="Arial" w:cs="Arial"/>
          <w:szCs w:val="24"/>
          <w:lang w:val="es-ES"/>
        </w:rPr>
        <w:t>el monto reclamado asciende a</w:t>
      </w:r>
      <w:r w:rsidRPr="00EC51AF">
        <w:rPr>
          <w:rFonts w:ascii="Arial" w:hAnsi="Arial" w:cs="Arial"/>
          <w:szCs w:val="24"/>
          <w:lang w:val="es-ES"/>
        </w:rPr>
        <w:t xml:space="preserve"> </w:t>
      </w:r>
      <w:r>
        <w:rPr>
          <w:rFonts w:ascii="Arial" w:hAnsi="Arial" w:cs="Arial"/>
          <w:szCs w:val="24"/>
          <w:lang w:val="es-ES"/>
        </w:rPr>
        <w:t xml:space="preserve">               $ 27:737.612 y USD 63:</w:t>
      </w:r>
      <w:r w:rsidRPr="0062311C">
        <w:rPr>
          <w:rFonts w:ascii="Arial" w:hAnsi="Arial" w:cs="Arial"/>
          <w:szCs w:val="24"/>
          <w:lang w:val="es-ES"/>
        </w:rPr>
        <w:t>041.528</w:t>
      </w:r>
      <w:r w:rsidRPr="00EF7F98">
        <w:rPr>
          <w:rFonts w:ascii="Arial" w:hAnsi="Arial" w:cs="Arial"/>
          <w:szCs w:val="24"/>
          <w:lang w:val="es-ES"/>
        </w:rPr>
        <w:t xml:space="preserve"> </w:t>
      </w:r>
      <w:r w:rsidRPr="00E9668A">
        <w:rPr>
          <w:rFonts w:ascii="Arial" w:hAnsi="Arial" w:cs="Arial"/>
          <w:szCs w:val="24"/>
          <w:lang w:val="es-ES"/>
        </w:rPr>
        <w:t>al 31/12/</w:t>
      </w:r>
      <w:r>
        <w:rPr>
          <w:rFonts w:ascii="Arial" w:hAnsi="Arial" w:cs="Arial"/>
          <w:szCs w:val="24"/>
          <w:lang w:val="es-ES"/>
        </w:rPr>
        <w:t>20</w:t>
      </w:r>
      <w:r w:rsidRPr="00E9668A">
        <w:rPr>
          <w:rFonts w:ascii="Arial" w:hAnsi="Arial" w:cs="Arial"/>
          <w:szCs w:val="24"/>
          <w:lang w:val="es-ES"/>
        </w:rPr>
        <w:t>16</w:t>
      </w:r>
      <w:r>
        <w:rPr>
          <w:rFonts w:ascii="Arial" w:hAnsi="Arial" w:cs="Arial"/>
          <w:szCs w:val="24"/>
          <w:lang w:val="es-ES"/>
        </w:rPr>
        <w:t>,</w:t>
      </w:r>
      <w:r w:rsidRPr="00E9668A">
        <w:rPr>
          <w:rFonts w:ascii="Arial" w:hAnsi="Arial" w:cs="Arial"/>
          <w:szCs w:val="24"/>
          <w:lang w:val="es-ES"/>
        </w:rPr>
        <w:t xml:space="preserve"> </w:t>
      </w:r>
      <w:r w:rsidRPr="00EC51AF">
        <w:rPr>
          <w:rFonts w:ascii="Arial" w:hAnsi="Arial" w:cs="Arial"/>
          <w:szCs w:val="24"/>
          <w:lang w:val="es-ES"/>
        </w:rPr>
        <w:t xml:space="preserve">considerando las acciones </w:t>
      </w:r>
      <w:proofErr w:type="spellStart"/>
      <w:r w:rsidRPr="00EC51AF">
        <w:rPr>
          <w:rFonts w:ascii="Arial" w:hAnsi="Arial" w:cs="Arial"/>
          <w:szCs w:val="24"/>
          <w:lang w:val="es-ES"/>
        </w:rPr>
        <w:t>reparatorias</w:t>
      </w:r>
      <w:proofErr w:type="spellEnd"/>
      <w:r>
        <w:rPr>
          <w:rFonts w:ascii="Arial" w:hAnsi="Arial" w:cs="Arial"/>
          <w:szCs w:val="24"/>
          <w:lang w:val="es-ES"/>
        </w:rPr>
        <w:t xml:space="preserve"> </w:t>
      </w:r>
      <w:r w:rsidRPr="00EC51AF">
        <w:rPr>
          <w:rFonts w:ascii="Arial" w:hAnsi="Arial" w:cs="Arial"/>
          <w:szCs w:val="24"/>
          <w:lang w:val="es-ES"/>
        </w:rPr>
        <w:t>patrimoniales y los juicios pendientes</w:t>
      </w:r>
      <w:r>
        <w:rPr>
          <w:rFonts w:ascii="Arial" w:hAnsi="Arial" w:cs="Arial"/>
          <w:szCs w:val="24"/>
          <w:lang w:val="es-ES"/>
        </w:rPr>
        <w:t>.</w:t>
      </w:r>
    </w:p>
    <w:p w:rsidR="00DA702C" w:rsidRPr="00FB148E" w:rsidRDefault="00DA702C" w:rsidP="00DA47BD">
      <w:pPr>
        <w:tabs>
          <w:tab w:val="left" w:pos="284"/>
        </w:tabs>
        <w:spacing w:after="0" w:line="360" w:lineRule="auto"/>
        <w:jc w:val="both"/>
        <w:rPr>
          <w:rFonts w:ascii="Arial" w:hAnsi="Arial" w:cs="Arial"/>
          <w:b/>
          <w:szCs w:val="24"/>
          <w:lang w:val="es-ES"/>
        </w:rPr>
      </w:pPr>
      <w:r>
        <w:rPr>
          <w:rFonts w:ascii="Arial" w:hAnsi="Arial" w:cs="Arial"/>
          <w:b/>
          <w:szCs w:val="24"/>
          <w:lang w:val="es-ES"/>
        </w:rPr>
        <w:t>2.2</w:t>
      </w:r>
      <w:r w:rsidRPr="00FB148E">
        <w:rPr>
          <w:rFonts w:ascii="Arial" w:hAnsi="Arial" w:cs="Arial"/>
          <w:b/>
          <w:szCs w:val="24"/>
          <w:lang w:val="es-ES"/>
        </w:rPr>
        <w:t xml:space="preserve">  Estado de Origen y Aplicación de Fondos</w:t>
      </w:r>
    </w:p>
    <w:p w:rsidR="00DA702C" w:rsidRDefault="00DA702C" w:rsidP="00DA47BD">
      <w:pPr>
        <w:tabs>
          <w:tab w:val="left" w:pos="284"/>
        </w:tabs>
        <w:spacing w:after="0" w:line="360" w:lineRule="auto"/>
        <w:jc w:val="both"/>
        <w:rPr>
          <w:rFonts w:ascii="Arial" w:hAnsi="Arial" w:cs="Arial"/>
        </w:rPr>
      </w:pPr>
      <w:r w:rsidRPr="00BF7F03">
        <w:rPr>
          <w:rFonts w:ascii="Arial" w:hAnsi="Arial" w:cs="Arial"/>
          <w:szCs w:val="24"/>
          <w:lang w:val="es-ES"/>
        </w:rPr>
        <w:t xml:space="preserve">En </w:t>
      </w:r>
      <w:r>
        <w:rPr>
          <w:rFonts w:ascii="Arial" w:hAnsi="Arial" w:cs="Arial"/>
          <w:szCs w:val="24"/>
          <w:lang w:val="es-ES"/>
        </w:rPr>
        <w:t>este Estado</w:t>
      </w:r>
      <w:r w:rsidRPr="00BF7F03">
        <w:rPr>
          <w:rFonts w:ascii="Arial" w:hAnsi="Arial" w:cs="Arial"/>
          <w:szCs w:val="24"/>
          <w:lang w:val="es-ES"/>
        </w:rPr>
        <w:t xml:space="preserve"> el Flujo de Operaciones se presenta de acuerdo al criterio de fondos</w:t>
      </w:r>
      <w:r>
        <w:rPr>
          <w:rFonts w:ascii="Arial" w:hAnsi="Arial" w:cs="Arial"/>
          <w:szCs w:val="24"/>
          <w:lang w:val="es-ES"/>
        </w:rPr>
        <w:t xml:space="preserve"> igual efectivo y equivalentes. Corresponde señalar que n</w:t>
      </w:r>
      <w:r w:rsidRPr="00BF7F03">
        <w:rPr>
          <w:rFonts w:ascii="Arial" w:hAnsi="Arial" w:cs="Arial"/>
          <w:szCs w:val="24"/>
          <w:lang w:val="es-ES"/>
        </w:rPr>
        <w:t>o hay exactitud en cuanto a las variaciones que impactan en el flujo de ef</w:t>
      </w:r>
      <w:r>
        <w:rPr>
          <w:rFonts w:ascii="Arial" w:hAnsi="Arial" w:cs="Arial"/>
          <w:szCs w:val="24"/>
          <w:lang w:val="es-ES"/>
        </w:rPr>
        <w:t>ectivo:</w:t>
      </w:r>
      <w:r w:rsidRPr="00BF7F03">
        <w:rPr>
          <w:rFonts w:ascii="Arial" w:hAnsi="Arial" w:cs="Arial"/>
          <w:szCs w:val="24"/>
          <w:lang w:val="es-ES"/>
        </w:rPr>
        <w:t xml:space="preserve"> no se incluyen las partidas correspondientes a las adquisiciones de bienes de uso del ejercicio por $ 5:385.245 y se ajustan los fondos provenientes de operaciones por un importe en menos de $ 3.046.094 no especificándose a que corresponde dicha rectificación</w:t>
      </w:r>
      <w:r>
        <w:rPr>
          <w:rFonts w:ascii="Arial" w:hAnsi="Arial" w:cs="Arial"/>
        </w:rPr>
        <w:t>.</w:t>
      </w:r>
    </w:p>
    <w:p w:rsidR="002D3482" w:rsidRDefault="002D3482" w:rsidP="00DA47BD">
      <w:pPr>
        <w:tabs>
          <w:tab w:val="left" w:pos="284"/>
        </w:tabs>
        <w:spacing w:after="0" w:line="360" w:lineRule="auto"/>
        <w:jc w:val="both"/>
        <w:rPr>
          <w:rFonts w:ascii="Arial" w:hAnsi="Arial" w:cs="Arial"/>
        </w:rPr>
      </w:pPr>
    </w:p>
    <w:p w:rsidR="00DA702C" w:rsidRPr="00E34EBA" w:rsidRDefault="00DA702C" w:rsidP="00DA47BD">
      <w:pPr>
        <w:spacing w:after="0" w:line="360" w:lineRule="auto"/>
        <w:jc w:val="both"/>
        <w:rPr>
          <w:rFonts w:ascii="Arial" w:hAnsi="Arial" w:cs="Arial"/>
          <w:b/>
          <w:szCs w:val="24"/>
          <w:lang w:val="es-ES" w:eastAsia="es-ES"/>
        </w:rPr>
      </w:pPr>
      <w:r>
        <w:rPr>
          <w:rFonts w:ascii="Arial" w:hAnsi="Arial" w:cs="Arial"/>
          <w:b/>
          <w:szCs w:val="24"/>
          <w:lang w:val="es-ES" w:eastAsia="es-ES"/>
        </w:rPr>
        <w:t xml:space="preserve">3 </w:t>
      </w:r>
      <w:r w:rsidRPr="00E34EBA">
        <w:rPr>
          <w:rFonts w:ascii="Arial" w:hAnsi="Arial" w:cs="Arial"/>
          <w:b/>
          <w:szCs w:val="24"/>
          <w:lang w:val="es-ES" w:eastAsia="es-ES"/>
        </w:rPr>
        <w:t>Evaluación del control interno</w:t>
      </w:r>
    </w:p>
    <w:p w:rsidR="00DA702C" w:rsidRDefault="00DA702C" w:rsidP="00DA47BD">
      <w:pPr>
        <w:spacing w:after="0" w:line="360" w:lineRule="auto"/>
        <w:jc w:val="both"/>
        <w:rPr>
          <w:rFonts w:ascii="Arial" w:hAnsi="Arial" w:cs="Arial"/>
          <w:bCs/>
          <w:szCs w:val="24"/>
          <w:lang w:eastAsia="es-ES"/>
        </w:rPr>
      </w:pPr>
      <w:r w:rsidRPr="00E34EBA">
        <w:rPr>
          <w:rFonts w:ascii="Arial" w:hAnsi="Arial" w:cs="Arial"/>
          <w:bCs/>
          <w:szCs w:val="24"/>
          <w:lang w:eastAsia="es-ES"/>
        </w:rPr>
        <w:t>El examen de los aspectos de control interno relevantes para la preparación y presentación</w:t>
      </w:r>
      <w:r w:rsidR="002D3482">
        <w:rPr>
          <w:rFonts w:ascii="Arial" w:hAnsi="Arial" w:cs="Arial"/>
          <w:bCs/>
          <w:szCs w:val="24"/>
          <w:lang w:eastAsia="es-ES"/>
        </w:rPr>
        <w:t xml:space="preserve"> </w:t>
      </w:r>
      <w:r>
        <w:rPr>
          <w:rFonts w:ascii="Arial" w:hAnsi="Arial" w:cs="Arial"/>
          <w:bCs/>
          <w:szCs w:val="24"/>
          <w:lang w:eastAsia="es-ES"/>
        </w:rPr>
        <w:t>r</w:t>
      </w:r>
      <w:r w:rsidRPr="00E34EBA">
        <w:rPr>
          <w:rFonts w:ascii="Arial" w:hAnsi="Arial" w:cs="Arial"/>
          <w:bCs/>
          <w:szCs w:val="24"/>
          <w:lang w:eastAsia="es-ES"/>
        </w:rPr>
        <w:t xml:space="preserve">azonable de los </w:t>
      </w:r>
      <w:r w:rsidRPr="00921EFA">
        <w:rPr>
          <w:rFonts w:ascii="Arial" w:hAnsi="Arial" w:cs="Arial"/>
          <w:bCs/>
          <w:szCs w:val="24"/>
          <w:lang w:eastAsia="es-ES"/>
        </w:rPr>
        <w:t>estados financieros, permitió constatar que</w:t>
      </w:r>
      <w:r>
        <w:rPr>
          <w:rFonts w:ascii="Arial" w:hAnsi="Arial" w:cs="Arial"/>
          <w:bCs/>
          <w:szCs w:val="24"/>
          <w:lang w:eastAsia="es-ES"/>
        </w:rPr>
        <w:t>:</w:t>
      </w:r>
    </w:p>
    <w:p w:rsidR="002D3482" w:rsidRDefault="002D3482" w:rsidP="00DA47BD">
      <w:pPr>
        <w:spacing w:after="0" w:line="360" w:lineRule="auto"/>
        <w:jc w:val="both"/>
        <w:rPr>
          <w:rFonts w:ascii="Arial" w:hAnsi="Arial" w:cs="Arial"/>
          <w:bCs/>
          <w:szCs w:val="24"/>
          <w:lang w:eastAsia="es-ES"/>
        </w:rPr>
      </w:pPr>
    </w:p>
    <w:p w:rsidR="00DA702C" w:rsidRDefault="00DA702C" w:rsidP="00DA47BD">
      <w:pPr>
        <w:spacing w:after="0" w:line="360" w:lineRule="auto"/>
        <w:jc w:val="both"/>
        <w:rPr>
          <w:rFonts w:ascii="Arial" w:hAnsi="Arial" w:cs="Arial"/>
          <w:szCs w:val="24"/>
        </w:rPr>
      </w:pPr>
      <w:r w:rsidRPr="00EF7F98">
        <w:rPr>
          <w:rFonts w:ascii="Arial" w:hAnsi="Arial" w:cs="Arial"/>
          <w:b/>
          <w:szCs w:val="24"/>
        </w:rPr>
        <w:t>3.1</w:t>
      </w:r>
      <w:r>
        <w:rPr>
          <w:rFonts w:ascii="Arial" w:hAnsi="Arial" w:cs="Arial"/>
          <w:szCs w:val="24"/>
        </w:rPr>
        <w:t xml:space="preserve"> </w:t>
      </w:r>
      <w:r w:rsidRPr="00C373A7">
        <w:rPr>
          <w:rFonts w:ascii="Arial" w:hAnsi="Arial" w:cs="Arial"/>
          <w:szCs w:val="24"/>
        </w:rPr>
        <w:t>No se realiza la conciliación entre los Estados Financieros y la Ejecución Presupuestal</w:t>
      </w:r>
      <w:r>
        <w:rPr>
          <w:rFonts w:ascii="Arial" w:hAnsi="Arial" w:cs="Arial"/>
          <w:szCs w:val="24"/>
        </w:rPr>
        <w:t>.</w:t>
      </w:r>
    </w:p>
    <w:p w:rsidR="00DA702C" w:rsidRDefault="00DA702C" w:rsidP="00DA47BD">
      <w:pPr>
        <w:spacing w:after="0" w:line="360" w:lineRule="auto"/>
        <w:jc w:val="both"/>
        <w:rPr>
          <w:rFonts w:ascii="Arial" w:hAnsi="Arial" w:cs="Arial"/>
          <w:szCs w:val="24"/>
          <w:lang w:val="es-ES"/>
        </w:rPr>
      </w:pPr>
      <w:r w:rsidRPr="00EF7F98">
        <w:rPr>
          <w:rFonts w:ascii="Arial" w:hAnsi="Arial" w:cs="Arial"/>
          <w:b/>
          <w:szCs w:val="24"/>
          <w:lang w:val="es-ES"/>
        </w:rPr>
        <w:t>3.2</w:t>
      </w:r>
      <w:r>
        <w:rPr>
          <w:rFonts w:ascii="Arial" w:hAnsi="Arial" w:cs="Arial"/>
          <w:szCs w:val="24"/>
          <w:lang w:val="es-ES"/>
        </w:rPr>
        <w:t xml:space="preserve"> Las cuentas en moneda extranjera no se expresan a tipo de cambio de cierre. Tampoco </w:t>
      </w:r>
      <w:r w:rsidRPr="00EA14EC">
        <w:rPr>
          <w:rFonts w:ascii="Arial" w:hAnsi="Arial" w:cs="Arial"/>
          <w:szCs w:val="24"/>
          <w:lang w:val="es-ES"/>
        </w:rPr>
        <w:t xml:space="preserve">se </w:t>
      </w:r>
      <w:r>
        <w:rPr>
          <w:rFonts w:ascii="Arial" w:hAnsi="Arial" w:cs="Arial"/>
          <w:szCs w:val="24"/>
          <w:lang w:val="es-ES"/>
        </w:rPr>
        <w:t>registran</w:t>
      </w:r>
      <w:r w:rsidRPr="00EA14EC">
        <w:rPr>
          <w:rFonts w:ascii="Arial" w:hAnsi="Arial" w:cs="Arial"/>
          <w:szCs w:val="24"/>
          <w:lang w:val="es-ES"/>
        </w:rPr>
        <w:t xml:space="preserve"> las diferencias de cambio generadas en</w:t>
      </w:r>
      <w:r>
        <w:rPr>
          <w:rFonts w:ascii="Arial" w:hAnsi="Arial" w:cs="Arial"/>
          <w:szCs w:val="24"/>
          <w:lang w:val="es-ES"/>
        </w:rPr>
        <w:t>tre</w:t>
      </w:r>
      <w:r w:rsidRPr="00EA14EC">
        <w:rPr>
          <w:rFonts w:ascii="Arial" w:hAnsi="Arial" w:cs="Arial"/>
          <w:szCs w:val="24"/>
          <w:lang w:val="es-ES"/>
        </w:rPr>
        <w:t xml:space="preserve"> las transacciones realizadas en otras monedas y la correspondiente a los saldos mantenidos en moneda extranjera a la fecha de cierre, según lo previsto en la NICSP 4.</w:t>
      </w:r>
    </w:p>
    <w:p w:rsidR="002D3482" w:rsidRDefault="002D3482" w:rsidP="00DA47BD">
      <w:pPr>
        <w:spacing w:after="0" w:line="360" w:lineRule="auto"/>
        <w:jc w:val="both"/>
        <w:rPr>
          <w:rFonts w:ascii="Arial" w:hAnsi="Arial" w:cs="Arial"/>
          <w:szCs w:val="24"/>
          <w:lang w:val="es-ES"/>
        </w:rPr>
      </w:pPr>
    </w:p>
    <w:p w:rsidR="002D3482" w:rsidRDefault="002D3482" w:rsidP="00DA47BD">
      <w:pPr>
        <w:spacing w:after="0" w:line="360" w:lineRule="auto"/>
        <w:jc w:val="both"/>
        <w:rPr>
          <w:rFonts w:ascii="Arial" w:hAnsi="Arial" w:cs="Arial"/>
          <w:bCs/>
          <w:szCs w:val="24"/>
          <w:lang w:eastAsia="es-ES"/>
        </w:rPr>
      </w:pPr>
    </w:p>
    <w:p w:rsidR="00DA702C" w:rsidRDefault="00DA702C" w:rsidP="00DA47BD">
      <w:pPr>
        <w:spacing w:after="0" w:line="360" w:lineRule="auto"/>
        <w:jc w:val="both"/>
        <w:rPr>
          <w:rFonts w:ascii="Arial" w:hAnsi="Arial" w:cs="Arial"/>
          <w:bCs/>
          <w:szCs w:val="24"/>
          <w:lang w:eastAsia="es-ES"/>
        </w:rPr>
      </w:pPr>
      <w:r w:rsidRPr="00EF7F98">
        <w:rPr>
          <w:rFonts w:ascii="Arial" w:hAnsi="Arial" w:cs="Arial"/>
          <w:b/>
          <w:szCs w:val="24"/>
        </w:rPr>
        <w:t>3.</w:t>
      </w:r>
      <w:r>
        <w:rPr>
          <w:rFonts w:ascii="Arial" w:hAnsi="Arial" w:cs="Arial"/>
          <w:b/>
          <w:szCs w:val="24"/>
        </w:rPr>
        <w:t>3</w:t>
      </w:r>
      <w:r>
        <w:rPr>
          <w:rFonts w:ascii="Arial" w:hAnsi="Arial" w:cs="Arial"/>
          <w:szCs w:val="24"/>
        </w:rPr>
        <w:t xml:space="preserve"> La </w:t>
      </w:r>
      <w:r w:rsidRPr="008A6475">
        <w:rPr>
          <w:rFonts w:ascii="Arial" w:hAnsi="Arial" w:cs="Arial"/>
          <w:szCs w:val="24"/>
        </w:rPr>
        <w:t>depreciación de bienes de uso</w:t>
      </w:r>
      <w:r>
        <w:rPr>
          <w:rFonts w:ascii="Arial" w:hAnsi="Arial" w:cs="Arial"/>
          <w:szCs w:val="24"/>
        </w:rPr>
        <w:t xml:space="preserve"> se contabiliza a partir d</w:t>
      </w:r>
      <w:r w:rsidRPr="008A6475">
        <w:rPr>
          <w:rFonts w:ascii="Arial" w:hAnsi="Arial" w:cs="Arial"/>
          <w:szCs w:val="24"/>
        </w:rPr>
        <w:t xml:space="preserve">el año siguiente a su ingreso al inventario </w:t>
      </w:r>
      <w:r>
        <w:rPr>
          <w:rFonts w:ascii="Arial" w:hAnsi="Arial" w:cs="Arial"/>
          <w:szCs w:val="24"/>
        </w:rPr>
        <w:t xml:space="preserve">y </w:t>
      </w:r>
      <w:r w:rsidRPr="008A6475">
        <w:rPr>
          <w:rFonts w:ascii="Arial" w:hAnsi="Arial" w:cs="Arial"/>
          <w:szCs w:val="24"/>
        </w:rPr>
        <w:t>n</w:t>
      </w:r>
      <w:r>
        <w:rPr>
          <w:rFonts w:ascii="Arial" w:hAnsi="Arial" w:cs="Arial"/>
          <w:szCs w:val="24"/>
          <w:lang w:val="es-ES"/>
        </w:rPr>
        <w:t>o desde el momento en que se</w:t>
      </w:r>
      <w:r w:rsidRPr="008A6475">
        <w:rPr>
          <w:rFonts w:ascii="Arial" w:hAnsi="Arial" w:cs="Arial"/>
          <w:szCs w:val="24"/>
          <w:lang w:val="es-ES"/>
        </w:rPr>
        <w:t xml:space="preserve"> encuentra disponible para su uso</w:t>
      </w:r>
      <w:r>
        <w:rPr>
          <w:rFonts w:ascii="Arial" w:hAnsi="Arial" w:cs="Arial"/>
          <w:szCs w:val="24"/>
          <w:lang w:val="es-ES"/>
        </w:rPr>
        <w:t xml:space="preserve">. No </w:t>
      </w:r>
      <w:r w:rsidRPr="008A6475">
        <w:rPr>
          <w:rFonts w:ascii="Arial" w:hAnsi="Arial" w:cs="Arial"/>
          <w:szCs w:val="24"/>
          <w:lang w:val="es-ES"/>
        </w:rPr>
        <w:t xml:space="preserve"> se revela el método de depreciación utilizado, incumpliéndose con lo establecido en </w:t>
      </w:r>
      <w:r>
        <w:rPr>
          <w:rFonts w:ascii="Arial" w:hAnsi="Arial" w:cs="Arial"/>
          <w:szCs w:val="24"/>
          <w:lang w:val="es-ES"/>
        </w:rPr>
        <w:t xml:space="preserve">la </w:t>
      </w:r>
      <w:r w:rsidRPr="008A6475">
        <w:rPr>
          <w:rFonts w:ascii="Arial" w:hAnsi="Arial" w:cs="Arial"/>
          <w:szCs w:val="24"/>
          <w:lang w:val="es-ES"/>
        </w:rPr>
        <w:t>NICSP 17</w:t>
      </w:r>
      <w:r>
        <w:rPr>
          <w:rFonts w:ascii="Arial" w:hAnsi="Arial" w:cs="Arial"/>
          <w:szCs w:val="24"/>
          <w:lang w:val="es-ES"/>
        </w:rPr>
        <w:t>.</w:t>
      </w:r>
    </w:p>
    <w:p w:rsidR="00DA702C" w:rsidRDefault="00DA702C" w:rsidP="00DA47BD">
      <w:pPr>
        <w:spacing w:after="0" w:line="360" w:lineRule="auto"/>
        <w:jc w:val="both"/>
        <w:rPr>
          <w:rFonts w:ascii="Arial" w:hAnsi="Arial" w:cs="Arial"/>
          <w:bCs/>
          <w:szCs w:val="24"/>
          <w:lang w:eastAsia="es-ES"/>
        </w:rPr>
      </w:pPr>
      <w:r w:rsidRPr="006743FF">
        <w:rPr>
          <w:rFonts w:ascii="Arial" w:hAnsi="Arial" w:cs="Arial"/>
          <w:b/>
          <w:bCs/>
          <w:szCs w:val="24"/>
          <w:lang w:eastAsia="es-ES"/>
        </w:rPr>
        <w:t>3.</w:t>
      </w:r>
      <w:r>
        <w:rPr>
          <w:rFonts w:ascii="Arial" w:hAnsi="Arial" w:cs="Arial"/>
          <w:b/>
          <w:bCs/>
          <w:szCs w:val="24"/>
          <w:lang w:eastAsia="es-ES"/>
        </w:rPr>
        <w:t>4</w:t>
      </w:r>
      <w:r>
        <w:rPr>
          <w:rFonts w:ascii="Arial" w:hAnsi="Arial" w:cs="Arial"/>
          <w:bCs/>
          <w:szCs w:val="24"/>
          <w:lang w:eastAsia="es-ES"/>
        </w:rPr>
        <w:t xml:space="preserve"> </w:t>
      </w:r>
      <w:r w:rsidRPr="008240DB">
        <w:rPr>
          <w:rFonts w:ascii="Arial" w:hAnsi="Arial" w:cs="Arial"/>
          <w:bCs/>
          <w:szCs w:val="24"/>
          <w:lang w:eastAsia="es-ES"/>
        </w:rPr>
        <w:t>No se ha dispuesto la participación en los Arqueos de Tesorería de personal ajeno a dicho Sector y a la División a la que pertenece, a efectos de cumplir con el principio de oposición de intereses. En los arqueos no se deja constancia del corte de documentación de los recibos pre-numerados</w:t>
      </w:r>
      <w:r>
        <w:rPr>
          <w:rFonts w:ascii="Arial" w:hAnsi="Arial" w:cs="Arial"/>
          <w:bCs/>
          <w:szCs w:val="24"/>
          <w:lang w:eastAsia="es-ES"/>
        </w:rPr>
        <w:t xml:space="preserve"> ni</w:t>
      </w:r>
      <w:r w:rsidRPr="008240DB">
        <w:rPr>
          <w:rFonts w:ascii="Arial" w:hAnsi="Arial" w:cs="Arial"/>
          <w:bCs/>
          <w:szCs w:val="24"/>
          <w:lang w:eastAsia="es-ES"/>
        </w:rPr>
        <w:t xml:space="preserve"> se incluyeron los importes de garantías recibidas en efectivo.</w:t>
      </w:r>
    </w:p>
    <w:p w:rsidR="00DA702C" w:rsidRPr="001A6169" w:rsidRDefault="00DA702C" w:rsidP="00DA47BD">
      <w:pPr>
        <w:spacing w:after="0" w:line="360" w:lineRule="auto"/>
        <w:jc w:val="both"/>
        <w:rPr>
          <w:rFonts w:ascii="Arial" w:hAnsi="Arial" w:cs="Arial"/>
          <w:szCs w:val="24"/>
          <w:lang w:val="es-ES" w:eastAsia="es-ES"/>
        </w:rPr>
      </w:pPr>
      <w:r>
        <w:rPr>
          <w:rFonts w:ascii="Arial" w:hAnsi="Arial" w:cs="Arial"/>
          <w:b/>
          <w:bCs/>
          <w:szCs w:val="24"/>
          <w:lang w:eastAsia="es-ES"/>
        </w:rPr>
        <w:t>3.5</w:t>
      </w:r>
      <w:r w:rsidRPr="006743FF">
        <w:rPr>
          <w:rFonts w:ascii="Arial" w:hAnsi="Arial" w:cs="Arial"/>
          <w:b/>
          <w:bCs/>
          <w:szCs w:val="24"/>
          <w:lang w:eastAsia="es-ES"/>
        </w:rPr>
        <w:t xml:space="preserve"> </w:t>
      </w:r>
      <w:r>
        <w:rPr>
          <w:rFonts w:ascii="Arial" w:hAnsi="Arial" w:cs="Arial"/>
          <w:bCs/>
          <w:szCs w:val="24"/>
          <w:lang w:eastAsia="es-ES"/>
        </w:rPr>
        <w:t>No se dispone de</w:t>
      </w:r>
      <w:r w:rsidRPr="001A6169">
        <w:rPr>
          <w:rFonts w:ascii="Arial" w:hAnsi="Arial" w:cs="Arial"/>
          <w:bCs/>
          <w:szCs w:val="24"/>
          <w:lang w:eastAsia="es-ES"/>
        </w:rPr>
        <w:t xml:space="preserve"> manuales de procedimientos</w:t>
      </w:r>
      <w:r>
        <w:rPr>
          <w:rFonts w:ascii="Arial" w:hAnsi="Arial" w:cs="Arial"/>
          <w:bCs/>
          <w:szCs w:val="24"/>
          <w:lang w:eastAsia="es-ES"/>
        </w:rPr>
        <w:t>.</w:t>
      </w:r>
    </w:p>
    <w:p w:rsidR="00DA702C" w:rsidRDefault="00DA702C" w:rsidP="00DA47BD">
      <w:pPr>
        <w:spacing w:after="0" w:line="360" w:lineRule="auto"/>
        <w:jc w:val="both"/>
        <w:rPr>
          <w:rFonts w:ascii="Arial" w:hAnsi="Arial" w:cs="Arial"/>
          <w:b/>
          <w:szCs w:val="24"/>
          <w:lang w:val="es-ES" w:eastAsia="es-ES"/>
        </w:rPr>
      </w:pPr>
    </w:p>
    <w:p w:rsidR="00DA702C" w:rsidRDefault="00DA702C" w:rsidP="00DA47BD">
      <w:pPr>
        <w:spacing w:after="0" w:line="360" w:lineRule="auto"/>
        <w:jc w:val="both"/>
        <w:rPr>
          <w:rFonts w:ascii="Arial" w:hAnsi="Arial" w:cs="Arial"/>
          <w:b/>
          <w:szCs w:val="24"/>
          <w:u w:val="single"/>
          <w:lang w:val="es-ES" w:eastAsia="es-ES"/>
        </w:rPr>
      </w:pPr>
      <w:r>
        <w:rPr>
          <w:rFonts w:ascii="Arial" w:hAnsi="Arial" w:cs="Arial"/>
          <w:b/>
          <w:szCs w:val="24"/>
          <w:lang w:val="es-ES" w:eastAsia="es-ES"/>
        </w:rPr>
        <w:t>4</w:t>
      </w:r>
      <w:r w:rsidRPr="000A3AF7">
        <w:rPr>
          <w:rFonts w:ascii="Arial" w:hAnsi="Arial" w:cs="Arial"/>
          <w:b/>
          <w:szCs w:val="24"/>
          <w:lang w:val="es-ES" w:eastAsia="es-ES"/>
        </w:rPr>
        <w:t xml:space="preserve"> </w:t>
      </w:r>
      <w:r w:rsidRPr="007B3241">
        <w:rPr>
          <w:rFonts w:ascii="Arial" w:hAnsi="Arial" w:cs="Arial"/>
          <w:b/>
          <w:szCs w:val="24"/>
          <w:lang w:val="es-ES" w:eastAsia="es-ES"/>
        </w:rPr>
        <w:t>Recomendaciones</w:t>
      </w:r>
    </w:p>
    <w:p w:rsidR="00DA702C" w:rsidRPr="008A6475" w:rsidRDefault="00DA702C" w:rsidP="00DA47BD">
      <w:pPr>
        <w:spacing w:after="0" w:line="360" w:lineRule="auto"/>
        <w:jc w:val="both"/>
        <w:rPr>
          <w:rFonts w:ascii="Arial" w:hAnsi="Arial" w:cs="Arial"/>
          <w:b/>
          <w:bCs/>
          <w:szCs w:val="24"/>
          <w:lang w:val="es-ES" w:eastAsia="es-ES"/>
        </w:rPr>
      </w:pPr>
      <w:r>
        <w:rPr>
          <w:rFonts w:ascii="Arial" w:hAnsi="Arial" w:cs="Arial"/>
          <w:b/>
          <w:szCs w:val="24"/>
          <w:lang w:val="es-ES" w:eastAsia="es-ES"/>
        </w:rPr>
        <w:t>4</w:t>
      </w:r>
      <w:r w:rsidRPr="008A6475">
        <w:rPr>
          <w:rFonts w:ascii="Arial" w:hAnsi="Arial" w:cs="Arial"/>
          <w:b/>
          <w:szCs w:val="24"/>
          <w:lang w:val="es-ES" w:eastAsia="es-ES"/>
        </w:rPr>
        <w:t>.1</w:t>
      </w:r>
      <w:r w:rsidRPr="008A6475">
        <w:rPr>
          <w:rFonts w:ascii="Arial" w:hAnsi="Arial" w:cs="Arial"/>
          <w:b/>
          <w:bCs/>
          <w:szCs w:val="24"/>
          <w:lang w:val="es-ES" w:eastAsia="es-ES"/>
        </w:rPr>
        <w:t xml:space="preserve"> Recomendaciones cumplidas de ejercicios anteriores</w:t>
      </w:r>
    </w:p>
    <w:p w:rsidR="00DA702C" w:rsidRDefault="00DA702C" w:rsidP="00DA47BD">
      <w:pPr>
        <w:pStyle w:val="Prrafodelista"/>
        <w:tabs>
          <w:tab w:val="left" w:pos="0"/>
          <w:tab w:val="left" w:pos="284"/>
          <w:tab w:val="left" w:pos="426"/>
          <w:tab w:val="left" w:pos="851"/>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Arial" w:hAnsi="Arial" w:cs="Arial"/>
          <w:sz w:val="24"/>
          <w:szCs w:val="24"/>
          <w:lang w:val="es-ES"/>
        </w:rPr>
      </w:pPr>
      <w:r>
        <w:rPr>
          <w:rFonts w:ascii="Arial" w:hAnsi="Arial" w:cs="Arial"/>
          <w:b/>
          <w:sz w:val="24"/>
          <w:szCs w:val="24"/>
          <w:lang w:val="es-ES"/>
        </w:rPr>
        <w:t>4</w:t>
      </w:r>
      <w:r w:rsidRPr="008A6475">
        <w:rPr>
          <w:rFonts w:ascii="Arial" w:hAnsi="Arial" w:cs="Arial"/>
          <w:b/>
          <w:sz w:val="24"/>
          <w:szCs w:val="24"/>
          <w:lang w:val="es-ES"/>
        </w:rPr>
        <w:t>.1.1</w:t>
      </w:r>
      <w:r>
        <w:rPr>
          <w:rFonts w:ascii="Arial" w:hAnsi="Arial" w:cs="Arial"/>
          <w:sz w:val="24"/>
          <w:szCs w:val="24"/>
          <w:lang w:val="es-ES"/>
        </w:rPr>
        <w:t>.</w:t>
      </w:r>
      <w:r w:rsidRPr="008A6475">
        <w:rPr>
          <w:rFonts w:ascii="Arial" w:hAnsi="Arial" w:cs="Arial"/>
          <w:sz w:val="24"/>
          <w:szCs w:val="24"/>
          <w:lang w:val="es-ES"/>
        </w:rPr>
        <w:t xml:space="preserve"> </w:t>
      </w:r>
      <w:r w:rsidRPr="00154F8D">
        <w:rPr>
          <w:rFonts w:ascii="Arial" w:hAnsi="Arial" w:cs="Arial"/>
          <w:sz w:val="24"/>
          <w:szCs w:val="24"/>
          <w:lang w:val="es-ES"/>
        </w:rPr>
        <w:t>Los</w:t>
      </w:r>
      <w:r>
        <w:rPr>
          <w:rFonts w:ascii="Arial" w:hAnsi="Arial" w:cs="Arial"/>
          <w:sz w:val="24"/>
          <w:szCs w:val="24"/>
          <w:lang w:val="es-ES"/>
        </w:rPr>
        <w:t xml:space="preserve"> Estados Contables se remitieron </w:t>
      </w:r>
      <w:r w:rsidRPr="008A6475">
        <w:rPr>
          <w:rFonts w:ascii="Arial" w:hAnsi="Arial" w:cs="Arial"/>
          <w:sz w:val="24"/>
          <w:szCs w:val="24"/>
          <w:lang w:val="es-ES"/>
        </w:rPr>
        <w:t xml:space="preserve">en </w:t>
      </w:r>
      <w:r>
        <w:rPr>
          <w:rFonts w:ascii="Arial" w:hAnsi="Arial" w:cs="Arial"/>
          <w:sz w:val="24"/>
          <w:szCs w:val="24"/>
          <w:lang w:val="es-ES"/>
        </w:rPr>
        <w:t>tres</w:t>
      </w:r>
      <w:r w:rsidRPr="008A6475">
        <w:rPr>
          <w:rFonts w:ascii="Arial" w:hAnsi="Arial" w:cs="Arial"/>
          <w:sz w:val="24"/>
          <w:szCs w:val="24"/>
          <w:lang w:val="es-ES"/>
        </w:rPr>
        <w:t xml:space="preserve"> vías</w:t>
      </w:r>
      <w:r>
        <w:rPr>
          <w:rFonts w:ascii="Arial" w:hAnsi="Arial" w:cs="Arial"/>
          <w:sz w:val="24"/>
          <w:szCs w:val="24"/>
          <w:lang w:val="es-ES"/>
        </w:rPr>
        <w:t>,</w:t>
      </w:r>
      <w:r w:rsidRPr="008A6475">
        <w:rPr>
          <w:rFonts w:ascii="Arial" w:hAnsi="Arial" w:cs="Arial"/>
          <w:sz w:val="24"/>
          <w:szCs w:val="24"/>
          <w:lang w:val="es-ES"/>
        </w:rPr>
        <w:t xml:space="preserve"> firmadas por el jerarca máximo y secretario</w:t>
      </w:r>
      <w:r>
        <w:rPr>
          <w:rFonts w:ascii="Arial" w:hAnsi="Arial" w:cs="Arial"/>
          <w:sz w:val="24"/>
          <w:szCs w:val="24"/>
          <w:lang w:val="es-ES"/>
        </w:rPr>
        <w:t>,</w:t>
      </w:r>
      <w:r w:rsidRPr="008A6475">
        <w:rPr>
          <w:rFonts w:ascii="Arial" w:hAnsi="Arial" w:cs="Arial"/>
          <w:sz w:val="24"/>
          <w:szCs w:val="24"/>
          <w:lang w:val="es-ES"/>
        </w:rPr>
        <w:t xml:space="preserve"> con la correspondiente Acta de aprobación</w:t>
      </w:r>
      <w:r>
        <w:rPr>
          <w:rFonts w:ascii="Arial" w:hAnsi="Arial" w:cs="Arial"/>
          <w:sz w:val="24"/>
          <w:szCs w:val="24"/>
          <w:lang w:val="es-ES"/>
        </w:rPr>
        <w:t xml:space="preserve"> y Carta de representación</w:t>
      </w:r>
      <w:r w:rsidRPr="008A6475">
        <w:rPr>
          <w:rFonts w:ascii="Arial" w:hAnsi="Arial" w:cs="Arial"/>
          <w:sz w:val="24"/>
          <w:szCs w:val="24"/>
          <w:lang w:val="es-ES"/>
        </w:rPr>
        <w:t>.</w:t>
      </w:r>
    </w:p>
    <w:p w:rsidR="00DA702C" w:rsidRPr="008A6475" w:rsidRDefault="00DA702C" w:rsidP="00DA47BD">
      <w:pPr>
        <w:pStyle w:val="Prrafodelista"/>
        <w:tabs>
          <w:tab w:val="left" w:pos="0"/>
          <w:tab w:val="left" w:pos="284"/>
          <w:tab w:val="left" w:pos="426"/>
          <w:tab w:val="left" w:pos="851"/>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Arial" w:hAnsi="Arial" w:cs="Arial"/>
          <w:sz w:val="24"/>
          <w:szCs w:val="24"/>
          <w:lang w:val="es-ES"/>
        </w:rPr>
      </w:pPr>
      <w:r>
        <w:rPr>
          <w:rFonts w:ascii="Arial" w:hAnsi="Arial" w:cs="Arial"/>
          <w:b/>
          <w:sz w:val="24"/>
          <w:szCs w:val="24"/>
          <w:lang w:val="es-ES"/>
        </w:rPr>
        <w:t>4</w:t>
      </w:r>
      <w:r w:rsidRPr="008A6475">
        <w:rPr>
          <w:rFonts w:ascii="Arial" w:hAnsi="Arial" w:cs="Arial"/>
          <w:b/>
          <w:sz w:val="24"/>
          <w:szCs w:val="24"/>
          <w:lang w:val="es-ES"/>
        </w:rPr>
        <w:t>.1.2</w:t>
      </w:r>
      <w:r>
        <w:rPr>
          <w:rFonts w:ascii="Arial" w:hAnsi="Arial" w:cs="Arial"/>
          <w:sz w:val="24"/>
          <w:szCs w:val="24"/>
          <w:lang w:val="es-ES"/>
        </w:rPr>
        <w:t xml:space="preserve"> </w:t>
      </w:r>
      <w:r w:rsidRPr="008A6475">
        <w:rPr>
          <w:rFonts w:ascii="Arial" w:hAnsi="Arial" w:cs="Arial"/>
          <w:sz w:val="24"/>
          <w:szCs w:val="24"/>
          <w:lang w:val="es-ES"/>
        </w:rPr>
        <w:t>En el Estado de Resultado</w:t>
      </w:r>
      <w:r>
        <w:rPr>
          <w:rFonts w:ascii="Arial" w:hAnsi="Arial" w:cs="Arial"/>
          <w:sz w:val="24"/>
          <w:szCs w:val="24"/>
          <w:lang w:val="es-ES"/>
        </w:rPr>
        <w:t>s</w:t>
      </w:r>
      <w:r w:rsidRPr="008A6475">
        <w:rPr>
          <w:rFonts w:ascii="Arial" w:hAnsi="Arial" w:cs="Arial"/>
          <w:sz w:val="24"/>
          <w:szCs w:val="24"/>
          <w:lang w:val="es-ES"/>
        </w:rPr>
        <w:t xml:space="preserve"> se expone lo recaudado por Proventos</w:t>
      </w:r>
      <w:r>
        <w:rPr>
          <w:rFonts w:ascii="Arial" w:hAnsi="Arial" w:cs="Arial"/>
          <w:sz w:val="24"/>
          <w:szCs w:val="24"/>
          <w:lang w:val="es-ES"/>
        </w:rPr>
        <w:t>.</w:t>
      </w:r>
    </w:p>
    <w:p w:rsidR="00DA702C" w:rsidRDefault="00DA702C" w:rsidP="00DA47BD">
      <w:pPr>
        <w:tabs>
          <w:tab w:val="left" w:pos="709"/>
        </w:tabs>
        <w:spacing w:after="0" w:line="360" w:lineRule="auto"/>
        <w:jc w:val="both"/>
        <w:rPr>
          <w:rFonts w:ascii="Arial" w:hAnsi="Arial" w:cs="Arial"/>
          <w:szCs w:val="24"/>
          <w:lang w:val="es-ES"/>
        </w:rPr>
      </w:pPr>
      <w:r w:rsidRPr="00154F8D">
        <w:rPr>
          <w:rFonts w:ascii="Arial" w:hAnsi="Arial" w:cs="Arial"/>
          <w:b/>
          <w:szCs w:val="24"/>
          <w:lang w:val="es-ES"/>
        </w:rPr>
        <w:t>4.1.3</w:t>
      </w:r>
      <w:r>
        <w:rPr>
          <w:rFonts w:ascii="Arial" w:hAnsi="Arial" w:cs="Arial"/>
          <w:szCs w:val="24"/>
          <w:lang w:val="es-ES"/>
        </w:rPr>
        <w:t xml:space="preserve"> Se han</w:t>
      </w:r>
      <w:r w:rsidRPr="00013FF5">
        <w:rPr>
          <w:rFonts w:ascii="Arial" w:hAnsi="Arial" w:cs="Arial"/>
          <w:szCs w:val="24"/>
          <w:lang w:val="es-ES"/>
        </w:rPr>
        <w:t xml:space="preserve"> implementado procedimientos a efectos de devolver las garantías correspondiente a las contrataciones finalizadas  en cumpliendo de lo dispuesto en el último inciso del art</w:t>
      </w:r>
      <w:r>
        <w:rPr>
          <w:rFonts w:ascii="Arial" w:hAnsi="Arial" w:cs="Arial"/>
          <w:szCs w:val="24"/>
          <w:lang w:val="es-ES"/>
        </w:rPr>
        <w:t xml:space="preserve">ículo </w:t>
      </w:r>
      <w:r w:rsidRPr="00013FF5">
        <w:rPr>
          <w:rFonts w:ascii="Arial" w:hAnsi="Arial" w:cs="Arial"/>
          <w:szCs w:val="24"/>
          <w:lang w:val="es-ES"/>
        </w:rPr>
        <w:t xml:space="preserve"> 64 del TOCAF.</w:t>
      </w:r>
    </w:p>
    <w:p w:rsidR="002D3482" w:rsidRDefault="002D3482" w:rsidP="00DA47BD">
      <w:pPr>
        <w:tabs>
          <w:tab w:val="left" w:pos="709"/>
        </w:tabs>
        <w:spacing w:after="0" w:line="360" w:lineRule="auto"/>
        <w:jc w:val="both"/>
        <w:rPr>
          <w:rFonts w:ascii="Arial" w:hAnsi="Arial" w:cs="Arial"/>
          <w:szCs w:val="24"/>
          <w:lang w:val="es-ES"/>
        </w:rPr>
      </w:pPr>
    </w:p>
    <w:p w:rsidR="00DA702C" w:rsidRDefault="00DA702C" w:rsidP="00DA47BD">
      <w:pPr>
        <w:spacing w:after="0" w:line="360" w:lineRule="auto"/>
        <w:rPr>
          <w:rFonts w:ascii="Arial" w:hAnsi="Arial" w:cs="Arial"/>
          <w:b/>
          <w:bCs/>
          <w:szCs w:val="24"/>
          <w:lang w:val="es-ES" w:eastAsia="es-ES"/>
        </w:rPr>
      </w:pPr>
      <w:r>
        <w:rPr>
          <w:rFonts w:ascii="Arial" w:hAnsi="Arial" w:cs="Arial"/>
          <w:b/>
          <w:bCs/>
          <w:szCs w:val="24"/>
          <w:lang w:val="es-ES" w:eastAsia="es-ES"/>
        </w:rPr>
        <w:t>4</w:t>
      </w:r>
      <w:r w:rsidRPr="00103862">
        <w:rPr>
          <w:rFonts w:ascii="Arial" w:hAnsi="Arial" w:cs="Arial"/>
          <w:b/>
          <w:bCs/>
          <w:szCs w:val="24"/>
          <w:lang w:val="es-ES" w:eastAsia="es-ES"/>
        </w:rPr>
        <w:t>.2 Recomendaciones no cumplidas de ejercicios anteriores</w:t>
      </w:r>
    </w:p>
    <w:p w:rsidR="00DA702C" w:rsidRDefault="00DA702C" w:rsidP="00DA47BD">
      <w:pPr>
        <w:spacing w:after="0" w:line="360" w:lineRule="auto"/>
        <w:jc w:val="both"/>
        <w:rPr>
          <w:rFonts w:ascii="Arial" w:hAnsi="Arial" w:cs="Arial"/>
          <w:bCs/>
          <w:szCs w:val="24"/>
          <w:lang w:val="es-ES" w:eastAsia="es-ES"/>
        </w:rPr>
      </w:pPr>
      <w:r w:rsidRPr="001709E0">
        <w:rPr>
          <w:rFonts w:ascii="Arial" w:hAnsi="Arial" w:cs="Arial"/>
          <w:b/>
          <w:bCs/>
          <w:szCs w:val="24"/>
          <w:lang w:val="es-ES" w:eastAsia="es-ES"/>
        </w:rPr>
        <w:t>4.2.</w:t>
      </w:r>
      <w:r>
        <w:rPr>
          <w:rFonts w:ascii="Arial" w:hAnsi="Arial" w:cs="Arial"/>
          <w:b/>
          <w:bCs/>
          <w:szCs w:val="24"/>
          <w:lang w:val="es-ES" w:eastAsia="es-ES"/>
        </w:rPr>
        <w:t>1</w:t>
      </w:r>
      <w:r w:rsidRPr="00743A8C">
        <w:rPr>
          <w:rFonts w:ascii="Arial" w:hAnsi="Arial" w:cs="Arial"/>
          <w:bCs/>
          <w:szCs w:val="24"/>
          <w:lang w:val="es-ES" w:eastAsia="es-ES"/>
        </w:rPr>
        <w:t xml:space="preserve"> No se remitió el Estado de Evolución de Patrimonio</w:t>
      </w:r>
      <w:r>
        <w:rPr>
          <w:rFonts w:ascii="Arial" w:hAnsi="Arial" w:cs="Arial"/>
          <w:bCs/>
          <w:szCs w:val="24"/>
          <w:lang w:val="es-ES" w:eastAsia="es-ES"/>
        </w:rPr>
        <w:t xml:space="preserve"> (Numeral 1 de este Informe).</w:t>
      </w:r>
    </w:p>
    <w:p w:rsidR="00DA702C" w:rsidRDefault="00DA702C" w:rsidP="00DA47BD">
      <w:pPr>
        <w:spacing w:after="0" w:line="360" w:lineRule="auto"/>
        <w:jc w:val="both"/>
        <w:rPr>
          <w:rFonts w:ascii="Arial" w:hAnsi="Arial" w:cs="Arial"/>
          <w:spacing w:val="-3"/>
          <w:szCs w:val="24"/>
          <w:lang w:val="es-ES_tradnl" w:eastAsia="es-ES"/>
        </w:rPr>
      </w:pPr>
      <w:r w:rsidRPr="00EE41AA">
        <w:rPr>
          <w:rFonts w:ascii="Arial" w:hAnsi="Arial" w:cs="Arial"/>
          <w:b/>
          <w:spacing w:val="-3"/>
          <w:szCs w:val="24"/>
          <w:lang w:val="es-ES_tradnl" w:eastAsia="es-ES"/>
        </w:rPr>
        <w:t>4.2.2</w:t>
      </w:r>
      <w:r>
        <w:rPr>
          <w:rFonts w:ascii="Arial" w:hAnsi="Arial" w:cs="Arial"/>
          <w:spacing w:val="-3"/>
          <w:szCs w:val="24"/>
          <w:lang w:val="es-ES_tradnl" w:eastAsia="es-ES"/>
        </w:rPr>
        <w:t xml:space="preserve"> En el Estado de Resultados no se denominaron los  ingresos con referencia al origen de los mismos (Numeral 1).</w:t>
      </w:r>
    </w:p>
    <w:p w:rsidR="00DA702C" w:rsidRDefault="00DA702C" w:rsidP="00DA47BD">
      <w:pPr>
        <w:tabs>
          <w:tab w:val="left" w:pos="709"/>
        </w:tabs>
        <w:spacing w:after="0" w:line="360" w:lineRule="auto"/>
        <w:jc w:val="both"/>
        <w:rPr>
          <w:rFonts w:ascii="Arial" w:hAnsi="Arial" w:cs="Arial"/>
          <w:szCs w:val="24"/>
          <w:lang w:val="es-ES"/>
        </w:rPr>
      </w:pPr>
      <w:r w:rsidRPr="001709E0">
        <w:rPr>
          <w:rFonts w:ascii="Arial" w:hAnsi="Arial" w:cs="Arial"/>
          <w:b/>
          <w:szCs w:val="24"/>
          <w:lang w:val="es-ES"/>
        </w:rPr>
        <w:t>4.2.</w:t>
      </w:r>
      <w:r>
        <w:rPr>
          <w:rFonts w:ascii="Arial" w:hAnsi="Arial" w:cs="Arial"/>
          <w:b/>
          <w:szCs w:val="24"/>
          <w:lang w:val="es-ES"/>
        </w:rPr>
        <w:t>3</w:t>
      </w:r>
      <w:r>
        <w:rPr>
          <w:rFonts w:ascii="Arial" w:hAnsi="Arial" w:cs="Arial"/>
          <w:szCs w:val="24"/>
          <w:lang w:val="es-ES"/>
        </w:rPr>
        <w:t xml:space="preserve"> </w:t>
      </w:r>
      <w:r w:rsidRPr="00DB781A">
        <w:rPr>
          <w:rFonts w:ascii="Arial" w:hAnsi="Arial" w:cs="Arial"/>
          <w:szCs w:val="24"/>
          <w:lang w:val="es-ES"/>
        </w:rPr>
        <w:t xml:space="preserve">No se </w:t>
      </w:r>
      <w:r>
        <w:rPr>
          <w:rFonts w:ascii="Arial" w:hAnsi="Arial" w:cs="Arial"/>
          <w:szCs w:val="24"/>
          <w:lang w:val="es-ES"/>
        </w:rPr>
        <w:t>revelaron</w:t>
      </w:r>
      <w:r w:rsidRPr="00DB781A">
        <w:rPr>
          <w:rFonts w:ascii="Arial" w:hAnsi="Arial" w:cs="Arial"/>
          <w:szCs w:val="24"/>
          <w:lang w:val="es-ES"/>
        </w:rPr>
        <w:t xml:space="preserve"> los juicios y litigios, a efectos de dar cumplimiento con lo previsto en la NICSP 19 </w:t>
      </w:r>
      <w:r>
        <w:rPr>
          <w:rFonts w:ascii="Arial" w:hAnsi="Arial" w:cs="Arial"/>
          <w:szCs w:val="24"/>
          <w:lang w:val="es-ES"/>
        </w:rPr>
        <w:t>(Numeral 2.1).</w:t>
      </w:r>
    </w:p>
    <w:p w:rsidR="002D3482" w:rsidRPr="00006BDE" w:rsidRDefault="002D3482" w:rsidP="00DA47BD">
      <w:pPr>
        <w:tabs>
          <w:tab w:val="left" w:pos="709"/>
        </w:tabs>
        <w:spacing w:after="0" w:line="360" w:lineRule="auto"/>
        <w:jc w:val="both"/>
        <w:rPr>
          <w:rFonts w:ascii="Arial" w:hAnsi="Arial" w:cs="Arial"/>
          <w:szCs w:val="24"/>
          <w:lang w:val="es-ES" w:eastAsia="es-ES"/>
        </w:rPr>
      </w:pPr>
    </w:p>
    <w:p w:rsidR="00DA702C" w:rsidRPr="008240DB" w:rsidRDefault="00DA702C" w:rsidP="00DA47BD">
      <w:pPr>
        <w:spacing w:after="0" w:line="360" w:lineRule="auto"/>
        <w:jc w:val="both"/>
        <w:rPr>
          <w:rFonts w:ascii="Arial" w:hAnsi="Arial" w:cs="Arial"/>
          <w:b/>
          <w:bCs/>
          <w:szCs w:val="24"/>
          <w:lang w:val="es-ES" w:eastAsia="es-ES"/>
        </w:rPr>
      </w:pPr>
      <w:r>
        <w:rPr>
          <w:rFonts w:ascii="Arial" w:hAnsi="Arial" w:cs="Arial"/>
          <w:b/>
          <w:szCs w:val="24"/>
          <w:lang w:val="es-ES" w:eastAsia="es-ES"/>
        </w:rPr>
        <w:t xml:space="preserve">4.2.4 </w:t>
      </w:r>
      <w:r w:rsidRPr="008240DB">
        <w:rPr>
          <w:rFonts w:ascii="Arial" w:hAnsi="Arial" w:cs="Arial"/>
          <w:szCs w:val="24"/>
          <w:lang w:val="es-ES" w:eastAsia="es-ES"/>
        </w:rPr>
        <w:t>Las cuentas en moneda extranjera no se contabilizaron a tipo de cambio de cierre y no se registraron las diferencias de cambio generadas por la tenencia de moneda extranjera de acuerdo con el párrafo 24 de la NICSP 4 (Numeral 3.2).</w:t>
      </w:r>
    </w:p>
    <w:p w:rsidR="00DA702C" w:rsidRPr="008240DB" w:rsidRDefault="00DA702C" w:rsidP="00DA47BD">
      <w:pPr>
        <w:spacing w:after="0" w:line="360" w:lineRule="auto"/>
        <w:ind w:right="-2"/>
        <w:jc w:val="both"/>
        <w:rPr>
          <w:rFonts w:ascii="Arial" w:hAnsi="Arial" w:cs="Arial"/>
          <w:szCs w:val="24"/>
          <w:lang w:val="es-ES"/>
        </w:rPr>
      </w:pPr>
      <w:r w:rsidRPr="008240DB">
        <w:rPr>
          <w:rFonts w:ascii="Arial" w:hAnsi="Arial" w:cs="Arial"/>
          <w:b/>
          <w:szCs w:val="24"/>
          <w:lang w:val="es-ES"/>
        </w:rPr>
        <w:t>4.2.5</w:t>
      </w:r>
      <w:r w:rsidRPr="008240DB">
        <w:rPr>
          <w:rFonts w:ascii="Arial" w:hAnsi="Arial" w:cs="Arial"/>
          <w:szCs w:val="24"/>
          <w:lang w:val="es-ES"/>
        </w:rPr>
        <w:t xml:space="preserve"> No se incluyeron los saldos adeudados a organismos del Estado cuyo pago realiza la TGN por cuenta y orden de la Cámara. Dichos importes son deducidos de los saldos activos pendientes de cobro al cierre del ejercicio; incumpliendo con lo dispuesto en la NICSP 1, párrafo 48, al no evitarse la compensación de  activos y pasivos.</w:t>
      </w:r>
    </w:p>
    <w:p w:rsidR="00DA702C" w:rsidRPr="008240DB" w:rsidRDefault="00DA702C" w:rsidP="00DA47BD">
      <w:pPr>
        <w:numPr>
          <w:ilvl w:val="2"/>
          <w:numId w:val="11"/>
        </w:numPr>
        <w:tabs>
          <w:tab w:val="left" w:pos="709"/>
          <w:tab w:val="left" w:pos="851"/>
        </w:tabs>
        <w:spacing w:after="0" w:line="360" w:lineRule="auto"/>
        <w:ind w:left="0" w:firstLine="0"/>
        <w:jc w:val="both"/>
        <w:rPr>
          <w:rFonts w:ascii="Arial" w:hAnsi="Arial" w:cs="Arial"/>
          <w:szCs w:val="24"/>
          <w:lang w:val="es-ES" w:eastAsia="es-ES"/>
        </w:rPr>
      </w:pPr>
      <w:r w:rsidRPr="008240DB">
        <w:rPr>
          <w:rFonts w:ascii="Arial" w:hAnsi="Arial" w:cs="Arial"/>
          <w:szCs w:val="24"/>
          <w:lang w:val="es-ES"/>
        </w:rPr>
        <w:t>No se ha dispuesto la participación en los Arqueos de Tesorería de personal ajeno a dicho Sector y a la División a la que pertenece, a efectos de cumplir con el principio de oposición de intereses. En el acta de arqueo no se incluyeron los importes de garantías recibidas en efectivo</w:t>
      </w:r>
      <w:r>
        <w:rPr>
          <w:rFonts w:ascii="Arial" w:hAnsi="Arial" w:cs="Arial"/>
          <w:szCs w:val="24"/>
          <w:lang w:val="es-ES"/>
        </w:rPr>
        <w:t xml:space="preserve"> (Numeral 3.4).</w:t>
      </w:r>
    </w:p>
    <w:p w:rsidR="00DA702C" w:rsidRDefault="00DA702C" w:rsidP="00DA47BD">
      <w:pPr>
        <w:pStyle w:val="Prrafodelista"/>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Arial" w:hAnsi="Arial" w:cs="Arial"/>
          <w:sz w:val="24"/>
          <w:szCs w:val="24"/>
          <w:lang w:val="es-ES"/>
        </w:rPr>
      </w:pPr>
      <w:r>
        <w:rPr>
          <w:rFonts w:ascii="Arial" w:hAnsi="Arial" w:cs="Arial"/>
          <w:b/>
          <w:sz w:val="24"/>
          <w:szCs w:val="24"/>
          <w:lang w:val="es-ES"/>
        </w:rPr>
        <w:t>4.2.7</w:t>
      </w:r>
      <w:r>
        <w:rPr>
          <w:rFonts w:ascii="Arial" w:hAnsi="Arial" w:cs="Arial"/>
          <w:sz w:val="24"/>
          <w:szCs w:val="24"/>
          <w:lang w:val="es-ES"/>
        </w:rPr>
        <w:t xml:space="preserve"> No se ha dotado</w:t>
      </w:r>
      <w:r w:rsidRPr="00926E76">
        <w:rPr>
          <w:rFonts w:ascii="Arial" w:hAnsi="Arial" w:cs="Arial"/>
          <w:sz w:val="24"/>
          <w:szCs w:val="24"/>
          <w:lang w:val="es-ES"/>
        </w:rPr>
        <w:t xml:space="preserve"> a la unidad de Auditoría Interna prevista en el organigrama, de</w:t>
      </w:r>
      <w:r>
        <w:rPr>
          <w:rFonts w:ascii="Arial" w:hAnsi="Arial" w:cs="Arial"/>
          <w:sz w:val="24"/>
          <w:szCs w:val="24"/>
          <w:lang w:val="es-ES"/>
        </w:rPr>
        <w:t xml:space="preserve"> </w:t>
      </w:r>
      <w:r w:rsidRPr="00926E76">
        <w:rPr>
          <w:rFonts w:ascii="Arial" w:hAnsi="Arial" w:cs="Arial"/>
          <w:sz w:val="24"/>
          <w:szCs w:val="24"/>
          <w:lang w:val="es-ES"/>
        </w:rPr>
        <w:t>los recursos necesarios y de los manuales de procedimientos a efectos de que ejerza las funciones de control correspondientes</w:t>
      </w:r>
      <w:r>
        <w:rPr>
          <w:rFonts w:ascii="Arial" w:hAnsi="Arial" w:cs="Arial"/>
          <w:sz w:val="24"/>
          <w:szCs w:val="24"/>
          <w:lang w:val="es-ES"/>
        </w:rPr>
        <w:t xml:space="preserve"> (Numeral 3.5).</w:t>
      </w:r>
    </w:p>
    <w:p w:rsidR="00DA702C" w:rsidRPr="008240DB" w:rsidRDefault="00DA702C" w:rsidP="002D3482">
      <w:pPr>
        <w:spacing w:line="360" w:lineRule="auto"/>
        <w:jc w:val="both"/>
        <w:rPr>
          <w:rFonts w:ascii="Arial" w:hAnsi="Arial" w:cs="Arial"/>
          <w:szCs w:val="24"/>
          <w:lang w:val="es-ES"/>
        </w:rPr>
      </w:pPr>
      <w:r>
        <w:rPr>
          <w:rFonts w:ascii="Arial" w:hAnsi="Arial" w:cs="Arial"/>
          <w:b/>
          <w:szCs w:val="24"/>
          <w:lang w:val="es-ES"/>
        </w:rPr>
        <w:t xml:space="preserve">4.2.8 </w:t>
      </w:r>
      <w:r w:rsidRPr="008240DB">
        <w:rPr>
          <w:rFonts w:ascii="Arial" w:hAnsi="Arial" w:cs="Arial"/>
          <w:szCs w:val="24"/>
          <w:lang w:val="es-ES"/>
        </w:rPr>
        <w:t>No se realizaron recuentos físicos de las existencias de Materiales e Insumos; los mismos comenzaron a efectuarse en el ejercicio 2017.</w:t>
      </w:r>
    </w:p>
    <w:p w:rsidR="00DA702C" w:rsidRPr="006A4928" w:rsidRDefault="00DA702C" w:rsidP="00DA47BD">
      <w:pPr>
        <w:spacing w:after="0" w:line="360" w:lineRule="auto"/>
        <w:jc w:val="both"/>
        <w:rPr>
          <w:rFonts w:ascii="Arial" w:hAnsi="Arial" w:cs="Arial"/>
          <w:b/>
          <w:bCs/>
          <w:szCs w:val="24"/>
          <w:lang w:val="es-ES" w:eastAsia="es-ES"/>
        </w:rPr>
      </w:pPr>
      <w:r w:rsidRPr="001709E0">
        <w:rPr>
          <w:rFonts w:ascii="Arial" w:hAnsi="Arial" w:cs="Arial"/>
          <w:b/>
          <w:szCs w:val="24"/>
          <w:lang w:val="es-ES" w:eastAsia="es-ES"/>
        </w:rPr>
        <w:t>4.3</w:t>
      </w:r>
      <w:r>
        <w:rPr>
          <w:rFonts w:ascii="Arial" w:hAnsi="Arial" w:cs="Arial"/>
          <w:szCs w:val="24"/>
          <w:lang w:val="es-ES" w:eastAsia="es-ES"/>
        </w:rPr>
        <w:t xml:space="preserve"> </w:t>
      </w:r>
      <w:r>
        <w:rPr>
          <w:rFonts w:ascii="Arial" w:hAnsi="Arial" w:cs="Arial"/>
          <w:b/>
          <w:bCs/>
          <w:szCs w:val="24"/>
          <w:lang w:val="es-ES" w:eastAsia="es-ES"/>
        </w:rPr>
        <w:t>Recomendaciones del presente ejercicio</w:t>
      </w:r>
    </w:p>
    <w:p w:rsidR="00DA702C" w:rsidRPr="006A4928" w:rsidRDefault="00DA702C" w:rsidP="00DA47BD">
      <w:pPr>
        <w:tabs>
          <w:tab w:val="left" w:pos="0"/>
        </w:tabs>
        <w:spacing w:after="0" w:line="360" w:lineRule="auto"/>
        <w:ind w:right="-2"/>
        <w:jc w:val="both"/>
        <w:rPr>
          <w:rFonts w:ascii="Arial" w:hAnsi="Arial" w:cs="Arial"/>
          <w:szCs w:val="24"/>
          <w:lang w:val="es-ES" w:eastAsia="es-ES"/>
        </w:rPr>
      </w:pPr>
      <w:r w:rsidRPr="006A4928">
        <w:rPr>
          <w:rFonts w:ascii="Arial" w:hAnsi="Arial" w:cs="Arial"/>
          <w:szCs w:val="24"/>
          <w:lang w:val="es-ES" w:eastAsia="es-ES"/>
        </w:rPr>
        <w:t xml:space="preserve">Se reiteran las recomendaciones </w:t>
      </w:r>
      <w:r>
        <w:rPr>
          <w:rFonts w:ascii="Arial" w:hAnsi="Arial" w:cs="Arial"/>
          <w:szCs w:val="24"/>
          <w:lang w:val="es-ES" w:eastAsia="es-ES"/>
        </w:rPr>
        <w:t xml:space="preserve">no cumplidas </w:t>
      </w:r>
      <w:r w:rsidRPr="006A4928">
        <w:rPr>
          <w:rFonts w:ascii="Arial" w:hAnsi="Arial" w:cs="Arial"/>
          <w:szCs w:val="24"/>
          <w:lang w:val="es-ES" w:eastAsia="es-ES"/>
        </w:rPr>
        <w:t>de</w:t>
      </w:r>
      <w:r>
        <w:rPr>
          <w:rFonts w:ascii="Arial" w:hAnsi="Arial" w:cs="Arial"/>
          <w:szCs w:val="24"/>
          <w:lang w:val="es-ES" w:eastAsia="es-ES"/>
        </w:rPr>
        <w:t xml:space="preserve"> ejercicios anteriores</w:t>
      </w:r>
      <w:r w:rsidRPr="006A4928">
        <w:rPr>
          <w:rFonts w:ascii="Arial" w:hAnsi="Arial" w:cs="Arial"/>
          <w:szCs w:val="24"/>
          <w:lang w:val="es-ES" w:eastAsia="es-ES"/>
        </w:rPr>
        <w:t>, a las que se</w:t>
      </w:r>
      <w:r>
        <w:rPr>
          <w:rFonts w:ascii="Arial" w:hAnsi="Arial" w:cs="Arial"/>
          <w:szCs w:val="24"/>
          <w:lang w:val="es-ES" w:eastAsia="es-ES"/>
        </w:rPr>
        <w:t xml:space="preserve"> agregan las siguientes</w:t>
      </w:r>
      <w:r w:rsidRPr="006A4928">
        <w:rPr>
          <w:rFonts w:ascii="Arial" w:hAnsi="Arial" w:cs="Arial"/>
          <w:szCs w:val="24"/>
          <w:lang w:val="es-ES" w:eastAsia="es-ES"/>
        </w:rPr>
        <w:t>:</w:t>
      </w:r>
    </w:p>
    <w:p w:rsidR="00DA702C" w:rsidRDefault="00DA702C" w:rsidP="00DA47BD">
      <w:pPr>
        <w:widowControl w:val="0"/>
        <w:spacing w:after="0" w:line="360" w:lineRule="auto"/>
        <w:jc w:val="both"/>
        <w:rPr>
          <w:rFonts w:ascii="Arial" w:hAnsi="Arial" w:cs="Arial"/>
          <w:b/>
          <w:snapToGrid w:val="0"/>
          <w:szCs w:val="24"/>
          <w:lang w:val="es-ES" w:eastAsia="es-ES"/>
        </w:rPr>
      </w:pPr>
      <w:r w:rsidRPr="00971DE7">
        <w:rPr>
          <w:rFonts w:ascii="Arial" w:hAnsi="Arial" w:cs="Arial"/>
          <w:b/>
          <w:snapToGrid w:val="0"/>
          <w:szCs w:val="24"/>
          <w:lang w:val="es-ES" w:eastAsia="es-ES"/>
        </w:rPr>
        <w:t>4.3.1</w:t>
      </w:r>
      <w:r>
        <w:rPr>
          <w:rFonts w:ascii="Arial" w:hAnsi="Arial" w:cs="Arial"/>
          <w:b/>
          <w:snapToGrid w:val="0"/>
          <w:szCs w:val="24"/>
          <w:lang w:val="es-ES" w:eastAsia="es-ES"/>
        </w:rPr>
        <w:tab/>
      </w:r>
      <w:r w:rsidRPr="00936F69">
        <w:rPr>
          <w:rFonts w:ascii="Arial" w:hAnsi="Arial" w:cs="Arial"/>
          <w:snapToGrid w:val="0"/>
          <w:szCs w:val="24"/>
          <w:lang w:val="es-ES" w:eastAsia="es-ES"/>
        </w:rPr>
        <w:t>Presentar los estados en forma comparativa con el ejercicio anterior, de acuerdo a lo previsto en el párrafo 53 de la NICSP 1 (Numeral 1).</w:t>
      </w:r>
    </w:p>
    <w:p w:rsidR="00DA702C" w:rsidRDefault="00DA702C" w:rsidP="00DA47BD">
      <w:pPr>
        <w:widowControl w:val="0"/>
        <w:spacing w:after="0" w:line="360" w:lineRule="auto"/>
        <w:jc w:val="both"/>
        <w:rPr>
          <w:rFonts w:ascii="Arial" w:hAnsi="Arial" w:cs="Arial"/>
          <w:b/>
          <w:snapToGrid w:val="0"/>
          <w:szCs w:val="24"/>
          <w:lang w:val="es-ES" w:eastAsia="es-ES"/>
        </w:rPr>
      </w:pPr>
      <w:r w:rsidRPr="00EC79FE">
        <w:rPr>
          <w:rFonts w:ascii="Arial" w:hAnsi="Arial" w:cs="Arial"/>
          <w:b/>
          <w:snapToGrid w:val="0"/>
          <w:szCs w:val="24"/>
          <w:lang w:val="es-ES" w:eastAsia="es-ES"/>
        </w:rPr>
        <w:t>4.3.2</w:t>
      </w:r>
      <w:r>
        <w:rPr>
          <w:rFonts w:ascii="Arial" w:hAnsi="Arial" w:cs="Arial"/>
          <w:b/>
          <w:snapToGrid w:val="0"/>
          <w:szCs w:val="24"/>
          <w:lang w:val="es-ES" w:eastAsia="es-ES"/>
        </w:rPr>
        <w:t xml:space="preserve"> </w:t>
      </w:r>
      <w:r w:rsidRPr="001742AC">
        <w:rPr>
          <w:rFonts w:ascii="Arial" w:hAnsi="Arial" w:cs="Arial"/>
          <w:snapToGrid w:val="0"/>
          <w:szCs w:val="24"/>
          <w:lang w:val="es-ES" w:eastAsia="es-ES"/>
        </w:rPr>
        <w:t>Detallar en notas las normas consideradas para elaborar los estados financieros (Numeral 1).</w:t>
      </w:r>
    </w:p>
    <w:p w:rsidR="00DA702C" w:rsidRDefault="00DA702C" w:rsidP="00DA47BD">
      <w:pPr>
        <w:widowControl w:val="0"/>
        <w:spacing w:after="0" w:line="360" w:lineRule="auto"/>
        <w:jc w:val="both"/>
        <w:rPr>
          <w:rFonts w:ascii="Arial" w:hAnsi="Arial" w:cs="Arial"/>
          <w:snapToGrid w:val="0"/>
          <w:szCs w:val="24"/>
          <w:lang w:val="es-ES" w:eastAsia="es-ES"/>
        </w:rPr>
      </w:pPr>
      <w:r w:rsidRPr="00971DE7">
        <w:rPr>
          <w:rFonts w:ascii="Arial" w:hAnsi="Arial" w:cs="Arial"/>
          <w:b/>
          <w:snapToGrid w:val="0"/>
          <w:szCs w:val="24"/>
          <w:lang w:val="es-ES" w:eastAsia="es-ES"/>
        </w:rPr>
        <w:t>4.3.</w:t>
      </w:r>
      <w:r>
        <w:rPr>
          <w:rFonts w:ascii="Arial" w:hAnsi="Arial" w:cs="Arial"/>
          <w:b/>
          <w:snapToGrid w:val="0"/>
          <w:szCs w:val="24"/>
          <w:lang w:val="es-ES" w:eastAsia="es-ES"/>
        </w:rPr>
        <w:t>3</w:t>
      </w:r>
      <w:r>
        <w:rPr>
          <w:rFonts w:ascii="Arial" w:hAnsi="Arial" w:cs="Arial"/>
          <w:snapToGrid w:val="0"/>
          <w:szCs w:val="24"/>
          <w:lang w:val="es-ES" w:eastAsia="es-ES"/>
        </w:rPr>
        <w:t xml:space="preserve"> </w:t>
      </w:r>
      <w:r w:rsidRPr="001742AC">
        <w:rPr>
          <w:rFonts w:ascii="Arial" w:hAnsi="Arial" w:cs="Arial"/>
          <w:snapToGrid w:val="0"/>
          <w:szCs w:val="24"/>
          <w:lang w:val="es-ES" w:eastAsia="es-ES"/>
        </w:rPr>
        <w:t>Establecer en forma expresa la aprobación de los Estados Financieros y el Resultado del Ejercicio en el acta de la Sesión en que se consideren (Numeral 1).</w:t>
      </w:r>
    </w:p>
    <w:p w:rsidR="00DA702C" w:rsidRDefault="00DA702C" w:rsidP="00DA47BD">
      <w:pPr>
        <w:widowControl w:val="0"/>
        <w:spacing w:after="0" w:line="360" w:lineRule="auto"/>
        <w:jc w:val="both"/>
        <w:rPr>
          <w:rFonts w:ascii="Arial" w:hAnsi="Arial" w:cs="Arial"/>
          <w:snapToGrid w:val="0"/>
          <w:szCs w:val="24"/>
          <w:lang w:val="es-ES" w:eastAsia="es-ES"/>
        </w:rPr>
      </w:pPr>
      <w:r w:rsidRPr="001742AC">
        <w:rPr>
          <w:rFonts w:ascii="Arial" w:hAnsi="Arial" w:cs="Arial"/>
          <w:b/>
          <w:snapToGrid w:val="0"/>
          <w:szCs w:val="24"/>
          <w:lang w:val="es-ES" w:eastAsia="es-ES"/>
        </w:rPr>
        <w:t>4.3.4</w:t>
      </w:r>
      <w:r>
        <w:rPr>
          <w:rFonts w:ascii="Arial" w:hAnsi="Arial" w:cs="Arial"/>
          <w:snapToGrid w:val="0"/>
          <w:szCs w:val="24"/>
          <w:lang w:val="es-ES" w:eastAsia="es-ES"/>
        </w:rPr>
        <w:t xml:space="preserve"> Considerar lo mencionado en el Numeral 2.2 al confeccionar el Estado de Origen y Aplicación de Fondos.</w:t>
      </w:r>
    </w:p>
    <w:p w:rsidR="00DA702C" w:rsidRPr="00DC6B12" w:rsidRDefault="00DA702C" w:rsidP="00DA47BD">
      <w:pPr>
        <w:widowControl w:val="0"/>
        <w:spacing w:after="0" w:line="360" w:lineRule="auto"/>
        <w:jc w:val="both"/>
        <w:rPr>
          <w:rFonts w:ascii="Arial" w:hAnsi="Arial" w:cs="Arial"/>
          <w:snapToGrid w:val="0"/>
          <w:szCs w:val="24"/>
          <w:lang w:val="es-ES" w:eastAsia="es-ES"/>
        </w:rPr>
      </w:pPr>
      <w:r w:rsidRPr="00971DE7">
        <w:rPr>
          <w:rFonts w:ascii="Arial" w:hAnsi="Arial" w:cs="Arial"/>
          <w:b/>
          <w:snapToGrid w:val="0"/>
          <w:szCs w:val="24"/>
          <w:lang w:val="es-ES" w:eastAsia="es-ES"/>
        </w:rPr>
        <w:t>4.3.</w:t>
      </w:r>
      <w:r>
        <w:rPr>
          <w:rFonts w:ascii="Arial" w:hAnsi="Arial" w:cs="Arial"/>
          <w:b/>
          <w:snapToGrid w:val="0"/>
          <w:szCs w:val="24"/>
          <w:lang w:val="es-ES" w:eastAsia="es-ES"/>
        </w:rPr>
        <w:t>5</w:t>
      </w:r>
      <w:r>
        <w:rPr>
          <w:rFonts w:ascii="Arial" w:hAnsi="Arial" w:cs="Arial"/>
          <w:snapToGrid w:val="0"/>
          <w:szCs w:val="24"/>
          <w:lang w:val="es-ES" w:eastAsia="es-ES"/>
        </w:rPr>
        <w:t xml:space="preserve"> </w:t>
      </w:r>
      <w:r w:rsidRPr="00A00DD3">
        <w:rPr>
          <w:rFonts w:ascii="Arial" w:hAnsi="Arial" w:cs="Arial"/>
          <w:snapToGrid w:val="0"/>
          <w:szCs w:val="24"/>
          <w:lang w:val="es-ES" w:eastAsia="es-ES"/>
        </w:rPr>
        <w:t xml:space="preserve">Realizar la conciliación entre los Estados Financieros y la Ejecución Presupuestal de acuerdo a lo previsto </w:t>
      </w:r>
      <w:r>
        <w:rPr>
          <w:rFonts w:ascii="Arial" w:hAnsi="Arial" w:cs="Arial"/>
          <w:snapToGrid w:val="0"/>
          <w:szCs w:val="24"/>
          <w:lang w:val="es-ES" w:eastAsia="es-ES"/>
        </w:rPr>
        <w:t>en la NICSP 24 (Numeral 3.1).</w:t>
      </w:r>
    </w:p>
    <w:p w:rsidR="00DA702C" w:rsidRDefault="00DA702C" w:rsidP="00DA47BD">
      <w:pPr>
        <w:widowControl w:val="0"/>
        <w:spacing w:after="0" w:line="360" w:lineRule="auto"/>
        <w:jc w:val="both"/>
        <w:rPr>
          <w:rFonts w:ascii="Arial" w:hAnsi="Arial" w:cs="Arial"/>
          <w:snapToGrid w:val="0"/>
          <w:szCs w:val="24"/>
          <w:lang w:val="es-ES" w:eastAsia="es-ES"/>
        </w:rPr>
      </w:pPr>
      <w:r w:rsidRPr="00971DE7">
        <w:rPr>
          <w:rFonts w:ascii="Arial" w:hAnsi="Arial" w:cs="Arial"/>
          <w:b/>
          <w:snapToGrid w:val="0"/>
          <w:szCs w:val="24"/>
          <w:lang w:val="es-ES" w:eastAsia="es-ES"/>
        </w:rPr>
        <w:t>4.3.</w:t>
      </w:r>
      <w:r>
        <w:rPr>
          <w:rFonts w:ascii="Arial" w:hAnsi="Arial" w:cs="Arial"/>
          <w:b/>
          <w:snapToGrid w:val="0"/>
          <w:szCs w:val="24"/>
          <w:lang w:val="es-ES" w:eastAsia="es-ES"/>
        </w:rPr>
        <w:t>6</w:t>
      </w:r>
      <w:r>
        <w:rPr>
          <w:rFonts w:ascii="Arial" w:hAnsi="Arial" w:cs="Arial"/>
          <w:snapToGrid w:val="0"/>
          <w:szCs w:val="24"/>
          <w:lang w:val="es-ES" w:eastAsia="es-ES"/>
        </w:rPr>
        <w:t xml:space="preserve"> Revelar el método de depreciación utilizado para los Bienes de Uso. </w:t>
      </w:r>
      <w:r w:rsidRPr="00A00DD3">
        <w:rPr>
          <w:rFonts w:ascii="Arial" w:hAnsi="Arial" w:cs="Arial"/>
          <w:snapToGrid w:val="0"/>
          <w:szCs w:val="24"/>
          <w:lang w:val="es-ES" w:eastAsia="es-ES"/>
        </w:rPr>
        <w:t xml:space="preserve">Contabilizar la depreciación de cada activo desde el momento en que se encuentra disponible para su uso de acuerdo a lo dispuesto </w:t>
      </w:r>
      <w:r>
        <w:rPr>
          <w:rFonts w:ascii="Arial" w:hAnsi="Arial" w:cs="Arial"/>
          <w:snapToGrid w:val="0"/>
          <w:szCs w:val="24"/>
          <w:lang w:val="es-ES" w:eastAsia="es-ES"/>
        </w:rPr>
        <w:t>en el párrafo 71 de la NICSP 17 (Numeral 3.3).</w:t>
      </w:r>
    </w:p>
    <w:p w:rsidR="00DA702C" w:rsidRPr="00A00DD3" w:rsidRDefault="00DA702C" w:rsidP="00DA47BD">
      <w:pPr>
        <w:widowControl w:val="0"/>
        <w:spacing w:after="0" w:line="360" w:lineRule="auto"/>
        <w:jc w:val="both"/>
        <w:rPr>
          <w:rFonts w:ascii="Arial" w:hAnsi="Arial" w:cs="Arial"/>
          <w:snapToGrid w:val="0"/>
          <w:szCs w:val="24"/>
          <w:lang w:val="es-ES" w:eastAsia="es-ES"/>
        </w:rPr>
      </w:pPr>
      <w:r w:rsidRPr="00971DE7">
        <w:rPr>
          <w:rFonts w:ascii="Arial" w:hAnsi="Arial" w:cs="Arial"/>
          <w:b/>
          <w:bCs/>
          <w:szCs w:val="24"/>
          <w:lang w:eastAsia="es-ES"/>
        </w:rPr>
        <w:t>4.3.</w:t>
      </w:r>
      <w:r>
        <w:rPr>
          <w:rFonts w:ascii="Arial" w:hAnsi="Arial" w:cs="Arial"/>
          <w:b/>
          <w:bCs/>
          <w:szCs w:val="24"/>
          <w:lang w:eastAsia="es-ES"/>
        </w:rPr>
        <w:t>7</w:t>
      </w:r>
      <w:r>
        <w:rPr>
          <w:rFonts w:ascii="Arial" w:hAnsi="Arial" w:cs="Arial"/>
          <w:bCs/>
          <w:szCs w:val="24"/>
          <w:lang w:eastAsia="es-ES"/>
        </w:rPr>
        <w:t xml:space="preserve"> Dejar</w:t>
      </w:r>
      <w:r w:rsidRPr="00921EFA">
        <w:rPr>
          <w:rFonts w:ascii="Arial" w:hAnsi="Arial" w:cs="Arial"/>
          <w:bCs/>
          <w:szCs w:val="24"/>
          <w:lang w:eastAsia="es-ES"/>
        </w:rPr>
        <w:t xml:space="preserve"> constancia del corte de documentación </w:t>
      </w:r>
      <w:r>
        <w:rPr>
          <w:rFonts w:ascii="Arial" w:hAnsi="Arial" w:cs="Arial"/>
          <w:bCs/>
          <w:szCs w:val="24"/>
          <w:lang w:eastAsia="es-ES"/>
        </w:rPr>
        <w:t>en los arqueos de Tesorería (Numeral 3.4).</w:t>
      </w:r>
    </w:p>
    <w:p w:rsidR="00DA702C" w:rsidRDefault="00DA702C" w:rsidP="00DA47BD">
      <w:pPr>
        <w:spacing w:after="0" w:line="360" w:lineRule="auto"/>
        <w:jc w:val="right"/>
        <w:rPr>
          <w:rFonts w:ascii="Arial" w:hAnsi="Arial" w:cs="Arial"/>
          <w:snapToGrid w:val="0"/>
          <w:szCs w:val="24"/>
          <w:lang w:val="es-ES" w:eastAsia="es-ES"/>
        </w:rPr>
      </w:pPr>
      <w:r w:rsidRPr="00DB781A">
        <w:rPr>
          <w:rFonts w:ascii="Arial" w:hAnsi="Arial" w:cs="Arial"/>
          <w:snapToGrid w:val="0"/>
          <w:szCs w:val="24"/>
          <w:lang w:val="es-ES" w:eastAsia="es-ES"/>
        </w:rPr>
        <w:t xml:space="preserve">Montevideo, </w:t>
      </w:r>
      <w:r w:rsidR="00865127">
        <w:rPr>
          <w:rFonts w:ascii="Arial" w:hAnsi="Arial" w:cs="Arial"/>
          <w:snapToGrid w:val="0"/>
          <w:szCs w:val="24"/>
          <w:lang w:val="es-ES" w:eastAsia="es-ES"/>
        </w:rPr>
        <w:t>17 de mayo de 2018</w:t>
      </w:r>
    </w:p>
    <w:p w:rsidR="00DA702C" w:rsidRPr="00DA702C" w:rsidRDefault="00DA702C" w:rsidP="00DA702C">
      <w:pPr>
        <w:spacing w:after="0" w:line="360" w:lineRule="auto"/>
        <w:rPr>
          <w:rFonts w:ascii="Arial" w:hAnsi="Arial" w:cs="Arial"/>
          <w:sz w:val="20"/>
          <w:szCs w:val="20"/>
          <w:lang w:val="es-ES" w:eastAsia="es-ES"/>
        </w:rPr>
      </w:pPr>
      <w:r>
        <w:rPr>
          <w:rFonts w:ascii="Arial" w:hAnsi="Arial" w:cs="Arial"/>
          <w:snapToGrid w:val="0"/>
          <w:sz w:val="20"/>
          <w:szCs w:val="20"/>
          <w:lang w:val="es-ES" w:eastAsia="es-ES"/>
        </w:rPr>
        <w:t>CLC</w:t>
      </w:r>
    </w:p>
    <w:sectPr w:rsidR="00DA702C" w:rsidRPr="00DA702C" w:rsidSect="00435800">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4BCA"/>
    <w:multiLevelType w:val="multilevel"/>
    <w:tmpl w:val="B2866286"/>
    <w:lvl w:ilvl="0">
      <w:start w:val="6"/>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8642153"/>
    <w:multiLevelType w:val="hybridMultilevel"/>
    <w:tmpl w:val="4D9EFE80"/>
    <w:lvl w:ilvl="0" w:tplc="286C1D5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155040C8"/>
    <w:multiLevelType w:val="multilevel"/>
    <w:tmpl w:val="9C5854EE"/>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7C45F5E"/>
    <w:multiLevelType w:val="hybridMultilevel"/>
    <w:tmpl w:val="E6FABF46"/>
    <w:lvl w:ilvl="0" w:tplc="68E6CFAE">
      <w:start w:val="1"/>
      <w:numFmt w:val="lowerLetter"/>
      <w:lvlText w:val="%1)"/>
      <w:lvlJc w:val="left"/>
      <w:pPr>
        <w:ind w:left="1800" w:hanging="360"/>
      </w:pPr>
      <w:rPr>
        <w:rFonts w:hint="default"/>
        <w:b/>
      </w:rPr>
    </w:lvl>
    <w:lvl w:ilvl="1" w:tplc="380A0019" w:tentative="1">
      <w:start w:val="1"/>
      <w:numFmt w:val="lowerLetter"/>
      <w:lvlText w:val="%2."/>
      <w:lvlJc w:val="left"/>
      <w:pPr>
        <w:ind w:left="2520" w:hanging="360"/>
      </w:pPr>
    </w:lvl>
    <w:lvl w:ilvl="2" w:tplc="380A001B" w:tentative="1">
      <w:start w:val="1"/>
      <w:numFmt w:val="lowerRoman"/>
      <w:lvlText w:val="%3."/>
      <w:lvlJc w:val="right"/>
      <w:pPr>
        <w:ind w:left="3240" w:hanging="180"/>
      </w:pPr>
    </w:lvl>
    <w:lvl w:ilvl="3" w:tplc="380A000F" w:tentative="1">
      <w:start w:val="1"/>
      <w:numFmt w:val="decimal"/>
      <w:lvlText w:val="%4."/>
      <w:lvlJc w:val="left"/>
      <w:pPr>
        <w:ind w:left="3960" w:hanging="360"/>
      </w:pPr>
    </w:lvl>
    <w:lvl w:ilvl="4" w:tplc="380A0019" w:tentative="1">
      <w:start w:val="1"/>
      <w:numFmt w:val="lowerLetter"/>
      <w:lvlText w:val="%5."/>
      <w:lvlJc w:val="left"/>
      <w:pPr>
        <w:ind w:left="4680" w:hanging="360"/>
      </w:pPr>
    </w:lvl>
    <w:lvl w:ilvl="5" w:tplc="380A001B" w:tentative="1">
      <w:start w:val="1"/>
      <w:numFmt w:val="lowerRoman"/>
      <w:lvlText w:val="%6."/>
      <w:lvlJc w:val="right"/>
      <w:pPr>
        <w:ind w:left="5400" w:hanging="180"/>
      </w:pPr>
    </w:lvl>
    <w:lvl w:ilvl="6" w:tplc="380A000F" w:tentative="1">
      <w:start w:val="1"/>
      <w:numFmt w:val="decimal"/>
      <w:lvlText w:val="%7."/>
      <w:lvlJc w:val="left"/>
      <w:pPr>
        <w:ind w:left="6120" w:hanging="360"/>
      </w:pPr>
    </w:lvl>
    <w:lvl w:ilvl="7" w:tplc="380A0019" w:tentative="1">
      <w:start w:val="1"/>
      <w:numFmt w:val="lowerLetter"/>
      <w:lvlText w:val="%8."/>
      <w:lvlJc w:val="left"/>
      <w:pPr>
        <w:ind w:left="6840" w:hanging="360"/>
      </w:pPr>
    </w:lvl>
    <w:lvl w:ilvl="8" w:tplc="380A001B" w:tentative="1">
      <w:start w:val="1"/>
      <w:numFmt w:val="lowerRoman"/>
      <w:lvlText w:val="%9."/>
      <w:lvlJc w:val="right"/>
      <w:pPr>
        <w:ind w:left="7560" w:hanging="180"/>
      </w:pPr>
    </w:lvl>
  </w:abstractNum>
  <w:abstractNum w:abstractNumId="4">
    <w:nsid w:val="47D91408"/>
    <w:multiLevelType w:val="hybridMultilevel"/>
    <w:tmpl w:val="FF504660"/>
    <w:lvl w:ilvl="0" w:tplc="534E633A">
      <w:start w:val="1"/>
      <w:numFmt w:val="lowerLetter"/>
      <w:lvlText w:val="%1)"/>
      <w:lvlJc w:val="left"/>
      <w:pPr>
        <w:ind w:left="1440" w:hanging="360"/>
      </w:pPr>
      <w:rPr>
        <w:rFonts w:hint="default"/>
      </w:rPr>
    </w:lvl>
    <w:lvl w:ilvl="1" w:tplc="380A0019" w:tentative="1">
      <w:start w:val="1"/>
      <w:numFmt w:val="lowerLetter"/>
      <w:lvlText w:val="%2."/>
      <w:lvlJc w:val="left"/>
      <w:pPr>
        <w:ind w:left="2160" w:hanging="360"/>
      </w:pPr>
    </w:lvl>
    <w:lvl w:ilvl="2" w:tplc="380A001B" w:tentative="1">
      <w:start w:val="1"/>
      <w:numFmt w:val="lowerRoman"/>
      <w:lvlText w:val="%3."/>
      <w:lvlJc w:val="right"/>
      <w:pPr>
        <w:ind w:left="2880" w:hanging="180"/>
      </w:pPr>
    </w:lvl>
    <w:lvl w:ilvl="3" w:tplc="380A000F" w:tentative="1">
      <w:start w:val="1"/>
      <w:numFmt w:val="decimal"/>
      <w:lvlText w:val="%4."/>
      <w:lvlJc w:val="left"/>
      <w:pPr>
        <w:ind w:left="3600" w:hanging="360"/>
      </w:pPr>
    </w:lvl>
    <w:lvl w:ilvl="4" w:tplc="380A0019" w:tentative="1">
      <w:start w:val="1"/>
      <w:numFmt w:val="lowerLetter"/>
      <w:lvlText w:val="%5."/>
      <w:lvlJc w:val="left"/>
      <w:pPr>
        <w:ind w:left="4320" w:hanging="360"/>
      </w:pPr>
    </w:lvl>
    <w:lvl w:ilvl="5" w:tplc="380A001B" w:tentative="1">
      <w:start w:val="1"/>
      <w:numFmt w:val="lowerRoman"/>
      <w:lvlText w:val="%6."/>
      <w:lvlJc w:val="right"/>
      <w:pPr>
        <w:ind w:left="5040" w:hanging="180"/>
      </w:pPr>
    </w:lvl>
    <w:lvl w:ilvl="6" w:tplc="380A000F" w:tentative="1">
      <w:start w:val="1"/>
      <w:numFmt w:val="decimal"/>
      <w:lvlText w:val="%7."/>
      <w:lvlJc w:val="left"/>
      <w:pPr>
        <w:ind w:left="5760" w:hanging="360"/>
      </w:pPr>
    </w:lvl>
    <w:lvl w:ilvl="7" w:tplc="380A0019" w:tentative="1">
      <w:start w:val="1"/>
      <w:numFmt w:val="lowerLetter"/>
      <w:lvlText w:val="%8."/>
      <w:lvlJc w:val="left"/>
      <w:pPr>
        <w:ind w:left="6480" w:hanging="360"/>
      </w:pPr>
    </w:lvl>
    <w:lvl w:ilvl="8" w:tplc="380A001B" w:tentative="1">
      <w:start w:val="1"/>
      <w:numFmt w:val="lowerRoman"/>
      <w:lvlText w:val="%9."/>
      <w:lvlJc w:val="right"/>
      <w:pPr>
        <w:ind w:left="7200" w:hanging="180"/>
      </w:pPr>
    </w:lvl>
  </w:abstractNum>
  <w:abstractNum w:abstractNumId="5">
    <w:nsid w:val="4FF125F2"/>
    <w:multiLevelType w:val="multilevel"/>
    <w:tmpl w:val="F134D83E"/>
    <w:lvl w:ilvl="0">
      <w:start w:val="6"/>
      <w:numFmt w:val="decimal"/>
      <w:lvlText w:val="%1."/>
      <w:lvlJc w:val="left"/>
      <w:pPr>
        <w:ind w:left="600" w:hanging="600"/>
      </w:pPr>
      <w:rPr>
        <w:rFonts w:hint="default"/>
        <w:color w:val="auto"/>
      </w:rPr>
    </w:lvl>
    <w:lvl w:ilvl="1">
      <w:start w:val="2"/>
      <w:numFmt w:val="decimal"/>
      <w:lvlText w:val="%1.%2."/>
      <w:lvlJc w:val="left"/>
      <w:pPr>
        <w:ind w:left="862" w:hanging="720"/>
      </w:pPr>
      <w:rPr>
        <w:rFonts w:hint="default"/>
        <w:color w:val="auto"/>
      </w:rPr>
    </w:lvl>
    <w:lvl w:ilvl="2">
      <w:start w:val="5"/>
      <w:numFmt w:val="decimal"/>
      <w:lvlText w:val="%1.%2.%3)"/>
      <w:lvlJc w:val="left"/>
      <w:pPr>
        <w:ind w:left="1004" w:hanging="720"/>
      </w:pPr>
      <w:rPr>
        <w:rFonts w:hint="default"/>
        <w:b/>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2150" w:hanging="144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794" w:hanging="1800"/>
      </w:pPr>
      <w:rPr>
        <w:rFonts w:hint="default"/>
        <w:color w:val="auto"/>
      </w:rPr>
    </w:lvl>
    <w:lvl w:ilvl="8">
      <w:start w:val="1"/>
      <w:numFmt w:val="decimal"/>
      <w:lvlText w:val="%1.%2.%3)%4.%5.%6.%7.%8.%9."/>
      <w:lvlJc w:val="left"/>
      <w:pPr>
        <w:ind w:left="3296" w:hanging="2160"/>
      </w:pPr>
      <w:rPr>
        <w:rFonts w:hint="default"/>
        <w:color w:val="auto"/>
      </w:rPr>
    </w:lvl>
  </w:abstractNum>
  <w:abstractNum w:abstractNumId="6">
    <w:nsid w:val="529972E0"/>
    <w:multiLevelType w:val="hybridMultilevel"/>
    <w:tmpl w:val="AE5CB1FE"/>
    <w:lvl w:ilvl="0" w:tplc="7674BFEE">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nsid w:val="59333994"/>
    <w:multiLevelType w:val="hybridMultilevel"/>
    <w:tmpl w:val="4B8E1AC4"/>
    <w:lvl w:ilvl="0" w:tplc="1A42CF44">
      <w:start w:val="1"/>
      <w:numFmt w:val="decimal"/>
      <w:lvlText w:val="%1)"/>
      <w:lvlJc w:val="left"/>
      <w:pPr>
        <w:ind w:left="720" w:hanging="360"/>
      </w:pPr>
      <w:rPr>
        <w:rFonts w:ascii="Arial" w:eastAsia="Times New Roman" w:hAnsi="Arial" w:cs="Arial"/>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62B46690"/>
    <w:multiLevelType w:val="hybridMultilevel"/>
    <w:tmpl w:val="3DA66C2E"/>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
    <w:nsid w:val="704A2711"/>
    <w:multiLevelType w:val="multilevel"/>
    <w:tmpl w:val="968018A0"/>
    <w:lvl w:ilvl="0">
      <w:start w:val="6"/>
      <w:numFmt w:val="decimal"/>
      <w:lvlText w:val="%1."/>
      <w:lvlJc w:val="left"/>
      <w:pPr>
        <w:ind w:left="600" w:hanging="600"/>
      </w:pPr>
      <w:rPr>
        <w:rFonts w:hint="default"/>
      </w:rPr>
    </w:lvl>
    <w:lvl w:ilvl="1">
      <w:start w:val="1"/>
      <w:numFmt w:val="decimal"/>
      <w:lvlText w:val="%1.%2."/>
      <w:lvlJc w:val="left"/>
      <w:pPr>
        <w:ind w:left="862" w:hanging="720"/>
      </w:pPr>
      <w:rPr>
        <w:rFonts w:hint="default"/>
      </w:rPr>
    </w:lvl>
    <w:lvl w:ilvl="2">
      <w:start w:val="4"/>
      <w:numFmt w:val="decimal"/>
      <w:lvlText w:val="%1.%2.%3)"/>
      <w:lvlJc w:val="left"/>
      <w:pPr>
        <w:ind w:left="1571"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743D23DB"/>
    <w:multiLevelType w:val="hybridMultilevel"/>
    <w:tmpl w:val="9E5CA6EE"/>
    <w:lvl w:ilvl="0" w:tplc="380A0011">
      <w:start w:val="1"/>
      <w:numFmt w:val="decimal"/>
      <w:lvlText w:val="%1)"/>
      <w:lvlJc w:val="left"/>
      <w:pPr>
        <w:ind w:left="3338" w:hanging="360"/>
      </w:pPr>
      <w:rPr>
        <w:rFonts w:hint="default"/>
      </w:rPr>
    </w:lvl>
    <w:lvl w:ilvl="1" w:tplc="380A0019" w:tentative="1">
      <w:start w:val="1"/>
      <w:numFmt w:val="lowerLetter"/>
      <w:lvlText w:val="%2."/>
      <w:lvlJc w:val="left"/>
      <w:pPr>
        <w:ind w:left="4058" w:hanging="360"/>
      </w:pPr>
    </w:lvl>
    <w:lvl w:ilvl="2" w:tplc="380A001B" w:tentative="1">
      <w:start w:val="1"/>
      <w:numFmt w:val="lowerRoman"/>
      <w:lvlText w:val="%3."/>
      <w:lvlJc w:val="right"/>
      <w:pPr>
        <w:ind w:left="4778" w:hanging="180"/>
      </w:pPr>
    </w:lvl>
    <w:lvl w:ilvl="3" w:tplc="380A000F" w:tentative="1">
      <w:start w:val="1"/>
      <w:numFmt w:val="decimal"/>
      <w:lvlText w:val="%4."/>
      <w:lvlJc w:val="left"/>
      <w:pPr>
        <w:ind w:left="5498" w:hanging="360"/>
      </w:pPr>
    </w:lvl>
    <w:lvl w:ilvl="4" w:tplc="380A0019" w:tentative="1">
      <w:start w:val="1"/>
      <w:numFmt w:val="lowerLetter"/>
      <w:lvlText w:val="%5."/>
      <w:lvlJc w:val="left"/>
      <w:pPr>
        <w:ind w:left="6218" w:hanging="360"/>
      </w:pPr>
    </w:lvl>
    <w:lvl w:ilvl="5" w:tplc="380A001B" w:tentative="1">
      <w:start w:val="1"/>
      <w:numFmt w:val="lowerRoman"/>
      <w:lvlText w:val="%6."/>
      <w:lvlJc w:val="right"/>
      <w:pPr>
        <w:ind w:left="6938" w:hanging="180"/>
      </w:pPr>
    </w:lvl>
    <w:lvl w:ilvl="6" w:tplc="380A000F" w:tentative="1">
      <w:start w:val="1"/>
      <w:numFmt w:val="decimal"/>
      <w:lvlText w:val="%7."/>
      <w:lvlJc w:val="left"/>
      <w:pPr>
        <w:ind w:left="7658" w:hanging="360"/>
      </w:pPr>
    </w:lvl>
    <w:lvl w:ilvl="7" w:tplc="380A0019" w:tentative="1">
      <w:start w:val="1"/>
      <w:numFmt w:val="lowerLetter"/>
      <w:lvlText w:val="%8."/>
      <w:lvlJc w:val="left"/>
      <w:pPr>
        <w:ind w:left="8378" w:hanging="360"/>
      </w:pPr>
    </w:lvl>
    <w:lvl w:ilvl="8" w:tplc="380A001B" w:tentative="1">
      <w:start w:val="1"/>
      <w:numFmt w:val="lowerRoman"/>
      <w:lvlText w:val="%9."/>
      <w:lvlJc w:val="right"/>
      <w:pPr>
        <w:ind w:left="9098" w:hanging="180"/>
      </w:pPr>
    </w:lvl>
  </w:abstractNum>
  <w:num w:numId="1">
    <w:abstractNumId w:val="7"/>
  </w:num>
  <w:num w:numId="2">
    <w:abstractNumId w:val="8"/>
  </w:num>
  <w:num w:numId="3">
    <w:abstractNumId w:val="3"/>
  </w:num>
  <w:num w:numId="4">
    <w:abstractNumId w:val="4"/>
  </w:num>
  <w:num w:numId="5">
    <w:abstractNumId w:val="5"/>
  </w:num>
  <w:num w:numId="6">
    <w:abstractNumId w:val="0"/>
  </w:num>
  <w:num w:numId="7">
    <w:abstractNumId w:val="9"/>
  </w:num>
  <w:num w:numId="8">
    <w:abstractNumId w:val="1"/>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B3"/>
    <w:rsid w:val="00260B9E"/>
    <w:rsid w:val="002D3482"/>
    <w:rsid w:val="00313CB3"/>
    <w:rsid w:val="00435800"/>
    <w:rsid w:val="00451AF5"/>
    <w:rsid w:val="004D035A"/>
    <w:rsid w:val="00545330"/>
    <w:rsid w:val="005B1EAB"/>
    <w:rsid w:val="00764B52"/>
    <w:rsid w:val="007A0B7D"/>
    <w:rsid w:val="00865127"/>
    <w:rsid w:val="00900A26"/>
    <w:rsid w:val="009A27C8"/>
    <w:rsid w:val="00A4712B"/>
    <w:rsid w:val="00B5587A"/>
    <w:rsid w:val="00BA588D"/>
    <w:rsid w:val="00BE5E2B"/>
    <w:rsid w:val="00D5770D"/>
    <w:rsid w:val="00DA47BD"/>
    <w:rsid w:val="00DA702C"/>
    <w:rsid w:val="00F35DF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EAB"/>
    <w:rPr>
      <w:rFonts w:ascii="Calibri" w:eastAsia="Times New Roman" w:hAnsi="Calibri" w:cs="Times New Roman"/>
      <w:sz w:val="24"/>
      <w:lang w:eastAsia="es-UY"/>
    </w:rPr>
  </w:style>
  <w:style w:type="paragraph" w:styleId="Ttulo2">
    <w:name w:val="heading 2"/>
    <w:basedOn w:val="Normal"/>
    <w:next w:val="Normal"/>
    <w:link w:val="Ttulo2Car"/>
    <w:qFormat/>
    <w:rsid w:val="004D035A"/>
    <w:pPr>
      <w:keepNext/>
      <w:spacing w:after="0" w:line="360" w:lineRule="auto"/>
      <w:jc w:val="both"/>
      <w:outlineLvl w:val="1"/>
    </w:pPr>
    <w:rPr>
      <w:rFonts w:ascii="Arial" w:hAnsi="Arial" w:cs="Arial"/>
      <w:b/>
      <w:bCs/>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5B1EAB"/>
    <w:pPr>
      <w:spacing w:after="120" w:line="480" w:lineRule="auto"/>
    </w:pPr>
    <w:rPr>
      <w:sz w:val="22"/>
    </w:rPr>
  </w:style>
  <w:style w:type="character" w:customStyle="1" w:styleId="Textoindependiente2Car">
    <w:name w:val="Texto independiente 2 Car"/>
    <w:basedOn w:val="Fuentedeprrafopredeter"/>
    <w:link w:val="Textoindependiente2"/>
    <w:uiPriority w:val="99"/>
    <w:rsid w:val="005B1EAB"/>
    <w:rPr>
      <w:rFonts w:ascii="Calibri" w:eastAsia="Times New Roman" w:hAnsi="Calibri" w:cs="Times New Roman"/>
      <w:lang w:eastAsia="es-UY"/>
    </w:rPr>
  </w:style>
  <w:style w:type="paragraph" w:customStyle="1" w:styleId="Sangradetindependiente">
    <w:name w:val="SangrÌa de t. independiente"/>
    <w:basedOn w:val="Normal"/>
    <w:rsid w:val="005B1EAB"/>
    <w:pPr>
      <w:tabs>
        <w:tab w:val="left" w:pos="860"/>
      </w:tabs>
      <w:spacing w:after="260" w:line="240" w:lineRule="auto"/>
      <w:jc w:val="both"/>
    </w:pPr>
    <w:rPr>
      <w:rFonts w:ascii="Times" w:hAnsi="Times"/>
      <w:sz w:val="22"/>
      <w:szCs w:val="20"/>
      <w:lang w:val="es-ES" w:eastAsia="es-ES"/>
    </w:rPr>
  </w:style>
  <w:style w:type="paragraph" w:customStyle="1" w:styleId="ndice11">
    <w:name w:val="Índice 11"/>
    <w:aliases w:val="in1"/>
    <w:basedOn w:val="Normal"/>
    <w:next w:val="Normal"/>
    <w:rsid w:val="005B1EAB"/>
    <w:pPr>
      <w:tabs>
        <w:tab w:val="right" w:pos="3960"/>
      </w:tabs>
      <w:spacing w:before="200" w:after="0" w:line="260" w:lineRule="exact"/>
    </w:pPr>
    <w:rPr>
      <w:rFonts w:ascii="Times" w:hAnsi="Times"/>
      <w:b/>
      <w:sz w:val="22"/>
      <w:szCs w:val="20"/>
      <w:lang w:val="es-ES" w:eastAsia="es-ES"/>
    </w:rPr>
  </w:style>
  <w:style w:type="paragraph" w:styleId="Prrafodelista">
    <w:name w:val="List Paragraph"/>
    <w:basedOn w:val="Normal"/>
    <w:uiPriority w:val="34"/>
    <w:qFormat/>
    <w:rsid w:val="005B1EAB"/>
    <w:pPr>
      <w:ind w:left="720"/>
      <w:contextualSpacing/>
    </w:pPr>
    <w:rPr>
      <w:sz w:val="22"/>
    </w:rPr>
  </w:style>
  <w:style w:type="character" w:customStyle="1" w:styleId="Ttulo2Car">
    <w:name w:val="Título 2 Car"/>
    <w:basedOn w:val="Fuentedeprrafopredeter"/>
    <w:link w:val="Ttulo2"/>
    <w:rsid w:val="004D035A"/>
    <w:rPr>
      <w:rFonts w:ascii="Arial" w:eastAsia="Times New Roman" w:hAnsi="Arial" w:cs="Arial"/>
      <w:b/>
      <w:bCs/>
      <w:sz w:val="24"/>
      <w:szCs w:val="24"/>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EAB"/>
    <w:rPr>
      <w:rFonts w:ascii="Calibri" w:eastAsia="Times New Roman" w:hAnsi="Calibri" w:cs="Times New Roman"/>
      <w:sz w:val="24"/>
      <w:lang w:eastAsia="es-UY"/>
    </w:rPr>
  </w:style>
  <w:style w:type="paragraph" w:styleId="Ttulo2">
    <w:name w:val="heading 2"/>
    <w:basedOn w:val="Normal"/>
    <w:next w:val="Normal"/>
    <w:link w:val="Ttulo2Car"/>
    <w:qFormat/>
    <w:rsid w:val="004D035A"/>
    <w:pPr>
      <w:keepNext/>
      <w:spacing w:after="0" w:line="360" w:lineRule="auto"/>
      <w:jc w:val="both"/>
      <w:outlineLvl w:val="1"/>
    </w:pPr>
    <w:rPr>
      <w:rFonts w:ascii="Arial" w:hAnsi="Arial" w:cs="Arial"/>
      <w:b/>
      <w:bCs/>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5B1EAB"/>
    <w:pPr>
      <w:spacing w:after="120" w:line="480" w:lineRule="auto"/>
    </w:pPr>
    <w:rPr>
      <w:sz w:val="22"/>
    </w:rPr>
  </w:style>
  <w:style w:type="character" w:customStyle="1" w:styleId="Textoindependiente2Car">
    <w:name w:val="Texto independiente 2 Car"/>
    <w:basedOn w:val="Fuentedeprrafopredeter"/>
    <w:link w:val="Textoindependiente2"/>
    <w:uiPriority w:val="99"/>
    <w:rsid w:val="005B1EAB"/>
    <w:rPr>
      <w:rFonts w:ascii="Calibri" w:eastAsia="Times New Roman" w:hAnsi="Calibri" w:cs="Times New Roman"/>
      <w:lang w:eastAsia="es-UY"/>
    </w:rPr>
  </w:style>
  <w:style w:type="paragraph" w:customStyle="1" w:styleId="Sangradetindependiente">
    <w:name w:val="SangrÌa de t. independiente"/>
    <w:basedOn w:val="Normal"/>
    <w:rsid w:val="005B1EAB"/>
    <w:pPr>
      <w:tabs>
        <w:tab w:val="left" w:pos="860"/>
      </w:tabs>
      <w:spacing w:after="260" w:line="240" w:lineRule="auto"/>
      <w:jc w:val="both"/>
    </w:pPr>
    <w:rPr>
      <w:rFonts w:ascii="Times" w:hAnsi="Times"/>
      <w:sz w:val="22"/>
      <w:szCs w:val="20"/>
      <w:lang w:val="es-ES" w:eastAsia="es-ES"/>
    </w:rPr>
  </w:style>
  <w:style w:type="paragraph" w:customStyle="1" w:styleId="ndice11">
    <w:name w:val="Índice 11"/>
    <w:aliases w:val="in1"/>
    <w:basedOn w:val="Normal"/>
    <w:next w:val="Normal"/>
    <w:rsid w:val="005B1EAB"/>
    <w:pPr>
      <w:tabs>
        <w:tab w:val="right" w:pos="3960"/>
      </w:tabs>
      <w:spacing w:before="200" w:after="0" w:line="260" w:lineRule="exact"/>
    </w:pPr>
    <w:rPr>
      <w:rFonts w:ascii="Times" w:hAnsi="Times"/>
      <w:b/>
      <w:sz w:val="22"/>
      <w:szCs w:val="20"/>
      <w:lang w:val="es-ES" w:eastAsia="es-ES"/>
    </w:rPr>
  </w:style>
  <w:style w:type="paragraph" w:styleId="Prrafodelista">
    <w:name w:val="List Paragraph"/>
    <w:basedOn w:val="Normal"/>
    <w:uiPriority w:val="34"/>
    <w:qFormat/>
    <w:rsid w:val="005B1EAB"/>
    <w:pPr>
      <w:ind w:left="720"/>
      <w:contextualSpacing/>
    </w:pPr>
    <w:rPr>
      <w:sz w:val="22"/>
    </w:rPr>
  </w:style>
  <w:style w:type="character" w:customStyle="1" w:styleId="Ttulo2Car">
    <w:name w:val="Título 2 Car"/>
    <w:basedOn w:val="Fuentedeprrafopredeter"/>
    <w:link w:val="Ttulo2"/>
    <w:rsid w:val="004D035A"/>
    <w:rPr>
      <w:rFonts w:ascii="Arial" w:eastAsia="Times New Roman" w:hAnsi="Arial" w:cs="Arial"/>
      <w:b/>
      <w:bCs/>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1919</Words>
  <Characters>10556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 Patricio Young</dc:creator>
  <cp:lastModifiedBy>Tribunal1</cp:lastModifiedBy>
  <cp:revision>9</cp:revision>
  <cp:lastPrinted>2018-07-25T14:42:00Z</cp:lastPrinted>
  <dcterms:created xsi:type="dcterms:W3CDTF">2018-07-25T14:28:00Z</dcterms:created>
  <dcterms:modified xsi:type="dcterms:W3CDTF">2018-09-17T15:55:00Z</dcterms:modified>
</cp:coreProperties>
</file>