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F8" w:rsidRPr="00786EEB" w:rsidRDefault="00697CF8"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2346/18</w:t>
      </w:r>
    </w:p>
    <w:p w:rsidR="00697CF8" w:rsidRDefault="00697CF8" w:rsidP="00786EEB">
      <w:pPr>
        <w:tabs>
          <w:tab w:val="center" w:pos="4253"/>
        </w:tabs>
        <w:suppressAutoHyphens/>
        <w:jc w:val="right"/>
        <w:rPr>
          <w:rFonts w:ascii="Arial" w:hAnsi="Arial" w:cs="Arial"/>
          <w:b/>
          <w:lang w:val="es-ES_tradnl"/>
        </w:rPr>
      </w:pPr>
    </w:p>
    <w:p w:rsidR="00697CF8" w:rsidRPr="00697CF8" w:rsidRDefault="00697CF8" w:rsidP="00697CF8">
      <w:pPr>
        <w:tabs>
          <w:tab w:val="center" w:pos="4253"/>
        </w:tabs>
        <w:suppressAutoHyphens/>
        <w:spacing w:after="0" w:line="240" w:lineRule="auto"/>
        <w:jc w:val="center"/>
        <w:rPr>
          <w:rFonts w:ascii="Arial" w:hAnsi="Arial" w:cs="Arial"/>
          <w:b/>
          <w:sz w:val="24"/>
          <w:szCs w:val="24"/>
          <w:lang w:val="es-ES_tradnl"/>
        </w:rPr>
      </w:pPr>
      <w:r w:rsidRPr="00697CF8">
        <w:rPr>
          <w:rFonts w:ascii="Arial" w:hAnsi="Arial" w:cs="Arial"/>
          <w:b/>
          <w:sz w:val="24"/>
          <w:szCs w:val="24"/>
          <w:lang w:val="es-ES_tradnl"/>
        </w:rPr>
        <w:t>RESOLUCION ADOPTADA POR EL</w:t>
      </w:r>
    </w:p>
    <w:p w:rsidR="00697CF8" w:rsidRPr="00697CF8" w:rsidRDefault="00697CF8" w:rsidP="00697CF8">
      <w:pPr>
        <w:tabs>
          <w:tab w:val="left" w:pos="-720"/>
        </w:tabs>
        <w:suppressAutoHyphens/>
        <w:spacing w:after="0" w:line="240" w:lineRule="auto"/>
        <w:jc w:val="center"/>
        <w:rPr>
          <w:rFonts w:ascii="Arial" w:hAnsi="Arial" w:cs="Arial"/>
          <w:b/>
          <w:sz w:val="24"/>
          <w:szCs w:val="24"/>
          <w:lang w:val="es-ES_tradnl"/>
        </w:rPr>
      </w:pPr>
    </w:p>
    <w:p w:rsidR="00697CF8" w:rsidRPr="00697CF8" w:rsidRDefault="00697CF8" w:rsidP="00697CF8">
      <w:pPr>
        <w:tabs>
          <w:tab w:val="center" w:pos="4253"/>
        </w:tabs>
        <w:suppressAutoHyphens/>
        <w:spacing w:after="0" w:line="240" w:lineRule="auto"/>
        <w:jc w:val="center"/>
        <w:rPr>
          <w:rFonts w:ascii="Arial" w:hAnsi="Arial" w:cs="Arial"/>
          <w:b/>
          <w:sz w:val="24"/>
          <w:szCs w:val="24"/>
          <w:lang w:val="es-ES_tradnl"/>
        </w:rPr>
      </w:pPr>
      <w:r w:rsidRPr="00697CF8">
        <w:rPr>
          <w:rFonts w:ascii="Arial" w:hAnsi="Arial" w:cs="Arial"/>
          <w:b/>
          <w:sz w:val="24"/>
          <w:szCs w:val="24"/>
          <w:lang w:val="es-ES_tradnl"/>
        </w:rPr>
        <w:t>TRIBUNAL DE CUENTAS</w:t>
      </w:r>
    </w:p>
    <w:p w:rsidR="00697CF8" w:rsidRPr="00697CF8" w:rsidRDefault="00697CF8" w:rsidP="00697CF8">
      <w:pPr>
        <w:tabs>
          <w:tab w:val="left" w:pos="-720"/>
        </w:tabs>
        <w:suppressAutoHyphens/>
        <w:spacing w:after="0" w:line="240" w:lineRule="auto"/>
        <w:jc w:val="center"/>
        <w:rPr>
          <w:rFonts w:ascii="Arial" w:hAnsi="Arial" w:cs="Arial"/>
          <w:b/>
          <w:sz w:val="24"/>
          <w:szCs w:val="24"/>
          <w:lang w:val="es-ES_tradnl"/>
        </w:rPr>
      </w:pPr>
    </w:p>
    <w:p w:rsidR="00697CF8" w:rsidRPr="00697CF8" w:rsidRDefault="00697CF8" w:rsidP="00697CF8">
      <w:pPr>
        <w:tabs>
          <w:tab w:val="center" w:pos="4253"/>
        </w:tabs>
        <w:suppressAutoHyphens/>
        <w:spacing w:after="0" w:line="240" w:lineRule="auto"/>
        <w:jc w:val="center"/>
        <w:rPr>
          <w:rFonts w:ascii="Arial" w:hAnsi="Arial" w:cs="Arial"/>
          <w:b/>
          <w:color w:val="0D0D0D"/>
          <w:sz w:val="24"/>
          <w:szCs w:val="24"/>
          <w:lang w:val="es-ES_tradnl"/>
        </w:rPr>
      </w:pPr>
      <w:r w:rsidRPr="00697CF8">
        <w:rPr>
          <w:rFonts w:ascii="Arial" w:hAnsi="Arial" w:cs="Arial"/>
          <w:b/>
          <w:sz w:val="24"/>
          <w:szCs w:val="24"/>
          <w:lang w:val="es-ES_tradnl"/>
        </w:rPr>
        <w:t xml:space="preserve">EN SESION DE FECHA </w:t>
      </w:r>
      <w:r w:rsidRPr="00697CF8">
        <w:rPr>
          <w:rFonts w:ascii="Arial" w:hAnsi="Arial" w:cs="Arial"/>
          <w:b/>
          <w:color w:val="0D0D0D"/>
          <w:sz w:val="24"/>
          <w:szCs w:val="24"/>
          <w:lang w:val="es-ES_tradnl"/>
        </w:rPr>
        <w:t>19 DE JULIO DE 2018</w:t>
      </w:r>
    </w:p>
    <w:p w:rsidR="00697CF8" w:rsidRPr="00697CF8" w:rsidRDefault="00697CF8" w:rsidP="00697CF8">
      <w:pPr>
        <w:tabs>
          <w:tab w:val="center" w:pos="4253"/>
        </w:tabs>
        <w:suppressAutoHyphens/>
        <w:spacing w:after="0" w:line="240" w:lineRule="auto"/>
        <w:jc w:val="center"/>
        <w:rPr>
          <w:rFonts w:ascii="Arial" w:hAnsi="Arial" w:cs="Arial"/>
          <w:b/>
          <w:color w:val="FF0000"/>
          <w:sz w:val="24"/>
          <w:szCs w:val="24"/>
          <w:lang w:val="es-ES_tradnl"/>
        </w:rPr>
      </w:pPr>
    </w:p>
    <w:p w:rsidR="00697CF8" w:rsidRPr="00902D3D" w:rsidRDefault="00697CF8" w:rsidP="00697CF8">
      <w:pPr>
        <w:tabs>
          <w:tab w:val="center" w:pos="4253"/>
        </w:tabs>
        <w:suppressAutoHyphens/>
        <w:spacing w:after="0" w:line="240" w:lineRule="auto"/>
        <w:jc w:val="center"/>
        <w:rPr>
          <w:rFonts w:ascii="Arial" w:hAnsi="Arial" w:cs="Arial"/>
          <w:b/>
          <w:sz w:val="24"/>
          <w:szCs w:val="24"/>
        </w:rPr>
      </w:pPr>
      <w:r w:rsidRPr="00902D3D">
        <w:rPr>
          <w:rFonts w:ascii="Arial" w:hAnsi="Arial" w:cs="Arial"/>
          <w:b/>
          <w:sz w:val="24"/>
          <w:szCs w:val="24"/>
        </w:rPr>
        <w:t xml:space="preserve">(E. E. Nº 2017-17-1-0006630, </w:t>
      </w:r>
      <w:proofErr w:type="spellStart"/>
      <w:r w:rsidRPr="00902D3D">
        <w:rPr>
          <w:rFonts w:ascii="Arial" w:hAnsi="Arial" w:cs="Arial"/>
          <w:b/>
          <w:sz w:val="24"/>
          <w:szCs w:val="24"/>
        </w:rPr>
        <w:t>Ent</w:t>
      </w:r>
      <w:proofErr w:type="spellEnd"/>
      <w:r w:rsidRPr="00902D3D">
        <w:rPr>
          <w:rFonts w:ascii="Arial" w:hAnsi="Arial" w:cs="Arial"/>
          <w:b/>
          <w:sz w:val="24"/>
          <w:szCs w:val="24"/>
        </w:rPr>
        <w:t>. N° 5287/18)</w:t>
      </w:r>
    </w:p>
    <w:p w:rsidR="00697CF8" w:rsidRDefault="00697CF8" w:rsidP="00697CF8">
      <w:pPr>
        <w:spacing w:after="0" w:line="360" w:lineRule="auto"/>
        <w:jc w:val="both"/>
        <w:rPr>
          <w:rFonts w:ascii="Arial" w:eastAsia="Times New Roman" w:hAnsi="Arial" w:cs="Arial"/>
          <w:b/>
          <w:sz w:val="24"/>
          <w:szCs w:val="24"/>
          <w:lang w:eastAsia="es-UY"/>
        </w:rPr>
      </w:pPr>
    </w:p>
    <w:p w:rsidR="00697CF8" w:rsidRDefault="00697CF8" w:rsidP="00697CF8">
      <w:pPr>
        <w:spacing w:after="0" w:line="360" w:lineRule="auto"/>
        <w:ind w:firstLine="851"/>
        <w:jc w:val="both"/>
        <w:rPr>
          <w:rFonts w:ascii="Arial" w:eastAsia="Times New Roman" w:hAnsi="Arial" w:cs="Arial"/>
          <w:sz w:val="24"/>
          <w:szCs w:val="24"/>
          <w:lang w:eastAsia="es-UY"/>
        </w:rPr>
      </w:pPr>
      <w:r w:rsidRPr="00C01A4A">
        <w:rPr>
          <w:rFonts w:ascii="Arial" w:eastAsia="Times New Roman" w:hAnsi="Arial" w:cs="Arial"/>
          <w:b/>
          <w:sz w:val="24"/>
          <w:szCs w:val="24"/>
          <w:lang w:eastAsia="es-UY"/>
        </w:rPr>
        <w:t>VISTO:</w:t>
      </w:r>
      <w:r w:rsidRPr="00C01A4A">
        <w:rPr>
          <w:rFonts w:ascii="Arial" w:eastAsia="Times New Roman" w:hAnsi="Arial" w:cs="Arial"/>
          <w:sz w:val="24"/>
          <w:szCs w:val="24"/>
          <w:lang w:eastAsia="es-UY"/>
        </w:rPr>
        <w:t xml:space="preserve"> que este Tribunal ha examinado los Estados Contables de la Cámara de Representantes correspondientes al Ejercicio 2016 así como el cumplimiento de las disposiciones legales vigentes;</w:t>
      </w:r>
    </w:p>
    <w:p w:rsidR="00697CF8" w:rsidRDefault="00697CF8" w:rsidP="00697CF8">
      <w:pPr>
        <w:spacing w:after="0" w:line="360" w:lineRule="auto"/>
        <w:ind w:firstLine="851"/>
        <w:jc w:val="both"/>
        <w:rPr>
          <w:rFonts w:ascii="Arial" w:eastAsia="Times New Roman" w:hAnsi="Arial" w:cs="Arial"/>
          <w:sz w:val="24"/>
          <w:szCs w:val="24"/>
          <w:lang w:val="es-MX" w:eastAsia="es-ES"/>
        </w:rPr>
      </w:pPr>
      <w:r w:rsidRPr="00C01A4A">
        <w:rPr>
          <w:rFonts w:ascii="Arial" w:eastAsia="Times New Roman" w:hAnsi="Arial" w:cs="Arial"/>
          <w:b/>
          <w:sz w:val="24"/>
          <w:szCs w:val="24"/>
          <w:lang w:val="es-MX" w:eastAsia="es-ES"/>
        </w:rPr>
        <w:t xml:space="preserve">RESULTANDO: </w:t>
      </w:r>
      <w:r w:rsidRPr="00C01A4A">
        <w:rPr>
          <w:rFonts w:ascii="Arial" w:eastAsia="Times New Roman" w:hAnsi="Arial" w:cs="Arial"/>
          <w:sz w:val="24"/>
          <w:szCs w:val="24"/>
          <w:lang w:val="es-MX" w:eastAsia="es-ES"/>
        </w:rPr>
        <w:t>que la auditoría fue practicada de acuerdo con los Principios Fundamentales de Auditoría (ISSAI 100 y 200) de la Organización Internacional de Entidades Fiscalizadoras Superiores (INTOSAI);</w:t>
      </w:r>
    </w:p>
    <w:p w:rsidR="00697CF8" w:rsidRDefault="00697CF8" w:rsidP="00697CF8">
      <w:pPr>
        <w:spacing w:after="0" w:line="360" w:lineRule="auto"/>
        <w:ind w:firstLine="851"/>
        <w:jc w:val="both"/>
        <w:rPr>
          <w:rFonts w:ascii="Arial" w:eastAsia="Times New Roman" w:hAnsi="Arial" w:cs="Arial"/>
          <w:sz w:val="24"/>
          <w:szCs w:val="24"/>
          <w:lang w:val="es-MX" w:eastAsia="es-ES"/>
        </w:rPr>
      </w:pPr>
      <w:r w:rsidRPr="00C01A4A">
        <w:rPr>
          <w:rFonts w:ascii="Arial" w:eastAsia="Times New Roman" w:hAnsi="Arial" w:cs="Arial"/>
          <w:b/>
          <w:sz w:val="24"/>
          <w:szCs w:val="24"/>
          <w:lang w:val="es-MX" w:eastAsia="es-ES"/>
        </w:rPr>
        <w:t>CONSIDERANDO:</w:t>
      </w:r>
      <w:r w:rsidRPr="00C01A4A">
        <w:rPr>
          <w:rFonts w:ascii="Arial" w:eastAsia="Times New Roman" w:hAnsi="Arial" w:cs="Arial"/>
          <w:sz w:val="24"/>
          <w:szCs w:val="24"/>
          <w:lang w:val="es-MX" w:eastAsia="es-ES"/>
        </w:rPr>
        <w:t xml:space="preserve"> que las conclusiones y evidencias obtenidas son las que se expresan en el informe de Auditoría que incluye Dictamen e Informe a la Administración;</w:t>
      </w:r>
    </w:p>
    <w:p w:rsidR="00697CF8" w:rsidRPr="00C01A4A" w:rsidRDefault="00697CF8" w:rsidP="00697CF8">
      <w:pPr>
        <w:spacing w:after="0" w:line="360" w:lineRule="auto"/>
        <w:ind w:firstLine="851"/>
        <w:jc w:val="both"/>
        <w:rPr>
          <w:rFonts w:ascii="Arial" w:eastAsia="Times New Roman" w:hAnsi="Arial" w:cs="Arial"/>
          <w:sz w:val="24"/>
          <w:szCs w:val="24"/>
          <w:lang w:val="es-MX" w:eastAsia="es-ES"/>
        </w:rPr>
      </w:pPr>
      <w:r w:rsidRPr="00C01A4A">
        <w:rPr>
          <w:rFonts w:ascii="Arial" w:eastAsia="Times New Roman" w:hAnsi="Arial" w:cs="Arial"/>
          <w:b/>
          <w:sz w:val="24"/>
          <w:szCs w:val="24"/>
          <w:lang w:val="es-MX" w:eastAsia="es-ES"/>
        </w:rPr>
        <w:t>ATENTO:</w:t>
      </w:r>
      <w:r w:rsidRPr="00C01A4A">
        <w:rPr>
          <w:rFonts w:ascii="Arial" w:eastAsia="Times New Roman" w:hAnsi="Arial" w:cs="Arial"/>
          <w:sz w:val="24"/>
          <w:szCs w:val="24"/>
          <w:lang w:val="es-MX" w:eastAsia="es-ES"/>
        </w:rPr>
        <w:t xml:space="preserve"> a lo dispuesto en el Artículo 211 Literal C) de la Constitución de la República;</w:t>
      </w:r>
    </w:p>
    <w:p w:rsidR="00697CF8" w:rsidRPr="00C01A4A" w:rsidRDefault="00697CF8" w:rsidP="00697CF8">
      <w:pPr>
        <w:spacing w:after="0" w:line="360" w:lineRule="auto"/>
        <w:jc w:val="center"/>
        <w:rPr>
          <w:rFonts w:ascii="Arial" w:eastAsia="Times New Roman" w:hAnsi="Arial" w:cs="Arial"/>
          <w:b/>
          <w:sz w:val="24"/>
          <w:szCs w:val="24"/>
          <w:lang w:val="es-MX" w:eastAsia="es-ES"/>
        </w:rPr>
      </w:pPr>
      <w:r w:rsidRPr="00C01A4A">
        <w:rPr>
          <w:rFonts w:ascii="Arial" w:eastAsia="Times New Roman" w:hAnsi="Arial" w:cs="Arial"/>
          <w:b/>
          <w:sz w:val="24"/>
          <w:szCs w:val="24"/>
          <w:lang w:val="es-MX" w:eastAsia="es-ES"/>
        </w:rPr>
        <w:t>EL TRIBUNAL ACUERDA</w:t>
      </w:r>
    </w:p>
    <w:p w:rsidR="00697CF8" w:rsidRPr="00C01A4A" w:rsidRDefault="00697CF8" w:rsidP="00697CF8">
      <w:pPr>
        <w:numPr>
          <w:ilvl w:val="0"/>
          <w:numId w:val="1"/>
        </w:numPr>
        <w:tabs>
          <w:tab w:val="left" w:pos="284"/>
        </w:tabs>
        <w:spacing w:after="0" w:line="360" w:lineRule="auto"/>
        <w:ind w:left="284" w:hanging="284"/>
        <w:jc w:val="both"/>
        <w:rPr>
          <w:rFonts w:ascii="Arial" w:eastAsia="Times New Roman" w:hAnsi="Arial" w:cs="Arial"/>
          <w:sz w:val="24"/>
          <w:szCs w:val="24"/>
          <w:lang w:val="es-MX" w:eastAsia="es-ES"/>
        </w:rPr>
      </w:pPr>
      <w:r w:rsidRPr="00C01A4A">
        <w:rPr>
          <w:rFonts w:ascii="Arial" w:eastAsia="Times New Roman" w:hAnsi="Arial" w:cs="Arial"/>
          <w:sz w:val="24"/>
          <w:szCs w:val="24"/>
          <w:lang w:val="es-MX" w:eastAsia="es-ES"/>
        </w:rPr>
        <w:t>Emitir su Dictamen respecto a los Estados Contables correspondientes al Ejercicio 2016 de la Cámara de Representante</w:t>
      </w:r>
      <w:r w:rsidR="00902D3D">
        <w:rPr>
          <w:rFonts w:ascii="Arial" w:eastAsia="Times New Roman" w:hAnsi="Arial" w:cs="Arial"/>
          <w:sz w:val="24"/>
          <w:szCs w:val="24"/>
          <w:lang w:val="es-MX" w:eastAsia="es-ES"/>
        </w:rPr>
        <w:t>s</w:t>
      </w:r>
      <w:r w:rsidRPr="00C01A4A">
        <w:rPr>
          <w:rFonts w:ascii="Arial" w:eastAsia="Times New Roman" w:hAnsi="Arial" w:cs="Arial"/>
          <w:sz w:val="24"/>
          <w:szCs w:val="24"/>
          <w:lang w:val="es-MX" w:eastAsia="es-ES"/>
        </w:rPr>
        <w:t xml:space="preserve"> en los términos del Informe de Auditoría que se adjunta;</w:t>
      </w:r>
    </w:p>
    <w:p w:rsidR="00697CF8" w:rsidRPr="00C01A4A" w:rsidRDefault="00697CF8" w:rsidP="00697CF8">
      <w:pPr>
        <w:numPr>
          <w:ilvl w:val="0"/>
          <w:numId w:val="1"/>
        </w:numPr>
        <w:tabs>
          <w:tab w:val="left" w:pos="284"/>
        </w:tabs>
        <w:spacing w:after="0" w:line="360" w:lineRule="auto"/>
        <w:ind w:left="0" w:firstLine="0"/>
        <w:jc w:val="both"/>
        <w:rPr>
          <w:rFonts w:ascii="Arial" w:eastAsia="Times New Roman" w:hAnsi="Arial" w:cs="Arial"/>
          <w:sz w:val="24"/>
          <w:szCs w:val="24"/>
          <w:lang w:val="es-MX" w:eastAsia="es-ES"/>
        </w:rPr>
      </w:pPr>
      <w:r w:rsidRPr="00C01A4A">
        <w:rPr>
          <w:rFonts w:ascii="Arial" w:eastAsia="Times New Roman" w:hAnsi="Arial" w:cs="Arial"/>
          <w:sz w:val="24"/>
          <w:szCs w:val="24"/>
          <w:lang w:val="es-MX" w:eastAsia="es-ES"/>
        </w:rPr>
        <w:t>Comunicar la presente Resolución a la Cámara de Representantes; y</w:t>
      </w:r>
    </w:p>
    <w:p w:rsidR="00131444" w:rsidRDefault="00697CF8" w:rsidP="00697CF8">
      <w:pPr>
        <w:numPr>
          <w:ilvl w:val="0"/>
          <w:numId w:val="1"/>
        </w:numPr>
        <w:tabs>
          <w:tab w:val="left" w:pos="284"/>
        </w:tabs>
        <w:spacing w:after="0" w:line="360" w:lineRule="auto"/>
        <w:ind w:left="0" w:firstLine="0"/>
        <w:jc w:val="both"/>
      </w:pPr>
      <w:r w:rsidRPr="00C01A4A">
        <w:rPr>
          <w:rFonts w:ascii="Arial" w:eastAsia="Times New Roman" w:hAnsi="Arial" w:cs="Arial"/>
          <w:sz w:val="24"/>
          <w:szCs w:val="24"/>
          <w:lang w:val="es-MX" w:eastAsia="es-ES"/>
        </w:rPr>
        <w:t>Dar cuenta a la Asamblea General.</w:t>
      </w:r>
    </w:p>
    <w:p w:rsidR="00697CF8" w:rsidRPr="00697CF8" w:rsidRDefault="00697CF8" w:rsidP="00697CF8">
      <w:pPr>
        <w:tabs>
          <w:tab w:val="left" w:pos="284"/>
        </w:tabs>
        <w:spacing w:after="0" w:line="360" w:lineRule="auto"/>
        <w:jc w:val="both"/>
        <w:rPr>
          <w:rFonts w:ascii="Arial" w:hAnsi="Arial" w:cs="Arial"/>
          <w:sz w:val="24"/>
          <w:szCs w:val="24"/>
        </w:rPr>
      </w:pPr>
    </w:p>
    <w:p w:rsidR="00697CF8" w:rsidRDefault="00697CF8" w:rsidP="00697CF8">
      <w:pPr>
        <w:tabs>
          <w:tab w:val="left" w:pos="284"/>
        </w:tabs>
        <w:spacing w:after="0" w:line="360" w:lineRule="auto"/>
        <w:ind w:hanging="426"/>
        <w:jc w:val="both"/>
        <w:rPr>
          <w:rFonts w:ascii="Arial" w:hAnsi="Arial" w:cs="Arial"/>
          <w:sz w:val="24"/>
          <w:szCs w:val="24"/>
        </w:rPr>
      </w:pPr>
      <w:proofErr w:type="gramStart"/>
      <w:r w:rsidRPr="00697CF8">
        <w:rPr>
          <w:rFonts w:ascii="Arial" w:hAnsi="Arial" w:cs="Arial"/>
          <w:sz w:val="24"/>
          <w:szCs w:val="24"/>
        </w:rPr>
        <w:t>dc</w:t>
      </w:r>
      <w:proofErr w:type="gramEnd"/>
    </w:p>
    <w:p w:rsidR="00B3686F" w:rsidRDefault="00B3686F" w:rsidP="00697CF8">
      <w:pPr>
        <w:tabs>
          <w:tab w:val="left" w:pos="284"/>
        </w:tabs>
        <w:spacing w:after="0" w:line="360" w:lineRule="auto"/>
        <w:ind w:hanging="426"/>
        <w:jc w:val="both"/>
        <w:rPr>
          <w:rFonts w:ascii="Arial" w:hAnsi="Arial" w:cs="Arial"/>
          <w:sz w:val="24"/>
          <w:szCs w:val="24"/>
        </w:rPr>
      </w:pPr>
    </w:p>
    <w:p w:rsidR="00B3686F" w:rsidRDefault="00B3686F" w:rsidP="00697CF8">
      <w:pPr>
        <w:tabs>
          <w:tab w:val="left" w:pos="284"/>
        </w:tabs>
        <w:spacing w:after="0" w:line="360" w:lineRule="auto"/>
        <w:ind w:hanging="426"/>
        <w:jc w:val="both"/>
        <w:rPr>
          <w:rFonts w:ascii="Arial" w:hAnsi="Arial" w:cs="Arial"/>
          <w:sz w:val="24"/>
          <w:szCs w:val="24"/>
        </w:rPr>
      </w:pPr>
    </w:p>
    <w:p w:rsidR="00B3686F" w:rsidRPr="00EF3BE3" w:rsidRDefault="00B3686F" w:rsidP="00603CCD">
      <w:pPr>
        <w:tabs>
          <w:tab w:val="left" w:pos="360"/>
          <w:tab w:val="left" w:pos="567"/>
          <w:tab w:val="left" w:pos="1560"/>
          <w:tab w:val="right" w:pos="5387"/>
          <w:tab w:val="right" w:pos="7513"/>
        </w:tabs>
        <w:spacing w:after="0" w:line="360" w:lineRule="auto"/>
        <w:jc w:val="center"/>
        <w:rPr>
          <w:rFonts w:ascii="Arial" w:eastAsia="Times New Roman" w:hAnsi="Arial" w:cs="Arial"/>
          <w:b/>
          <w:sz w:val="24"/>
          <w:szCs w:val="24"/>
          <w:lang w:val="es-ES_tradnl"/>
        </w:rPr>
      </w:pPr>
      <w:r w:rsidRPr="00EF3BE3">
        <w:rPr>
          <w:rFonts w:ascii="Arial" w:eastAsia="Times New Roman" w:hAnsi="Arial" w:cs="Arial"/>
          <w:b/>
          <w:sz w:val="24"/>
          <w:szCs w:val="24"/>
          <w:lang w:val="es-ES_tradnl"/>
        </w:rPr>
        <w:lastRenderedPageBreak/>
        <w:t>DICTAMEN</w:t>
      </w:r>
    </w:p>
    <w:p w:rsidR="00B3686F" w:rsidRPr="00EF3BE3" w:rsidRDefault="00B3686F" w:rsidP="00603CCD">
      <w:pPr>
        <w:spacing w:after="0" w:line="360" w:lineRule="auto"/>
        <w:jc w:val="both"/>
        <w:rPr>
          <w:rFonts w:ascii="Arial" w:eastAsia="Times New Roman" w:hAnsi="Arial" w:cs="Arial"/>
          <w:sz w:val="24"/>
          <w:szCs w:val="24"/>
          <w:lang w:eastAsia="es-UY"/>
        </w:rPr>
      </w:pPr>
      <w:r w:rsidRPr="00EF3BE3">
        <w:rPr>
          <w:rFonts w:ascii="Arial" w:eastAsia="Times New Roman" w:hAnsi="Arial" w:cs="Arial"/>
          <w:sz w:val="24"/>
          <w:szCs w:val="24"/>
          <w:lang w:eastAsia="es-UY"/>
        </w:rPr>
        <w:t>El Tribunal de Cuentas ha examinado los estados financieros de la Cámara de Representantes que se adjuntan. Dichos estados financieros comprenden el Estado de Situación Patrimonial al 31/12/2016, los correspondientes Estados de Gestión, de Flujo de Efectivo y de Evolución del Patrimonio por el ejercicio anual finalizado en esa fecha, los Anexos y las Notas explicativas correspon</w:t>
      </w:r>
      <w:r>
        <w:rPr>
          <w:rFonts w:ascii="Arial" w:eastAsia="Times New Roman" w:hAnsi="Arial" w:cs="Arial"/>
          <w:sz w:val="24"/>
          <w:szCs w:val="24"/>
          <w:lang w:eastAsia="es-UY"/>
        </w:rPr>
        <w:softHyphen/>
      </w:r>
      <w:r w:rsidRPr="00EF3BE3">
        <w:rPr>
          <w:rFonts w:ascii="Arial" w:eastAsia="Times New Roman" w:hAnsi="Arial" w:cs="Arial"/>
          <w:sz w:val="24"/>
          <w:szCs w:val="24"/>
          <w:lang w:eastAsia="es-UY"/>
        </w:rPr>
        <w:t>dientes.</w:t>
      </w:r>
    </w:p>
    <w:p w:rsidR="00B3686F" w:rsidRPr="00EF3BE3" w:rsidRDefault="00B3686F" w:rsidP="00603CCD">
      <w:pPr>
        <w:spacing w:after="0" w:line="360" w:lineRule="auto"/>
        <w:jc w:val="both"/>
        <w:rPr>
          <w:rFonts w:ascii="Arial" w:eastAsia="Times New Roman" w:hAnsi="Arial" w:cs="Arial"/>
          <w:sz w:val="24"/>
          <w:szCs w:val="24"/>
          <w:lang w:eastAsia="es-UY"/>
        </w:rPr>
      </w:pPr>
      <w:r w:rsidRPr="00EF3BE3">
        <w:rPr>
          <w:rFonts w:ascii="Arial" w:eastAsia="Times New Roman" w:hAnsi="Arial" w:cs="Arial"/>
          <w:sz w:val="24"/>
          <w:szCs w:val="24"/>
          <w:lang w:eastAsia="es-UY"/>
        </w:rPr>
        <w:t>También se presentan, en caso de corresponder, los incumplimientos legales constatados por el Tribunal de Cuentas en el curso de la auditoría efectuada.</w:t>
      </w:r>
    </w:p>
    <w:p w:rsidR="00B3686F" w:rsidRPr="00EF3BE3" w:rsidRDefault="00B3686F" w:rsidP="00603CCD">
      <w:pPr>
        <w:spacing w:after="0" w:line="360" w:lineRule="auto"/>
        <w:jc w:val="both"/>
        <w:rPr>
          <w:rFonts w:ascii="Arial" w:eastAsia="Times New Roman" w:hAnsi="Arial" w:cs="Arial"/>
          <w:sz w:val="24"/>
          <w:szCs w:val="24"/>
          <w:lang w:eastAsia="es-UY"/>
        </w:rPr>
      </w:pPr>
    </w:p>
    <w:p w:rsidR="00B3686F" w:rsidRPr="00EF3BE3" w:rsidRDefault="00B3686F" w:rsidP="00603CCD">
      <w:pPr>
        <w:spacing w:after="0" w:line="360" w:lineRule="auto"/>
        <w:jc w:val="both"/>
        <w:rPr>
          <w:rFonts w:ascii="Arial" w:eastAsia="Times New Roman" w:hAnsi="Arial" w:cs="Arial"/>
          <w:b/>
          <w:sz w:val="24"/>
          <w:szCs w:val="24"/>
          <w:lang w:eastAsia="es-UY"/>
        </w:rPr>
      </w:pPr>
      <w:r w:rsidRPr="00EF3BE3">
        <w:rPr>
          <w:rFonts w:ascii="Arial" w:eastAsia="Times New Roman" w:hAnsi="Arial" w:cs="Arial"/>
          <w:b/>
          <w:sz w:val="24"/>
          <w:szCs w:val="24"/>
          <w:lang w:eastAsia="es-UY"/>
        </w:rPr>
        <w:t>Responsabilidad de la Cámara de Representantes por los estados financieros.</w:t>
      </w:r>
    </w:p>
    <w:p w:rsidR="00B3686F" w:rsidRPr="00EF3BE3" w:rsidRDefault="00B3686F" w:rsidP="00603CCD">
      <w:pPr>
        <w:spacing w:after="0" w:line="360" w:lineRule="auto"/>
        <w:jc w:val="both"/>
        <w:rPr>
          <w:rFonts w:ascii="Arial" w:eastAsia="Times New Roman" w:hAnsi="Arial" w:cs="Arial"/>
          <w:sz w:val="24"/>
          <w:szCs w:val="24"/>
          <w:lang w:eastAsia="es-UY"/>
        </w:rPr>
      </w:pPr>
      <w:r w:rsidRPr="00EF3BE3">
        <w:rPr>
          <w:rFonts w:ascii="Arial" w:eastAsia="Times New Roman" w:hAnsi="Arial" w:cs="Arial"/>
          <w:sz w:val="24"/>
          <w:szCs w:val="24"/>
          <w:lang w:eastAsia="es-UY"/>
        </w:rPr>
        <w:t>La Cámara de Representantes es responsable por la preparación y la razonable presentación de estos estados financieros de acuerdo con la Ordenanza Nº 81 del Tribunal de Cuentas. Esta responsabilidad incluye diseñar, implementar y mantener un sistema de control interno adecuado para la preparación y presentación razonable de estados financieros que están libres de errores significativos, ya sea debido a fraude o error, seleccionar y aplicar políticas contables apropiadas, y realizar estimaciones contables razonables en las circunstancias.</w:t>
      </w:r>
    </w:p>
    <w:p w:rsidR="00B3686F" w:rsidRPr="00EF3BE3" w:rsidRDefault="00B3686F" w:rsidP="00603CCD">
      <w:pPr>
        <w:spacing w:after="0" w:line="360" w:lineRule="auto"/>
        <w:jc w:val="both"/>
        <w:rPr>
          <w:rFonts w:ascii="Arial" w:eastAsia="Times New Roman" w:hAnsi="Arial" w:cs="Arial"/>
          <w:b/>
          <w:sz w:val="24"/>
          <w:szCs w:val="24"/>
          <w:lang w:eastAsia="es-UY"/>
        </w:rPr>
      </w:pPr>
    </w:p>
    <w:p w:rsidR="00B3686F" w:rsidRPr="00EF3BE3" w:rsidRDefault="00B3686F" w:rsidP="00603CCD">
      <w:pPr>
        <w:spacing w:after="0" w:line="360" w:lineRule="auto"/>
        <w:jc w:val="both"/>
        <w:rPr>
          <w:rFonts w:ascii="Arial" w:eastAsia="Times New Roman" w:hAnsi="Arial" w:cs="Arial"/>
          <w:b/>
          <w:sz w:val="24"/>
          <w:szCs w:val="24"/>
          <w:lang w:eastAsia="es-UY"/>
        </w:rPr>
      </w:pPr>
      <w:r>
        <w:rPr>
          <w:rFonts w:ascii="Arial" w:eastAsia="Times New Roman" w:hAnsi="Arial" w:cs="Arial"/>
          <w:b/>
          <w:sz w:val="24"/>
          <w:szCs w:val="24"/>
          <w:lang w:eastAsia="es-UY"/>
        </w:rPr>
        <w:t>Responsabilidad del A</w:t>
      </w:r>
      <w:r w:rsidRPr="00EF3BE3">
        <w:rPr>
          <w:rFonts w:ascii="Arial" w:eastAsia="Times New Roman" w:hAnsi="Arial" w:cs="Arial"/>
          <w:b/>
          <w:sz w:val="24"/>
          <w:szCs w:val="24"/>
          <w:lang w:eastAsia="es-UY"/>
        </w:rPr>
        <w:t>uditor.</w:t>
      </w:r>
    </w:p>
    <w:p w:rsidR="00B3686F" w:rsidRPr="00EF3BE3" w:rsidRDefault="00B3686F" w:rsidP="00603CCD">
      <w:pPr>
        <w:spacing w:after="0" w:line="360" w:lineRule="auto"/>
        <w:jc w:val="both"/>
        <w:rPr>
          <w:rFonts w:ascii="Arial" w:eastAsia="Times New Roman" w:hAnsi="Arial" w:cs="Arial"/>
          <w:sz w:val="24"/>
          <w:szCs w:val="24"/>
          <w:lang w:val="es-ES" w:eastAsia="es-ES"/>
        </w:rPr>
      </w:pPr>
      <w:r w:rsidRPr="00EF3BE3">
        <w:rPr>
          <w:rFonts w:ascii="Arial" w:eastAsia="Times New Roman" w:hAnsi="Arial" w:cs="Arial"/>
          <w:sz w:val="24"/>
          <w:szCs w:val="24"/>
          <w:lang w:val="es-ES" w:eastAsia="es-ES"/>
        </w:rPr>
        <w:t>La responsabilidad del Tribunal de Cuentas es expresar una opinión sobre dichos estados financieros basada en la auditoría. Esta auditoria fue practicada de acuerdo con los Principios Fundamentales de Auditoría (ISSAI 100 y 200) de la Organización Internacional de Entidades Fiscalizadoras Superiores (INTOSAI). Estas normas requieren que se cumpla con requisitos éticos, se planifique y se realice la auditoría para obtener seguridad razonable acerca de si los estados financieros estén libres de errores significativos.</w:t>
      </w:r>
    </w:p>
    <w:p w:rsidR="00B3686F" w:rsidRPr="00EF3BE3" w:rsidRDefault="00B3686F" w:rsidP="00603CCD">
      <w:pPr>
        <w:spacing w:after="0" w:line="360" w:lineRule="auto"/>
        <w:jc w:val="both"/>
        <w:rPr>
          <w:rFonts w:ascii="Arial" w:eastAsia="Times New Roman" w:hAnsi="Arial" w:cs="Arial"/>
          <w:sz w:val="24"/>
          <w:szCs w:val="24"/>
          <w:lang w:val="es-ES" w:eastAsia="es-ES"/>
        </w:rPr>
      </w:pPr>
      <w:r w:rsidRPr="00EF3BE3">
        <w:rPr>
          <w:rFonts w:ascii="Arial" w:eastAsia="Times New Roman" w:hAnsi="Arial" w:cs="Arial"/>
          <w:sz w:val="24"/>
          <w:szCs w:val="24"/>
          <w:lang w:val="es-ES" w:eastAsia="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auditoria que sean apropiados a las circunstancias, pero no con el propósito de expresar una opinión acerca de la eficacia del control interno de la entidad. Una auditoria también implica evaluar lo apropiado de las políticas contables utilizadas y la razonabilidad de las estimaciones contables realizadas por la Dirección, así como evaluar la presentación general de los estados financieros.</w:t>
      </w:r>
    </w:p>
    <w:p w:rsidR="00B3686F" w:rsidRPr="00EF3BE3" w:rsidRDefault="00B3686F" w:rsidP="00603CCD">
      <w:pPr>
        <w:spacing w:after="0" w:line="360" w:lineRule="auto"/>
        <w:jc w:val="both"/>
        <w:rPr>
          <w:rFonts w:ascii="Arial" w:eastAsia="Times New Roman" w:hAnsi="Arial" w:cs="Arial"/>
          <w:sz w:val="24"/>
          <w:szCs w:val="24"/>
          <w:highlight w:val="yellow"/>
          <w:lang w:val="es-ES" w:eastAsia="es-ES"/>
        </w:rPr>
      </w:pPr>
      <w:r w:rsidRPr="00EF3BE3">
        <w:rPr>
          <w:rFonts w:ascii="Arial" w:eastAsia="Times New Roman" w:hAnsi="Arial" w:cs="Arial"/>
          <w:sz w:val="24"/>
          <w:szCs w:val="24"/>
          <w:lang w:val="es-ES" w:eastAsia="es-ES"/>
        </w:rPr>
        <w:t>Se considera que la evidencia de auditoria obtenida brinda una base suficiente y apropiada para sustentar la opinión.</w:t>
      </w:r>
    </w:p>
    <w:p w:rsidR="00B3686F" w:rsidRPr="00EF3BE3" w:rsidRDefault="00B3686F" w:rsidP="00603CCD">
      <w:pPr>
        <w:spacing w:after="0" w:line="360" w:lineRule="auto"/>
        <w:jc w:val="both"/>
        <w:rPr>
          <w:rFonts w:ascii="Arial" w:eastAsia="Times New Roman" w:hAnsi="Arial" w:cs="Arial"/>
          <w:b/>
          <w:sz w:val="24"/>
          <w:szCs w:val="24"/>
          <w:lang w:eastAsia="es-UY"/>
        </w:rPr>
      </w:pPr>
    </w:p>
    <w:p w:rsidR="00B3686F" w:rsidRPr="00EF3BE3" w:rsidRDefault="00B3686F" w:rsidP="00603CCD">
      <w:pPr>
        <w:spacing w:after="0" w:line="360" w:lineRule="auto"/>
        <w:jc w:val="both"/>
        <w:rPr>
          <w:rFonts w:ascii="Arial" w:eastAsia="Times New Roman" w:hAnsi="Arial" w:cs="Arial"/>
          <w:b/>
          <w:sz w:val="24"/>
          <w:szCs w:val="24"/>
          <w:lang w:eastAsia="es-UY"/>
        </w:rPr>
      </w:pPr>
      <w:r w:rsidRPr="00EF3BE3">
        <w:rPr>
          <w:rFonts w:ascii="Arial" w:eastAsia="Times New Roman" w:hAnsi="Arial" w:cs="Arial"/>
          <w:b/>
          <w:sz w:val="24"/>
          <w:szCs w:val="24"/>
          <w:lang w:eastAsia="es-UY"/>
        </w:rPr>
        <w:t>Bases para la calificación de opinión.</w:t>
      </w:r>
    </w:p>
    <w:p w:rsidR="00B3686F" w:rsidRPr="001C60BB" w:rsidRDefault="00B3686F" w:rsidP="00603CCD">
      <w:pPr>
        <w:spacing w:after="0" w:line="360" w:lineRule="auto"/>
        <w:jc w:val="both"/>
        <w:rPr>
          <w:rFonts w:ascii="Arial" w:eastAsia="Times New Roman" w:hAnsi="Arial" w:cs="Arial"/>
          <w:bCs/>
          <w:sz w:val="24"/>
          <w:szCs w:val="24"/>
          <w:lang w:val="es-ES" w:eastAsia="es-UY"/>
        </w:rPr>
      </w:pPr>
      <w:r w:rsidRPr="001C60BB">
        <w:rPr>
          <w:rFonts w:ascii="Arial" w:eastAsia="Times New Roman" w:hAnsi="Arial" w:cs="Arial"/>
          <w:bCs/>
          <w:sz w:val="24"/>
          <w:szCs w:val="24"/>
          <w:lang w:val="es-ES" w:eastAsia="es-UY"/>
        </w:rPr>
        <w:t>El Estado de Origen y Aplicación de Fondos se presenta de acuerdo al criterio de fondos igual efectivo y equivalentes; las partidas correspondientes a adquisiciones de bienes de uso no corresponden a los pagos efectuados por las compras de los mismos y se ajustan los fondos provenientes de operaciones incluyendo un ajuste por $ 21.995.954 no especificándose a que corresponde dicha rectificación. Este ajuste representa el 19% del resultado del ejercicio.</w:t>
      </w:r>
    </w:p>
    <w:p w:rsidR="00B3686F" w:rsidRDefault="00B3686F" w:rsidP="00603CCD">
      <w:pPr>
        <w:spacing w:after="0" w:line="360" w:lineRule="auto"/>
        <w:jc w:val="both"/>
        <w:rPr>
          <w:rFonts w:ascii="Arial" w:eastAsia="Times New Roman" w:hAnsi="Arial" w:cs="Arial"/>
          <w:b/>
          <w:sz w:val="24"/>
          <w:szCs w:val="24"/>
          <w:lang w:eastAsia="es-UY"/>
        </w:rPr>
      </w:pPr>
    </w:p>
    <w:p w:rsidR="00B3686F" w:rsidRPr="00EF3BE3" w:rsidRDefault="00B3686F" w:rsidP="00603CCD">
      <w:pPr>
        <w:spacing w:after="0" w:line="360" w:lineRule="auto"/>
        <w:jc w:val="both"/>
        <w:rPr>
          <w:rFonts w:ascii="Arial" w:eastAsia="Times New Roman" w:hAnsi="Arial" w:cs="Arial"/>
          <w:b/>
          <w:sz w:val="24"/>
          <w:szCs w:val="24"/>
          <w:lang w:eastAsia="es-UY"/>
        </w:rPr>
      </w:pPr>
      <w:r w:rsidRPr="00EF3BE3">
        <w:rPr>
          <w:rFonts w:ascii="Arial" w:eastAsia="Times New Roman" w:hAnsi="Arial" w:cs="Arial"/>
          <w:b/>
          <w:sz w:val="24"/>
          <w:szCs w:val="24"/>
          <w:lang w:eastAsia="es-UY"/>
        </w:rPr>
        <w:t>Opinión Calificada</w:t>
      </w:r>
    </w:p>
    <w:p w:rsidR="00B3686F" w:rsidRPr="00527BED" w:rsidRDefault="00B3686F" w:rsidP="00603CCD">
      <w:pPr>
        <w:spacing w:after="0" w:line="360" w:lineRule="auto"/>
        <w:jc w:val="both"/>
        <w:rPr>
          <w:rFonts w:ascii="Arial" w:hAnsi="Arial" w:cs="Arial"/>
          <w:sz w:val="24"/>
          <w:szCs w:val="24"/>
        </w:rPr>
      </w:pPr>
      <w:r w:rsidRPr="00527BED">
        <w:rPr>
          <w:rFonts w:ascii="Arial" w:hAnsi="Arial" w:cs="Arial"/>
          <w:sz w:val="24"/>
          <w:szCs w:val="24"/>
        </w:rPr>
        <w:t xml:space="preserve">En opinión del Tribunal de Cuentas, </w:t>
      </w:r>
      <w:r>
        <w:rPr>
          <w:rFonts w:ascii="Arial" w:hAnsi="Arial" w:cs="Arial"/>
          <w:sz w:val="24"/>
          <w:szCs w:val="24"/>
        </w:rPr>
        <w:t xml:space="preserve">excepto por lo expresado en el párrafo anterior, </w:t>
      </w:r>
      <w:r w:rsidRPr="00527BED">
        <w:rPr>
          <w:rFonts w:ascii="Arial" w:hAnsi="Arial" w:cs="Arial"/>
          <w:sz w:val="24"/>
          <w:szCs w:val="24"/>
        </w:rPr>
        <w:t>los estados financieros presentan razonablemente, en todos sus aspectos impor</w:t>
      </w:r>
      <w:r>
        <w:rPr>
          <w:rFonts w:ascii="Arial" w:hAnsi="Arial" w:cs="Arial"/>
          <w:sz w:val="24"/>
          <w:szCs w:val="24"/>
        </w:rPr>
        <w:t>tantes, la situación patrimonial</w:t>
      </w:r>
      <w:r w:rsidRPr="00527BED">
        <w:rPr>
          <w:rFonts w:ascii="Arial" w:hAnsi="Arial" w:cs="Arial"/>
          <w:sz w:val="24"/>
          <w:szCs w:val="24"/>
        </w:rPr>
        <w:t xml:space="preserve"> de la Cámara de Representantes</w:t>
      </w:r>
      <w:r w:rsidRPr="00527BED">
        <w:rPr>
          <w:rFonts w:ascii="Arial" w:hAnsi="Arial" w:cs="Arial"/>
          <w:i/>
          <w:sz w:val="24"/>
          <w:szCs w:val="24"/>
        </w:rPr>
        <w:t xml:space="preserve"> </w:t>
      </w:r>
      <w:r w:rsidRPr="00527BED">
        <w:rPr>
          <w:rFonts w:ascii="Arial" w:hAnsi="Arial" w:cs="Arial"/>
          <w:sz w:val="24"/>
          <w:szCs w:val="24"/>
        </w:rPr>
        <w:t>corres</w:t>
      </w:r>
      <w:r>
        <w:rPr>
          <w:rFonts w:ascii="Arial" w:hAnsi="Arial" w:cs="Arial"/>
          <w:sz w:val="24"/>
          <w:szCs w:val="24"/>
        </w:rPr>
        <w:t xml:space="preserve">pondiente </w:t>
      </w:r>
      <w:r w:rsidRPr="00527BED">
        <w:rPr>
          <w:rFonts w:ascii="Arial" w:hAnsi="Arial" w:cs="Arial"/>
          <w:sz w:val="24"/>
          <w:szCs w:val="24"/>
        </w:rPr>
        <w:t>al 31</w:t>
      </w:r>
      <w:r>
        <w:rPr>
          <w:rFonts w:ascii="Arial" w:hAnsi="Arial" w:cs="Arial"/>
          <w:sz w:val="24"/>
          <w:szCs w:val="24"/>
        </w:rPr>
        <w:t xml:space="preserve"> </w:t>
      </w:r>
      <w:r w:rsidRPr="00527BED">
        <w:rPr>
          <w:rFonts w:ascii="Arial" w:hAnsi="Arial" w:cs="Arial"/>
          <w:sz w:val="24"/>
          <w:szCs w:val="24"/>
        </w:rPr>
        <w:t>de dici</w:t>
      </w:r>
      <w:r>
        <w:rPr>
          <w:rFonts w:ascii="Arial" w:hAnsi="Arial" w:cs="Arial"/>
          <w:sz w:val="24"/>
          <w:szCs w:val="24"/>
        </w:rPr>
        <w:t>embre de 2016</w:t>
      </w:r>
      <w:r w:rsidRPr="00527BED">
        <w:rPr>
          <w:rFonts w:ascii="Arial" w:hAnsi="Arial" w:cs="Arial"/>
          <w:sz w:val="24"/>
          <w:szCs w:val="24"/>
        </w:rPr>
        <w:t xml:space="preserve">, </w:t>
      </w:r>
      <w:r>
        <w:rPr>
          <w:rFonts w:ascii="Arial" w:hAnsi="Arial" w:cs="Arial"/>
          <w:sz w:val="24"/>
          <w:szCs w:val="24"/>
        </w:rPr>
        <w:t>de acuerdo con lo establecido en la Ordenanza Nº 81.</w:t>
      </w:r>
    </w:p>
    <w:p w:rsidR="00B3686F" w:rsidRPr="005B7519" w:rsidRDefault="00B3686F" w:rsidP="00603CCD">
      <w:pPr>
        <w:spacing w:line="360" w:lineRule="auto"/>
        <w:jc w:val="both"/>
        <w:rPr>
          <w:rFonts w:ascii="Arial" w:eastAsia="Times New Roman" w:hAnsi="Arial" w:cs="Arial"/>
          <w:sz w:val="24"/>
          <w:szCs w:val="24"/>
          <w:lang w:eastAsia="es-UY"/>
        </w:rPr>
      </w:pPr>
      <w:r w:rsidRPr="005B7519">
        <w:rPr>
          <w:rFonts w:ascii="Arial" w:eastAsia="Times New Roman" w:hAnsi="Arial" w:cs="Arial"/>
          <w:sz w:val="24"/>
          <w:szCs w:val="24"/>
          <w:lang w:eastAsia="es-UY"/>
        </w:rPr>
        <w:t>Con relación al cumplimiento de normativa vigente, en el curso de la auditoría realizada, se ha constatado:</w:t>
      </w:r>
    </w:p>
    <w:p w:rsidR="00B3686F" w:rsidRPr="005B7519" w:rsidRDefault="00B3686F" w:rsidP="00B3686F">
      <w:pPr>
        <w:pStyle w:val="Prrafodelista"/>
        <w:numPr>
          <w:ilvl w:val="0"/>
          <w:numId w:val="2"/>
        </w:numPr>
        <w:spacing w:line="360" w:lineRule="auto"/>
        <w:jc w:val="both"/>
        <w:rPr>
          <w:rFonts w:ascii="Arial" w:eastAsia="Times New Roman" w:hAnsi="Arial" w:cs="Arial"/>
          <w:sz w:val="24"/>
          <w:szCs w:val="24"/>
          <w:lang w:eastAsia="es-UY"/>
        </w:rPr>
      </w:pPr>
      <w:r w:rsidRPr="005B7519">
        <w:rPr>
          <w:rFonts w:ascii="Arial" w:eastAsia="Times New Roman" w:hAnsi="Arial" w:cs="Arial"/>
          <w:sz w:val="24"/>
          <w:szCs w:val="24"/>
          <w:lang w:eastAsia="es-UY"/>
        </w:rPr>
        <w:t>No se cumple con el Artículo 24 del TOCAF, ya que las disponibilidades generadas por los créditos anuales de funcionamiento e inversión no ejecutados en el ejercicio no se consideran a</w:t>
      </w:r>
      <w:r>
        <w:rPr>
          <w:rFonts w:ascii="Arial" w:eastAsia="Times New Roman" w:hAnsi="Arial" w:cs="Arial"/>
          <w:sz w:val="24"/>
          <w:szCs w:val="24"/>
          <w:lang w:eastAsia="es-UY"/>
        </w:rPr>
        <w:t>l solicitar los duodécimos del E</w:t>
      </w:r>
      <w:r w:rsidRPr="005B7519">
        <w:rPr>
          <w:rFonts w:ascii="Arial" w:eastAsia="Times New Roman" w:hAnsi="Arial" w:cs="Arial"/>
          <w:sz w:val="24"/>
          <w:szCs w:val="24"/>
          <w:lang w:eastAsia="es-UY"/>
        </w:rPr>
        <w:t>jercicio siguiente.</w:t>
      </w:r>
    </w:p>
    <w:p w:rsidR="00B3686F" w:rsidRPr="005B7519" w:rsidRDefault="00B3686F" w:rsidP="00B3686F">
      <w:pPr>
        <w:pStyle w:val="Prrafodelista"/>
        <w:numPr>
          <w:ilvl w:val="0"/>
          <w:numId w:val="2"/>
        </w:numPr>
        <w:spacing w:line="360" w:lineRule="auto"/>
        <w:jc w:val="both"/>
        <w:rPr>
          <w:rFonts w:ascii="Arial" w:eastAsia="Times New Roman" w:hAnsi="Arial" w:cs="Arial"/>
          <w:sz w:val="24"/>
          <w:szCs w:val="24"/>
          <w:lang w:eastAsia="es-UY"/>
        </w:rPr>
      </w:pPr>
      <w:r w:rsidRPr="005B7519">
        <w:rPr>
          <w:rFonts w:ascii="Arial" w:eastAsia="Times New Roman" w:hAnsi="Arial" w:cs="Arial"/>
          <w:sz w:val="24"/>
          <w:szCs w:val="24"/>
          <w:lang w:eastAsia="es-UY"/>
        </w:rPr>
        <w:t>No se cumple con el Artículo 20 del TOCAF, los gastos se devengan cuando surge la obligación de pago por el cumplimiento de u</w:t>
      </w:r>
      <w:r>
        <w:rPr>
          <w:rFonts w:ascii="Arial" w:eastAsia="Times New Roman" w:hAnsi="Arial" w:cs="Arial"/>
          <w:sz w:val="24"/>
          <w:szCs w:val="24"/>
          <w:lang w:eastAsia="es-UY"/>
        </w:rPr>
        <w:t>n servicio o de una prestación.</w:t>
      </w:r>
    </w:p>
    <w:p w:rsidR="00B3686F" w:rsidRDefault="00B3686F" w:rsidP="00603CCD">
      <w:pPr>
        <w:spacing w:line="360" w:lineRule="auto"/>
        <w:jc w:val="right"/>
        <w:rPr>
          <w:rFonts w:ascii="Arial" w:eastAsia="Times New Roman" w:hAnsi="Arial" w:cs="Arial"/>
          <w:sz w:val="24"/>
          <w:szCs w:val="24"/>
          <w:lang w:eastAsia="es-UY"/>
        </w:rPr>
      </w:pPr>
      <w:r w:rsidRPr="005B7519">
        <w:rPr>
          <w:rFonts w:ascii="Arial" w:eastAsia="Times New Roman" w:hAnsi="Arial" w:cs="Arial"/>
          <w:sz w:val="24"/>
          <w:szCs w:val="24"/>
          <w:lang w:eastAsia="es-UY"/>
        </w:rPr>
        <w:t>Montevideo, 15 de m</w:t>
      </w:r>
      <w:r w:rsidR="00AB3E70">
        <w:rPr>
          <w:rFonts w:ascii="Arial" w:eastAsia="Times New Roman" w:hAnsi="Arial" w:cs="Arial"/>
          <w:sz w:val="24"/>
          <w:szCs w:val="24"/>
          <w:lang w:eastAsia="es-UY"/>
        </w:rPr>
        <w:t>arzo de 2018</w:t>
      </w:r>
    </w:p>
    <w:p w:rsidR="00B3686F" w:rsidRDefault="00B3686F" w:rsidP="00603CCD">
      <w:pPr>
        <w:spacing w:line="360" w:lineRule="auto"/>
        <w:jc w:val="right"/>
        <w:rPr>
          <w:rFonts w:ascii="Arial" w:eastAsia="Times New Roman" w:hAnsi="Arial" w:cs="Arial"/>
          <w:sz w:val="24"/>
          <w:szCs w:val="24"/>
          <w:lang w:eastAsia="es-UY"/>
        </w:rPr>
      </w:pPr>
    </w:p>
    <w:p w:rsidR="00B3686F" w:rsidRDefault="00B3686F" w:rsidP="00603CCD">
      <w:pPr>
        <w:spacing w:line="360" w:lineRule="auto"/>
        <w:jc w:val="right"/>
        <w:rPr>
          <w:rFonts w:ascii="Arial" w:eastAsia="Times New Roman" w:hAnsi="Arial" w:cs="Arial"/>
          <w:sz w:val="24"/>
          <w:szCs w:val="24"/>
          <w:lang w:eastAsia="es-UY"/>
        </w:rPr>
      </w:pPr>
    </w:p>
    <w:p w:rsidR="00B3686F" w:rsidRDefault="00B3686F" w:rsidP="00603CCD">
      <w:pPr>
        <w:spacing w:line="360" w:lineRule="auto"/>
        <w:ind w:hanging="567"/>
        <w:rPr>
          <w:rFonts w:ascii="Arial" w:eastAsia="Times New Roman" w:hAnsi="Arial" w:cs="Arial"/>
          <w:sz w:val="24"/>
          <w:szCs w:val="24"/>
          <w:lang w:eastAsia="es-UY"/>
        </w:rPr>
      </w:pPr>
      <w:proofErr w:type="gramStart"/>
      <w:r>
        <w:rPr>
          <w:rFonts w:ascii="Arial" w:eastAsia="Times New Roman" w:hAnsi="Arial" w:cs="Arial"/>
          <w:sz w:val="24"/>
          <w:szCs w:val="24"/>
          <w:lang w:eastAsia="es-UY"/>
        </w:rPr>
        <w:t>dc</w:t>
      </w:r>
      <w:proofErr w:type="gramEnd"/>
    </w:p>
    <w:p w:rsidR="00B3686F" w:rsidRDefault="00B3686F" w:rsidP="00697CF8">
      <w:pPr>
        <w:tabs>
          <w:tab w:val="left" w:pos="284"/>
        </w:tabs>
        <w:spacing w:after="0" w:line="360" w:lineRule="auto"/>
        <w:ind w:hanging="426"/>
        <w:jc w:val="both"/>
        <w:rPr>
          <w:rFonts w:ascii="Arial" w:hAnsi="Arial" w:cs="Arial"/>
          <w:sz w:val="24"/>
          <w:szCs w:val="24"/>
        </w:rPr>
      </w:pPr>
    </w:p>
    <w:p w:rsidR="00B3686F" w:rsidRDefault="00B3686F" w:rsidP="00697CF8">
      <w:pPr>
        <w:tabs>
          <w:tab w:val="left" w:pos="284"/>
        </w:tabs>
        <w:spacing w:after="0" w:line="360" w:lineRule="auto"/>
        <w:ind w:hanging="426"/>
        <w:jc w:val="both"/>
        <w:rPr>
          <w:rFonts w:ascii="Arial" w:hAnsi="Arial" w:cs="Arial"/>
          <w:sz w:val="24"/>
          <w:szCs w:val="24"/>
        </w:rPr>
      </w:pPr>
    </w:p>
    <w:p w:rsidR="00B3686F" w:rsidRDefault="00B3686F" w:rsidP="00697CF8">
      <w:pPr>
        <w:tabs>
          <w:tab w:val="left" w:pos="284"/>
        </w:tabs>
        <w:spacing w:after="0" w:line="360" w:lineRule="auto"/>
        <w:ind w:hanging="426"/>
        <w:jc w:val="both"/>
        <w:rPr>
          <w:rFonts w:ascii="Arial" w:hAnsi="Arial" w:cs="Arial"/>
          <w:sz w:val="24"/>
          <w:szCs w:val="24"/>
        </w:rPr>
      </w:pPr>
    </w:p>
    <w:p w:rsidR="00B3686F" w:rsidRDefault="00B3686F" w:rsidP="00697CF8">
      <w:pPr>
        <w:tabs>
          <w:tab w:val="left" w:pos="284"/>
        </w:tabs>
        <w:spacing w:after="0" w:line="360" w:lineRule="auto"/>
        <w:ind w:hanging="426"/>
        <w:jc w:val="both"/>
        <w:rPr>
          <w:rFonts w:ascii="Arial" w:hAnsi="Arial" w:cs="Arial"/>
          <w:sz w:val="24"/>
          <w:szCs w:val="24"/>
        </w:rPr>
      </w:pPr>
    </w:p>
    <w:p w:rsidR="00AB3E70" w:rsidRDefault="00AB3E70" w:rsidP="00697CF8">
      <w:pPr>
        <w:tabs>
          <w:tab w:val="left" w:pos="284"/>
        </w:tabs>
        <w:spacing w:after="0" w:line="360" w:lineRule="auto"/>
        <w:ind w:hanging="426"/>
        <w:jc w:val="both"/>
        <w:rPr>
          <w:rFonts w:ascii="Arial" w:hAnsi="Arial" w:cs="Arial"/>
          <w:sz w:val="24"/>
          <w:szCs w:val="24"/>
        </w:rPr>
      </w:pPr>
    </w:p>
    <w:p w:rsidR="00AB3E70" w:rsidRDefault="00AB3E70" w:rsidP="00697CF8">
      <w:pPr>
        <w:tabs>
          <w:tab w:val="left" w:pos="284"/>
        </w:tabs>
        <w:spacing w:after="0" w:line="360" w:lineRule="auto"/>
        <w:ind w:hanging="426"/>
        <w:jc w:val="both"/>
        <w:rPr>
          <w:rFonts w:ascii="Arial" w:hAnsi="Arial" w:cs="Arial"/>
          <w:sz w:val="24"/>
          <w:szCs w:val="24"/>
        </w:rPr>
      </w:pPr>
    </w:p>
    <w:p w:rsidR="00AB3E70" w:rsidRDefault="00AB3E70" w:rsidP="00697CF8">
      <w:pPr>
        <w:tabs>
          <w:tab w:val="left" w:pos="284"/>
        </w:tabs>
        <w:spacing w:after="0" w:line="360" w:lineRule="auto"/>
        <w:ind w:hanging="426"/>
        <w:jc w:val="both"/>
        <w:rPr>
          <w:rFonts w:ascii="Arial" w:hAnsi="Arial" w:cs="Arial"/>
          <w:sz w:val="24"/>
          <w:szCs w:val="24"/>
        </w:rPr>
      </w:pPr>
    </w:p>
    <w:p w:rsidR="00AB3E70" w:rsidRDefault="00AB3E70" w:rsidP="00697CF8">
      <w:pPr>
        <w:tabs>
          <w:tab w:val="left" w:pos="284"/>
        </w:tabs>
        <w:spacing w:after="0" w:line="360" w:lineRule="auto"/>
        <w:ind w:hanging="426"/>
        <w:jc w:val="both"/>
        <w:rPr>
          <w:rFonts w:ascii="Arial" w:hAnsi="Arial" w:cs="Arial"/>
          <w:sz w:val="24"/>
          <w:szCs w:val="24"/>
        </w:rPr>
      </w:pPr>
    </w:p>
    <w:p w:rsidR="00AB3E70" w:rsidRDefault="00AB3E70" w:rsidP="00697CF8">
      <w:pPr>
        <w:tabs>
          <w:tab w:val="left" w:pos="284"/>
        </w:tabs>
        <w:spacing w:after="0" w:line="360" w:lineRule="auto"/>
        <w:ind w:hanging="426"/>
        <w:jc w:val="both"/>
        <w:rPr>
          <w:rFonts w:ascii="Arial" w:hAnsi="Arial" w:cs="Arial"/>
          <w:sz w:val="24"/>
          <w:szCs w:val="24"/>
        </w:rPr>
      </w:pPr>
    </w:p>
    <w:p w:rsidR="00AB3E70" w:rsidRDefault="00AB3E70" w:rsidP="00697CF8">
      <w:pPr>
        <w:tabs>
          <w:tab w:val="left" w:pos="284"/>
        </w:tabs>
        <w:spacing w:after="0" w:line="360" w:lineRule="auto"/>
        <w:ind w:hanging="426"/>
        <w:jc w:val="both"/>
        <w:rPr>
          <w:rFonts w:ascii="Arial" w:hAnsi="Arial" w:cs="Arial"/>
          <w:sz w:val="24"/>
          <w:szCs w:val="24"/>
        </w:rPr>
      </w:pPr>
    </w:p>
    <w:p w:rsidR="00AB3E70" w:rsidRDefault="00AB3E70" w:rsidP="00697CF8">
      <w:pPr>
        <w:tabs>
          <w:tab w:val="left" w:pos="284"/>
        </w:tabs>
        <w:spacing w:after="0" w:line="360" w:lineRule="auto"/>
        <w:ind w:hanging="426"/>
        <w:jc w:val="both"/>
        <w:rPr>
          <w:rFonts w:ascii="Arial" w:hAnsi="Arial" w:cs="Arial"/>
          <w:sz w:val="24"/>
          <w:szCs w:val="24"/>
        </w:rPr>
      </w:pPr>
    </w:p>
    <w:p w:rsidR="00B3686F" w:rsidRPr="00B04A3A" w:rsidRDefault="00B3686F" w:rsidP="00B04A3A">
      <w:pPr>
        <w:spacing w:after="120" w:line="240" w:lineRule="auto"/>
        <w:jc w:val="center"/>
        <w:rPr>
          <w:rFonts w:ascii="Arial" w:eastAsia="Times New Roman" w:hAnsi="Arial" w:cs="Arial"/>
          <w:b/>
          <w:sz w:val="24"/>
          <w:szCs w:val="24"/>
          <w:lang w:val="es-CO" w:eastAsia="es-UY"/>
        </w:rPr>
      </w:pPr>
      <w:r w:rsidRPr="00B04A3A">
        <w:rPr>
          <w:rFonts w:ascii="Arial" w:eastAsia="Times New Roman" w:hAnsi="Arial" w:cs="Arial"/>
          <w:b/>
          <w:sz w:val="24"/>
          <w:szCs w:val="24"/>
          <w:lang w:val="es-CO" w:eastAsia="es-UY"/>
        </w:rPr>
        <w:t>INFORME A LA ADMINISTRACIÓN</w:t>
      </w:r>
    </w:p>
    <w:p w:rsidR="00B3686F" w:rsidRPr="00B04A3A" w:rsidRDefault="00B3686F" w:rsidP="00B04A3A">
      <w:pPr>
        <w:spacing w:after="0" w:line="360" w:lineRule="auto"/>
        <w:jc w:val="both"/>
        <w:rPr>
          <w:rFonts w:ascii="Arial" w:eastAsia="Times New Roman" w:hAnsi="Arial" w:cs="Arial"/>
          <w:sz w:val="24"/>
          <w:szCs w:val="24"/>
          <w:lang w:eastAsia="es-UY"/>
        </w:rPr>
      </w:pPr>
    </w:p>
    <w:p w:rsidR="00B3686F" w:rsidRPr="00B04A3A" w:rsidRDefault="00B3686F" w:rsidP="00B04A3A">
      <w:pPr>
        <w:spacing w:after="0" w:line="360" w:lineRule="auto"/>
        <w:jc w:val="both"/>
        <w:rPr>
          <w:rFonts w:ascii="Arial" w:hAnsi="Arial" w:cs="Arial"/>
          <w:sz w:val="24"/>
          <w:szCs w:val="24"/>
        </w:rPr>
      </w:pPr>
      <w:r w:rsidRPr="00B04A3A">
        <w:rPr>
          <w:rFonts w:ascii="Arial" w:hAnsi="Arial" w:cs="Arial"/>
          <w:sz w:val="24"/>
          <w:szCs w:val="24"/>
        </w:rPr>
        <w:t>El Tribunal de Cuentas ha examinado los estados financieros de la Cámara de Representantes (C.RR), correspondientes al Ejercicio 2016 y ha emitido el dictamen correspondiente.</w:t>
      </w:r>
    </w:p>
    <w:p w:rsidR="00B3686F" w:rsidRPr="00B04A3A" w:rsidRDefault="00B3686F" w:rsidP="00B04A3A">
      <w:pPr>
        <w:spacing w:after="0" w:line="360" w:lineRule="auto"/>
        <w:jc w:val="both"/>
        <w:rPr>
          <w:rFonts w:ascii="Arial" w:hAnsi="Arial" w:cs="Arial"/>
          <w:sz w:val="24"/>
          <w:szCs w:val="24"/>
        </w:rPr>
      </w:pPr>
      <w:r w:rsidRPr="00B04A3A">
        <w:rPr>
          <w:rFonts w:ascii="Arial" w:hAnsi="Arial" w:cs="Arial"/>
          <w:sz w:val="24"/>
          <w:szCs w:val="24"/>
        </w:rPr>
        <w:t>Este informe contiene consideraciones relativas a la evaluación del sistema de control interno del Organismo. Se incluyen además comentarios que se han entendido convenientes exponer, relacionados a la situación de determinados capítulos y rubros de los estados examinados y a disposiciones leg</w:t>
      </w:r>
      <w:r w:rsidR="00AB3E70">
        <w:rPr>
          <w:rFonts w:ascii="Arial" w:hAnsi="Arial" w:cs="Arial"/>
          <w:sz w:val="24"/>
          <w:szCs w:val="24"/>
        </w:rPr>
        <w:t>ales y reglamentarias vigentes.</w:t>
      </w:r>
    </w:p>
    <w:p w:rsidR="00B3686F" w:rsidRPr="00B04A3A" w:rsidRDefault="00B3686F" w:rsidP="00B04A3A">
      <w:pPr>
        <w:spacing w:after="0" w:line="360" w:lineRule="auto"/>
        <w:jc w:val="both"/>
        <w:rPr>
          <w:rFonts w:ascii="Arial" w:hAnsi="Arial" w:cs="Arial"/>
          <w:sz w:val="24"/>
          <w:szCs w:val="24"/>
        </w:rPr>
      </w:pPr>
      <w:r w:rsidRPr="00B04A3A">
        <w:rPr>
          <w:rFonts w:ascii="Arial" w:hAnsi="Arial" w:cs="Arial"/>
          <w:sz w:val="24"/>
          <w:szCs w:val="24"/>
        </w:rPr>
        <w:t xml:space="preserve">También se agregan las principales recomendaciones que </w:t>
      </w:r>
      <w:proofErr w:type="gramStart"/>
      <w:r w:rsidRPr="00B04A3A">
        <w:rPr>
          <w:rFonts w:ascii="Arial" w:hAnsi="Arial" w:cs="Arial"/>
          <w:sz w:val="24"/>
          <w:szCs w:val="24"/>
        </w:rPr>
        <w:t>deberá</w:t>
      </w:r>
      <w:proofErr w:type="gramEnd"/>
      <w:r w:rsidRPr="00B04A3A">
        <w:rPr>
          <w:rFonts w:ascii="Arial" w:hAnsi="Arial" w:cs="Arial"/>
          <w:sz w:val="24"/>
          <w:szCs w:val="24"/>
        </w:rPr>
        <w:t xml:space="preserve"> atender el Organismo y una evaluación del cumplimiento de las recomendaciones efectuadas en el informe de auditoría del Eje</w:t>
      </w:r>
      <w:r w:rsidR="00AB3E70">
        <w:rPr>
          <w:rFonts w:ascii="Arial" w:hAnsi="Arial" w:cs="Arial"/>
          <w:sz w:val="24"/>
          <w:szCs w:val="24"/>
        </w:rPr>
        <w:t>rcicio anterior.</w:t>
      </w:r>
    </w:p>
    <w:p w:rsidR="00B3686F" w:rsidRPr="00B04A3A" w:rsidRDefault="00B3686F" w:rsidP="00B04A3A">
      <w:pPr>
        <w:tabs>
          <w:tab w:val="left" w:pos="360"/>
          <w:tab w:val="left" w:pos="567"/>
          <w:tab w:val="left" w:pos="1560"/>
          <w:tab w:val="right" w:pos="5387"/>
          <w:tab w:val="right" w:pos="7513"/>
        </w:tabs>
        <w:spacing w:after="0" w:line="360" w:lineRule="auto"/>
        <w:jc w:val="both"/>
        <w:rPr>
          <w:rFonts w:ascii="Arial" w:eastAsia="Times New Roman" w:hAnsi="Arial" w:cs="Arial"/>
          <w:b/>
          <w:sz w:val="24"/>
          <w:szCs w:val="24"/>
        </w:rPr>
      </w:pPr>
    </w:p>
    <w:p w:rsidR="00B3686F" w:rsidRPr="00B04A3A" w:rsidRDefault="00B3686F" w:rsidP="00B04A3A">
      <w:pPr>
        <w:tabs>
          <w:tab w:val="left" w:pos="426"/>
          <w:tab w:val="left" w:pos="567"/>
          <w:tab w:val="left" w:pos="1560"/>
          <w:tab w:val="right" w:pos="5387"/>
          <w:tab w:val="right" w:pos="7513"/>
        </w:tabs>
        <w:spacing w:after="0" w:line="360" w:lineRule="auto"/>
        <w:jc w:val="both"/>
        <w:rPr>
          <w:rFonts w:ascii="Arial" w:eastAsia="Times New Roman" w:hAnsi="Arial" w:cs="Arial"/>
          <w:b/>
          <w:sz w:val="24"/>
          <w:szCs w:val="24"/>
          <w:lang w:val="es-ES_tradnl"/>
        </w:rPr>
      </w:pPr>
      <w:r w:rsidRPr="00B04A3A">
        <w:rPr>
          <w:rFonts w:ascii="Arial" w:eastAsia="Times New Roman" w:hAnsi="Arial" w:cs="Arial"/>
          <w:b/>
          <w:sz w:val="24"/>
          <w:szCs w:val="24"/>
          <w:lang w:val="es-ES_tradnl"/>
        </w:rPr>
        <w:t>Presentación de los Estados</w:t>
      </w:r>
    </w:p>
    <w:p w:rsidR="00B3686F" w:rsidRPr="002C35CD" w:rsidRDefault="00B3686F" w:rsidP="00B04A3A">
      <w:pPr>
        <w:keepNext/>
        <w:keepLines/>
        <w:tabs>
          <w:tab w:val="left" w:pos="1418"/>
        </w:tabs>
        <w:spacing w:after="0" w:line="360" w:lineRule="auto"/>
        <w:jc w:val="both"/>
        <w:rPr>
          <w:rFonts w:ascii="Arial" w:hAnsi="Arial" w:cs="Arial"/>
          <w:sz w:val="24"/>
          <w:szCs w:val="24"/>
          <w:lang w:val="es-ES"/>
        </w:rPr>
      </w:pPr>
      <w:r w:rsidRPr="00B04A3A">
        <w:rPr>
          <w:rFonts w:ascii="Arial" w:hAnsi="Arial" w:cs="Arial"/>
          <w:sz w:val="24"/>
          <w:szCs w:val="24"/>
          <w:lang w:val="es-ES"/>
        </w:rPr>
        <w:t xml:space="preserve">Los estados financieros de la Cámara de Representantes correspondientes al </w:t>
      </w:r>
      <w:r>
        <w:rPr>
          <w:rFonts w:ascii="Arial" w:hAnsi="Arial" w:cs="Arial"/>
          <w:sz w:val="24"/>
          <w:szCs w:val="24"/>
          <w:lang w:val="es-ES"/>
        </w:rPr>
        <w:t>E</w:t>
      </w:r>
      <w:r w:rsidRPr="00B04A3A">
        <w:rPr>
          <w:rFonts w:ascii="Arial" w:hAnsi="Arial" w:cs="Arial"/>
          <w:sz w:val="24"/>
          <w:szCs w:val="24"/>
          <w:lang w:val="es-ES"/>
        </w:rPr>
        <w:t>jercicio finalizado al 31 de diciembre de 2016, fueron remitidos para su examen a este Tribunal con fecha 11/10/2017.</w:t>
      </w:r>
    </w:p>
    <w:p w:rsidR="00B3686F" w:rsidRPr="00B04A3A" w:rsidRDefault="00B3686F" w:rsidP="00B04A3A">
      <w:pPr>
        <w:keepNext/>
        <w:keepLines/>
        <w:tabs>
          <w:tab w:val="left" w:pos="1418"/>
        </w:tabs>
        <w:spacing w:after="0" w:line="360" w:lineRule="auto"/>
        <w:jc w:val="both"/>
        <w:rPr>
          <w:rFonts w:ascii="Arial" w:hAnsi="Arial" w:cs="Arial"/>
          <w:sz w:val="24"/>
          <w:szCs w:val="24"/>
        </w:rPr>
      </w:pPr>
    </w:p>
    <w:p w:rsidR="00B3686F" w:rsidRPr="00B04A3A" w:rsidRDefault="00B3686F" w:rsidP="00B04A3A">
      <w:pPr>
        <w:tabs>
          <w:tab w:val="left" w:pos="426"/>
        </w:tabs>
        <w:spacing w:after="0" w:line="360" w:lineRule="auto"/>
        <w:jc w:val="both"/>
        <w:rPr>
          <w:rFonts w:ascii="Arial" w:hAnsi="Arial" w:cs="Arial"/>
          <w:b/>
          <w:sz w:val="24"/>
          <w:szCs w:val="24"/>
        </w:rPr>
      </w:pPr>
      <w:r w:rsidRPr="00B04A3A">
        <w:rPr>
          <w:rFonts w:ascii="Arial" w:hAnsi="Arial" w:cs="Arial"/>
          <w:b/>
          <w:sz w:val="24"/>
          <w:szCs w:val="24"/>
        </w:rPr>
        <w:t>Constataciones que afectan la opinión</w:t>
      </w:r>
    </w:p>
    <w:p w:rsidR="00B3686F" w:rsidRPr="00B04A3A" w:rsidRDefault="00B3686F" w:rsidP="00B04A3A">
      <w:pPr>
        <w:tabs>
          <w:tab w:val="left" w:pos="426"/>
        </w:tabs>
        <w:spacing w:after="0" w:line="360" w:lineRule="auto"/>
        <w:jc w:val="both"/>
        <w:rPr>
          <w:rFonts w:ascii="Arial" w:hAnsi="Arial" w:cs="Arial"/>
          <w:b/>
          <w:sz w:val="24"/>
          <w:szCs w:val="24"/>
          <w:lang w:val="es-ES"/>
        </w:rPr>
      </w:pPr>
      <w:r w:rsidRPr="00B04A3A">
        <w:rPr>
          <w:rFonts w:ascii="Arial" w:hAnsi="Arial" w:cs="Arial"/>
          <w:b/>
          <w:sz w:val="24"/>
          <w:szCs w:val="24"/>
          <w:lang w:val="es-ES"/>
        </w:rPr>
        <w:t>Estado de Fuentes y Usos de Fondos</w:t>
      </w:r>
    </w:p>
    <w:p w:rsidR="00B3686F" w:rsidRPr="00B04A3A" w:rsidRDefault="00B3686F" w:rsidP="00B04A3A">
      <w:pPr>
        <w:tabs>
          <w:tab w:val="left" w:pos="284"/>
        </w:tabs>
        <w:spacing w:after="0" w:line="360" w:lineRule="auto"/>
        <w:jc w:val="both"/>
        <w:rPr>
          <w:rFonts w:ascii="Arial" w:eastAsia="Arial" w:hAnsi="Arial"/>
          <w:sz w:val="24"/>
        </w:rPr>
      </w:pPr>
      <w:r w:rsidRPr="00B04A3A">
        <w:rPr>
          <w:rFonts w:ascii="Arial" w:hAnsi="Arial" w:cs="Arial"/>
          <w:sz w:val="24"/>
          <w:szCs w:val="24"/>
        </w:rPr>
        <w:t xml:space="preserve">El Estado de Origen y Aplicación de Fondos se </w:t>
      </w:r>
      <w:r>
        <w:rPr>
          <w:rFonts w:ascii="Arial" w:hAnsi="Arial" w:cs="Arial"/>
          <w:bCs/>
          <w:sz w:val="24"/>
          <w:szCs w:val="24"/>
          <w:lang w:val="es-ES"/>
        </w:rPr>
        <w:t>presenta de acuerdo con el</w:t>
      </w:r>
      <w:r w:rsidRPr="00B04A3A">
        <w:rPr>
          <w:rFonts w:ascii="Arial" w:hAnsi="Arial" w:cs="Arial"/>
          <w:bCs/>
          <w:sz w:val="24"/>
          <w:szCs w:val="24"/>
          <w:lang w:val="es-ES"/>
        </w:rPr>
        <w:t xml:space="preserve"> criterio de fondos igual efectivo y equivalentes; las partidas correspondientes a adquisiciones de bienes de uso no corresponden a los pagos efectuados por las compras de los mismos y se ajustan los fondos provenientes de operaciones</w:t>
      </w:r>
      <w:r>
        <w:rPr>
          <w:rFonts w:ascii="Arial" w:hAnsi="Arial" w:cs="Arial"/>
          <w:bCs/>
          <w:sz w:val="24"/>
          <w:szCs w:val="24"/>
          <w:lang w:val="es-ES"/>
        </w:rPr>
        <w:t xml:space="preserve"> incluyendo un ajuste por $ 21:</w:t>
      </w:r>
      <w:r w:rsidRPr="00B04A3A">
        <w:rPr>
          <w:rFonts w:ascii="Arial" w:hAnsi="Arial" w:cs="Arial"/>
          <w:bCs/>
          <w:sz w:val="24"/>
          <w:szCs w:val="24"/>
          <w:lang w:val="es-ES"/>
        </w:rPr>
        <w:t>995.954 no especificándose a que corresponde dicha rectificación. Este ajuste repre</w:t>
      </w:r>
      <w:r>
        <w:rPr>
          <w:rFonts w:ascii="Arial" w:hAnsi="Arial" w:cs="Arial"/>
          <w:bCs/>
          <w:sz w:val="24"/>
          <w:szCs w:val="24"/>
          <w:lang w:val="es-ES"/>
        </w:rPr>
        <w:t>senta el 19% del resultado del E</w:t>
      </w:r>
      <w:r w:rsidRPr="00B04A3A">
        <w:rPr>
          <w:rFonts w:ascii="Arial" w:hAnsi="Arial" w:cs="Arial"/>
          <w:bCs/>
          <w:sz w:val="24"/>
          <w:szCs w:val="24"/>
          <w:lang w:val="es-ES"/>
        </w:rPr>
        <w:t>jercicio.</w:t>
      </w:r>
    </w:p>
    <w:p w:rsidR="00B3686F" w:rsidRPr="00B04A3A" w:rsidRDefault="00B3686F" w:rsidP="00B04A3A">
      <w:pPr>
        <w:spacing w:after="0" w:line="360" w:lineRule="auto"/>
        <w:jc w:val="both"/>
        <w:rPr>
          <w:rFonts w:ascii="Arial" w:hAnsi="Arial" w:cs="Arial"/>
          <w:sz w:val="24"/>
          <w:szCs w:val="24"/>
        </w:rPr>
      </w:pPr>
    </w:p>
    <w:p w:rsidR="00B3686F" w:rsidRPr="00B04A3A" w:rsidRDefault="00B3686F" w:rsidP="00B04A3A">
      <w:pPr>
        <w:tabs>
          <w:tab w:val="left" w:pos="426"/>
        </w:tabs>
        <w:spacing w:after="0" w:line="360" w:lineRule="auto"/>
        <w:jc w:val="both"/>
        <w:rPr>
          <w:rFonts w:ascii="Arial" w:hAnsi="Arial" w:cs="Arial"/>
          <w:b/>
          <w:sz w:val="24"/>
          <w:szCs w:val="24"/>
        </w:rPr>
      </w:pPr>
      <w:r w:rsidRPr="00B04A3A">
        <w:rPr>
          <w:rFonts w:ascii="Arial" w:hAnsi="Arial" w:cs="Arial"/>
          <w:b/>
          <w:sz w:val="24"/>
          <w:szCs w:val="24"/>
        </w:rPr>
        <w:t>Incumplimiento de disposi</w:t>
      </w:r>
      <w:r w:rsidR="002C35CD">
        <w:rPr>
          <w:rFonts w:ascii="Arial" w:hAnsi="Arial" w:cs="Arial"/>
          <w:b/>
          <w:sz w:val="24"/>
          <w:szCs w:val="24"/>
        </w:rPr>
        <w:t>ciones legales y reglamentarias.</w:t>
      </w:r>
    </w:p>
    <w:p w:rsidR="00B3686F" w:rsidRPr="00B04A3A" w:rsidRDefault="00B3686F" w:rsidP="00B04A3A">
      <w:pPr>
        <w:tabs>
          <w:tab w:val="left" w:pos="567"/>
        </w:tabs>
        <w:spacing w:after="0" w:line="360" w:lineRule="auto"/>
        <w:jc w:val="both"/>
        <w:rPr>
          <w:rFonts w:ascii="Arial" w:hAnsi="Arial" w:cs="Arial"/>
          <w:b/>
          <w:sz w:val="24"/>
          <w:szCs w:val="24"/>
          <w:lang w:val="es-ES"/>
        </w:rPr>
      </w:pPr>
      <w:r w:rsidRPr="00B04A3A">
        <w:rPr>
          <w:rFonts w:ascii="Arial" w:hAnsi="Arial" w:cs="Arial"/>
          <w:b/>
          <w:bCs/>
          <w:sz w:val="24"/>
          <w:szCs w:val="24"/>
        </w:rPr>
        <w:t>Artículo 20 del TOCAF</w:t>
      </w:r>
    </w:p>
    <w:p w:rsidR="00B3686F" w:rsidRPr="00B04A3A" w:rsidRDefault="00B3686F" w:rsidP="00B04A3A">
      <w:pPr>
        <w:spacing w:after="0" w:line="360" w:lineRule="auto"/>
        <w:jc w:val="both"/>
        <w:rPr>
          <w:rFonts w:ascii="Arial" w:hAnsi="Arial" w:cs="Arial"/>
          <w:bCs/>
          <w:sz w:val="24"/>
          <w:szCs w:val="24"/>
        </w:rPr>
      </w:pPr>
      <w:r w:rsidRPr="00B04A3A">
        <w:rPr>
          <w:rFonts w:ascii="Arial" w:hAnsi="Arial" w:cs="Arial"/>
          <w:bCs/>
          <w:sz w:val="24"/>
          <w:szCs w:val="24"/>
        </w:rPr>
        <w:t xml:space="preserve">De acuerdo </w:t>
      </w:r>
      <w:r>
        <w:rPr>
          <w:rFonts w:ascii="Arial" w:hAnsi="Arial" w:cs="Arial"/>
          <w:bCs/>
          <w:sz w:val="24"/>
          <w:szCs w:val="24"/>
        </w:rPr>
        <w:t>con el</w:t>
      </w:r>
      <w:r w:rsidRPr="00B04A3A">
        <w:rPr>
          <w:rFonts w:ascii="Arial" w:hAnsi="Arial" w:cs="Arial"/>
          <w:bCs/>
          <w:sz w:val="24"/>
          <w:szCs w:val="24"/>
        </w:rPr>
        <w:t xml:space="preserve"> Artículo 20 del TOCAF, los gastos se devengan cuando surge la obligación de pago por el cumplimiento de un servicio o de una prestación. En la contratación para mantenimiento de máquina de café (expediente 78419) se pactó que el abono mensual por el servicio prestado será computado mensualmente  por anticipado y pagadero dentro del 1 al 15 de cada mes lo cual con</w:t>
      </w:r>
      <w:r>
        <w:rPr>
          <w:rFonts w:ascii="Arial" w:hAnsi="Arial" w:cs="Arial"/>
          <w:bCs/>
          <w:sz w:val="24"/>
          <w:szCs w:val="24"/>
        </w:rPr>
        <w:t>traviene el A</w:t>
      </w:r>
      <w:r w:rsidRPr="00B04A3A">
        <w:rPr>
          <w:rFonts w:ascii="Arial" w:hAnsi="Arial" w:cs="Arial"/>
          <w:bCs/>
          <w:sz w:val="24"/>
          <w:szCs w:val="24"/>
        </w:rPr>
        <w:t>rtículo mencionado.</w:t>
      </w:r>
    </w:p>
    <w:p w:rsidR="00B3686F" w:rsidRPr="00B04A3A" w:rsidRDefault="00B3686F" w:rsidP="00B04A3A">
      <w:pPr>
        <w:tabs>
          <w:tab w:val="left" w:pos="567"/>
        </w:tabs>
        <w:spacing w:after="0" w:line="360" w:lineRule="auto"/>
        <w:jc w:val="both"/>
        <w:rPr>
          <w:rFonts w:ascii="Arial" w:hAnsi="Arial" w:cs="Arial"/>
          <w:b/>
          <w:bCs/>
          <w:sz w:val="24"/>
          <w:szCs w:val="24"/>
        </w:rPr>
      </w:pPr>
      <w:r w:rsidRPr="00B04A3A">
        <w:rPr>
          <w:rFonts w:ascii="Arial" w:hAnsi="Arial" w:cs="Arial"/>
          <w:b/>
          <w:bCs/>
          <w:sz w:val="24"/>
          <w:szCs w:val="24"/>
        </w:rPr>
        <w:t>Artículo 24 del TOCAF</w:t>
      </w:r>
    </w:p>
    <w:p w:rsidR="00B3686F" w:rsidRPr="00B04A3A" w:rsidRDefault="00B3686F" w:rsidP="00B04A3A">
      <w:pPr>
        <w:spacing w:after="0" w:line="360" w:lineRule="auto"/>
        <w:jc w:val="both"/>
        <w:rPr>
          <w:rFonts w:ascii="Arial" w:hAnsi="Arial" w:cs="Arial"/>
          <w:bCs/>
          <w:sz w:val="24"/>
          <w:szCs w:val="24"/>
        </w:rPr>
      </w:pPr>
      <w:r w:rsidRPr="00B04A3A">
        <w:rPr>
          <w:rFonts w:ascii="Arial" w:hAnsi="Arial" w:cs="Arial"/>
          <w:bCs/>
          <w:sz w:val="24"/>
          <w:szCs w:val="24"/>
        </w:rPr>
        <w:t>Proceder de acuerdo con el Artículo 24 del TOCAF, deduciendo en las solicitudes de duodécimos al Poder Ejecutivo las disponibilidades existentes al cierre de Ejercicio, generadas por los créditos anuales de funcionami</w:t>
      </w:r>
      <w:r w:rsidR="00AB3E70">
        <w:rPr>
          <w:rFonts w:ascii="Arial" w:hAnsi="Arial" w:cs="Arial"/>
          <w:bCs/>
          <w:sz w:val="24"/>
          <w:szCs w:val="24"/>
        </w:rPr>
        <w:t>ento e inversión no ejecutados.</w:t>
      </w:r>
    </w:p>
    <w:p w:rsidR="00B3686F" w:rsidRPr="00B04A3A" w:rsidRDefault="00B3686F" w:rsidP="00B04A3A">
      <w:pPr>
        <w:tabs>
          <w:tab w:val="left" w:pos="567"/>
        </w:tabs>
        <w:spacing w:after="0" w:line="360" w:lineRule="auto"/>
        <w:jc w:val="both"/>
        <w:rPr>
          <w:rFonts w:ascii="Arial" w:hAnsi="Arial" w:cs="Arial"/>
          <w:b/>
          <w:sz w:val="24"/>
          <w:szCs w:val="24"/>
          <w:lang w:val="es-ES"/>
        </w:rPr>
      </w:pPr>
      <w:r w:rsidRPr="00B04A3A">
        <w:rPr>
          <w:rFonts w:ascii="Arial" w:hAnsi="Arial" w:cs="Arial"/>
          <w:b/>
          <w:sz w:val="24"/>
          <w:szCs w:val="24"/>
          <w:lang w:val="es-ES"/>
        </w:rPr>
        <w:t>NICSP 4 (Tenencia de Moneda Extranjera)</w:t>
      </w:r>
    </w:p>
    <w:p w:rsidR="00B3686F" w:rsidRPr="00B04A3A" w:rsidRDefault="00B3686F" w:rsidP="00B04A3A">
      <w:pPr>
        <w:tabs>
          <w:tab w:val="left" w:pos="284"/>
        </w:tabs>
        <w:spacing w:after="0" w:line="360" w:lineRule="auto"/>
        <w:contextualSpacing/>
        <w:jc w:val="both"/>
        <w:rPr>
          <w:rFonts w:ascii="Arial" w:hAnsi="Arial" w:cs="Arial"/>
          <w:sz w:val="24"/>
          <w:szCs w:val="24"/>
          <w:lang w:val="es-ES"/>
        </w:rPr>
      </w:pPr>
      <w:r w:rsidRPr="00B04A3A">
        <w:rPr>
          <w:rFonts w:ascii="Arial" w:hAnsi="Arial" w:cs="Arial"/>
          <w:sz w:val="24"/>
          <w:szCs w:val="24"/>
          <w:lang w:val="es-ES"/>
        </w:rPr>
        <w:t>No se registran las diferencias de cambio devengadas por la tenencia de moneda extranjera de acuerdo con el párrafo 24 de la NICSP 4.</w:t>
      </w:r>
    </w:p>
    <w:p w:rsidR="00B3686F" w:rsidRPr="00B04A3A" w:rsidRDefault="00B3686F" w:rsidP="00B04A3A">
      <w:pPr>
        <w:tabs>
          <w:tab w:val="left" w:pos="284"/>
          <w:tab w:val="left" w:pos="567"/>
        </w:tabs>
        <w:spacing w:after="0" w:line="360" w:lineRule="auto"/>
        <w:contextualSpacing/>
        <w:jc w:val="both"/>
        <w:rPr>
          <w:rFonts w:ascii="Arial" w:hAnsi="Arial" w:cs="Arial"/>
          <w:b/>
          <w:sz w:val="24"/>
          <w:szCs w:val="24"/>
          <w:lang w:val="es-ES"/>
        </w:rPr>
      </w:pPr>
      <w:r w:rsidRPr="00B04A3A">
        <w:rPr>
          <w:rFonts w:ascii="Arial" w:hAnsi="Arial" w:cs="Arial"/>
          <w:b/>
          <w:sz w:val="24"/>
          <w:szCs w:val="24"/>
          <w:lang w:val="es-ES"/>
        </w:rPr>
        <w:t>NICSP 1 (Cargas sociales)</w:t>
      </w:r>
    </w:p>
    <w:p w:rsidR="00B3686F" w:rsidRPr="00B04A3A" w:rsidRDefault="00B3686F" w:rsidP="00B04A3A">
      <w:pPr>
        <w:spacing w:after="0" w:line="360" w:lineRule="auto"/>
        <w:jc w:val="both"/>
        <w:rPr>
          <w:rFonts w:ascii="Arial" w:hAnsi="Arial" w:cs="Arial"/>
          <w:sz w:val="24"/>
          <w:szCs w:val="24"/>
          <w:lang w:val="es-ES"/>
        </w:rPr>
      </w:pPr>
      <w:r w:rsidRPr="00B04A3A">
        <w:rPr>
          <w:rFonts w:ascii="Arial" w:hAnsi="Arial" w:cs="Arial"/>
          <w:sz w:val="24"/>
          <w:szCs w:val="24"/>
          <w:lang w:val="es-ES"/>
        </w:rPr>
        <w:t>El Pasivo expuesto no incluye los saldos adeudados a organismos del estado cuyo pago realiza la Tesorería General de la Nación (TGN) por cuenta y orden de dicha Cámara. Estos se encuentran deducidos de los saldos activos pen</w:t>
      </w:r>
      <w:r>
        <w:rPr>
          <w:rFonts w:ascii="Arial" w:hAnsi="Arial" w:cs="Arial"/>
          <w:sz w:val="24"/>
          <w:szCs w:val="24"/>
          <w:lang w:val="es-ES"/>
        </w:rPr>
        <w:t>dientes de cobro al cierre del E</w:t>
      </w:r>
      <w:r w:rsidRPr="00B04A3A">
        <w:rPr>
          <w:rFonts w:ascii="Arial" w:hAnsi="Arial" w:cs="Arial"/>
          <w:sz w:val="24"/>
          <w:szCs w:val="24"/>
          <w:lang w:val="es-ES"/>
        </w:rPr>
        <w:t>jercicio de la TGN, presentado compensaciones de activos con pasivos, que incumplen lo dispu</w:t>
      </w:r>
      <w:r w:rsidR="00AB3E70">
        <w:rPr>
          <w:rFonts w:ascii="Arial" w:hAnsi="Arial" w:cs="Arial"/>
          <w:sz w:val="24"/>
          <w:szCs w:val="24"/>
          <w:lang w:val="es-ES"/>
        </w:rPr>
        <w:t>esto en la NICSP 1, párrafo 48.</w:t>
      </w:r>
    </w:p>
    <w:p w:rsidR="00B3686F" w:rsidRPr="00B04A3A" w:rsidRDefault="00B3686F" w:rsidP="00B04A3A">
      <w:pPr>
        <w:spacing w:after="0" w:line="360" w:lineRule="auto"/>
        <w:jc w:val="both"/>
        <w:rPr>
          <w:rFonts w:ascii="Arial" w:hAnsi="Arial" w:cs="Arial"/>
          <w:sz w:val="24"/>
          <w:szCs w:val="24"/>
          <w:lang w:val="es-ES"/>
        </w:rPr>
      </w:pPr>
    </w:p>
    <w:p w:rsidR="00B3686F" w:rsidRPr="00B04A3A" w:rsidRDefault="00B3686F" w:rsidP="00B04A3A">
      <w:pPr>
        <w:tabs>
          <w:tab w:val="left" w:pos="426"/>
        </w:tabs>
        <w:spacing w:after="0" w:line="360" w:lineRule="auto"/>
        <w:jc w:val="both"/>
        <w:rPr>
          <w:rFonts w:ascii="Arial" w:hAnsi="Arial" w:cs="Arial"/>
          <w:b/>
          <w:sz w:val="24"/>
          <w:szCs w:val="24"/>
        </w:rPr>
      </w:pPr>
      <w:r w:rsidRPr="00B04A3A">
        <w:rPr>
          <w:rFonts w:ascii="Arial" w:hAnsi="Arial" w:cs="Arial"/>
          <w:b/>
          <w:sz w:val="24"/>
          <w:szCs w:val="24"/>
        </w:rPr>
        <w:t>Otros aspectos que no afectan la opinión.</w:t>
      </w:r>
    </w:p>
    <w:p w:rsidR="00B3686F" w:rsidRPr="00B04A3A" w:rsidRDefault="00B3686F" w:rsidP="00B04A3A">
      <w:pPr>
        <w:tabs>
          <w:tab w:val="left" w:pos="284"/>
        </w:tabs>
        <w:spacing w:after="0" w:line="360" w:lineRule="auto"/>
        <w:jc w:val="both"/>
        <w:rPr>
          <w:rFonts w:ascii="Arial" w:hAnsi="Arial" w:cs="Arial"/>
          <w:b/>
          <w:sz w:val="24"/>
          <w:szCs w:val="24"/>
        </w:rPr>
      </w:pPr>
      <w:r w:rsidRPr="00B04A3A">
        <w:rPr>
          <w:rFonts w:ascii="Arial" w:hAnsi="Arial" w:cs="Arial"/>
          <w:b/>
          <w:sz w:val="24"/>
          <w:szCs w:val="24"/>
        </w:rPr>
        <w:t>Amortizaciones</w:t>
      </w:r>
    </w:p>
    <w:p w:rsidR="00B3686F" w:rsidRPr="00B04A3A" w:rsidRDefault="00B3686F" w:rsidP="00B04A3A">
      <w:pPr>
        <w:tabs>
          <w:tab w:val="left" w:pos="426"/>
        </w:tabs>
        <w:spacing w:after="0" w:line="360" w:lineRule="auto"/>
        <w:jc w:val="both"/>
        <w:rPr>
          <w:rFonts w:ascii="Arial" w:hAnsi="Arial" w:cs="Arial"/>
          <w:sz w:val="24"/>
          <w:szCs w:val="24"/>
        </w:rPr>
      </w:pPr>
      <w:r>
        <w:rPr>
          <w:rFonts w:ascii="Arial" w:hAnsi="Arial" w:cs="Arial"/>
          <w:sz w:val="24"/>
          <w:szCs w:val="24"/>
        </w:rPr>
        <w:t>Las amortizaciones del Ejercicio de acuerdo con el</w:t>
      </w:r>
      <w:r w:rsidRPr="00B04A3A">
        <w:rPr>
          <w:rFonts w:ascii="Arial" w:hAnsi="Arial" w:cs="Arial"/>
          <w:sz w:val="24"/>
          <w:szCs w:val="24"/>
        </w:rPr>
        <w:t xml:space="preserve"> cuadro de bienes de us</w:t>
      </w:r>
      <w:r>
        <w:rPr>
          <w:rFonts w:ascii="Arial" w:hAnsi="Arial" w:cs="Arial"/>
          <w:sz w:val="24"/>
          <w:szCs w:val="24"/>
        </w:rPr>
        <w:t>o y amortizaciones son $ 4:</w:t>
      </w:r>
      <w:r w:rsidRPr="00B04A3A">
        <w:rPr>
          <w:rFonts w:ascii="Arial" w:hAnsi="Arial" w:cs="Arial"/>
          <w:sz w:val="24"/>
          <w:szCs w:val="24"/>
        </w:rPr>
        <w:t>442.889; las cuales no coinciden con el estado de gestión donde se</w:t>
      </w:r>
      <w:r>
        <w:rPr>
          <w:rFonts w:ascii="Arial" w:hAnsi="Arial" w:cs="Arial"/>
          <w:sz w:val="24"/>
          <w:szCs w:val="24"/>
        </w:rPr>
        <w:t xml:space="preserve"> exponen amortizaciones por $ 1:</w:t>
      </w:r>
      <w:r w:rsidRPr="00B04A3A">
        <w:rPr>
          <w:rFonts w:ascii="Arial" w:hAnsi="Arial" w:cs="Arial"/>
          <w:sz w:val="24"/>
          <w:szCs w:val="24"/>
        </w:rPr>
        <w:t>738.027.</w:t>
      </w:r>
    </w:p>
    <w:p w:rsidR="00B3686F" w:rsidRPr="00B04A3A" w:rsidRDefault="00B3686F" w:rsidP="00B04A3A">
      <w:pPr>
        <w:tabs>
          <w:tab w:val="left" w:pos="284"/>
        </w:tabs>
        <w:spacing w:after="0" w:line="360" w:lineRule="auto"/>
        <w:jc w:val="both"/>
        <w:rPr>
          <w:rFonts w:ascii="Arial" w:hAnsi="Arial" w:cs="Arial"/>
          <w:bCs/>
          <w:sz w:val="24"/>
          <w:szCs w:val="24"/>
          <w:lang w:val="es-ES"/>
        </w:rPr>
      </w:pPr>
      <w:r w:rsidRPr="00B04A3A">
        <w:rPr>
          <w:rFonts w:ascii="Arial" w:hAnsi="Arial" w:cs="Arial"/>
          <w:b/>
          <w:sz w:val="24"/>
          <w:szCs w:val="24"/>
          <w:lang w:val="es-ES"/>
        </w:rPr>
        <w:t>Patrimonio</w:t>
      </w:r>
    </w:p>
    <w:p w:rsidR="00B3686F" w:rsidRPr="00B04A3A" w:rsidRDefault="00B3686F" w:rsidP="00B04A3A">
      <w:pPr>
        <w:tabs>
          <w:tab w:val="left" w:pos="284"/>
        </w:tabs>
        <w:spacing w:after="0" w:line="360" w:lineRule="auto"/>
        <w:contextualSpacing/>
        <w:jc w:val="both"/>
        <w:rPr>
          <w:rFonts w:ascii="Arial" w:hAnsi="Arial" w:cs="Arial"/>
          <w:bCs/>
          <w:sz w:val="24"/>
          <w:szCs w:val="24"/>
          <w:lang w:val="es-ES"/>
        </w:rPr>
      </w:pPr>
      <w:r w:rsidRPr="00B04A3A">
        <w:rPr>
          <w:rFonts w:ascii="Arial" w:hAnsi="Arial" w:cs="Arial"/>
          <w:bCs/>
          <w:sz w:val="24"/>
          <w:szCs w:val="24"/>
          <w:lang w:val="es-ES"/>
        </w:rPr>
        <w:t>Los Resultados acumulados expuestos en el capítulo del Patrimonio Neto no se corresponden con la acumulación de</w:t>
      </w:r>
      <w:r>
        <w:rPr>
          <w:rFonts w:ascii="Arial" w:hAnsi="Arial" w:cs="Arial"/>
          <w:bCs/>
          <w:sz w:val="24"/>
          <w:szCs w:val="24"/>
          <w:lang w:val="es-ES"/>
        </w:rPr>
        <w:t xml:space="preserve"> los presentados al cierre del E</w:t>
      </w:r>
      <w:r w:rsidRPr="00B04A3A">
        <w:rPr>
          <w:rFonts w:ascii="Arial" w:hAnsi="Arial" w:cs="Arial"/>
          <w:bCs/>
          <w:sz w:val="24"/>
          <w:szCs w:val="24"/>
          <w:lang w:val="es-ES"/>
        </w:rPr>
        <w:t>jercicio 2015, más el corr</w:t>
      </w:r>
      <w:r>
        <w:rPr>
          <w:rFonts w:ascii="Arial" w:hAnsi="Arial" w:cs="Arial"/>
          <w:bCs/>
          <w:sz w:val="24"/>
          <w:szCs w:val="24"/>
          <w:lang w:val="es-ES"/>
        </w:rPr>
        <w:t>espondiente resultado de dicho E</w:t>
      </w:r>
      <w:r w:rsidR="00AB3E70">
        <w:rPr>
          <w:rFonts w:ascii="Arial" w:hAnsi="Arial" w:cs="Arial"/>
          <w:bCs/>
          <w:sz w:val="24"/>
          <w:szCs w:val="24"/>
          <w:lang w:val="es-ES"/>
        </w:rPr>
        <w:t>jercicio.</w:t>
      </w:r>
    </w:p>
    <w:p w:rsidR="00B3686F" w:rsidRPr="00B04A3A" w:rsidRDefault="00B3686F" w:rsidP="00B04A3A">
      <w:pPr>
        <w:tabs>
          <w:tab w:val="left" w:pos="426"/>
        </w:tabs>
        <w:spacing w:after="0" w:line="360" w:lineRule="auto"/>
        <w:jc w:val="both"/>
        <w:rPr>
          <w:rFonts w:ascii="Arial" w:hAnsi="Arial" w:cs="Arial"/>
          <w:sz w:val="24"/>
          <w:szCs w:val="24"/>
          <w:lang w:val="es-ES"/>
        </w:rPr>
      </w:pPr>
    </w:p>
    <w:p w:rsidR="00B3686F" w:rsidRPr="00B04A3A" w:rsidRDefault="00B3686F" w:rsidP="00B04A3A">
      <w:pPr>
        <w:tabs>
          <w:tab w:val="left" w:pos="426"/>
        </w:tabs>
        <w:spacing w:after="0" w:line="360" w:lineRule="auto"/>
        <w:jc w:val="both"/>
        <w:rPr>
          <w:rFonts w:ascii="Arial" w:hAnsi="Arial" w:cs="Arial"/>
          <w:b/>
          <w:sz w:val="24"/>
          <w:szCs w:val="24"/>
        </w:rPr>
      </w:pPr>
      <w:r w:rsidRPr="00B04A3A">
        <w:rPr>
          <w:rFonts w:ascii="Arial" w:hAnsi="Arial" w:cs="Arial"/>
          <w:b/>
          <w:sz w:val="24"/>
          <w:szCs w:val="24"/>
        </w:rPr>
        <w:t>Recomendaciones</w:t>
      </w:r>
    </w:p>
    <w:p w:rsidR="00B3686F" w:rsidRPr="00B04A3A" w:rsidRDefault="00B3686F" w:rsidP="00B04A3A">
      <w:pPr>
        <w:tabs>
          <w:tab w:val="left" w:pos="426"/>
        </w:tabs>
        <w:spacing w:after="0" w:line="360" w:lineRule="auto"/>
        <w:jc w:val="both"/>
        <w:rPr>
          <w:rFonts w:ascii="Arial" w:hAnsi="Arial" w:cs="Arial"/>
          <w:b/>
          <w:sz w:val="24"/>
          <w:szCs w:val="24"/>
        </w:rPr>
      </w:pPr>
      <w:r w:rsidRPr="00B04A3A">
        <w:rPr>
          <w:rFonts w:ascii="Arial" w:hAnsi="Arial" w:cs="Arial"/>
          <w:b/>
          <w:sz w:val="24"/>
          <w:szCs w:val="24"/>
        </w:rPr>
        <w:t>Recomendaciones cumplidas d</w:t>
      </w:r>
      <w:r>
        <w:rPr>
          <w:rFonts w:ascii="Arial" w:hAnsi="Arial" w:cs="Arial"/>
          <w:b/>
          <w:sz w:val="24"/>
          <w:szCs w:val="24"/>
        </w:rPr>
        <w:t>e E</w:t>
      </w:r>
      <w:r w:rsidRPr="00B04A3A">
        <w:rPr>
          <w:rFonts w:ascii="Arial" w:hAnsi="Arial" w:cs="Arial"/>
          <w:b/>
          <w:sz w:val="24"/>
          <w:szCs w:val="24"/>
        </w:rPr>
        <w:t>jercicios anteriores</w:t>
      </w:r>
    </w:p>
    <w:p w:rsidR="00B3686F" w:rsidRPr="00B04A3A" w:rsidRDefault="00B3686F" w:rsidP="00B04A3A">
      <w:pPr>
        <w:tabs>
          <w:tab w:val="left" w:pos="426"/>
        </w:tabs>
        <w:spacing w:after="0" w:line="360" w:lineRule="auto"/>
        <w:jc w:val="both"/>
        <w:rPr>
          <w:rFonts w:ascii="Arial" w:hAnsi="Arial" w:cs="Arial"/>
          <w:sz w:val="24"/>
          <w:szCs w:val="24"/>
        </w:rPr>
      </w:pPr>
      <w:r w:rsidRPr="00B04A3A">
        <w:rPr>
          <w:rFonts w:ascii="Arial" w:hAnsi="Arial" w:cs="Arial"/>
          <w:sz w:val="24"/>
          <w:szCs w:val="24"/>
        </w:rPr>
        <w:t>La Cámara de Representantes ha implementado medidas correctivas respecto a los siguientes aspectos:</w:t>
      </w:r>
    </w:p>
    <w:p w:rsidR="00B3686F" w:rsidRPr="00B04A3A" w:rsidRDefault="00B3686F" w:rsidP="00B3686F">
      <w:pPr>
        <w:numPr>
          <w:ilvl w:val="0"/>
          <w:numId w:val="4"/>
        </w:numPr>
        <w:tabs>
          <w:tab w:val="left" w:pos="0"/>
        </w:tabs>
        <w:spacing w:after="0" w:line="360" w:lineRule="auto"/>
        <w:ind w:left="709" w:hanging="283"/>
        <w:jc w:val="both"/>
        <w:rPr>
          <w:rFonts w:ascii="Arial" w:hAnsi="Arial" w:cs="Arial"/>
          <w:sz w:val="24"/>
          <w:szCs w:val="24"/>
        </w:rPr>
      </w:pPr>
      <w:r>
        <w:rPr>
          <w:rFonts w:ascii="Arial" w:hAnsi="Arial" w:cs="Arial"/>
          <w:sz w:val="24"/>
          <w:szCs w:val="24"/>
        </w:rPr>
        <w:t>Dan cumplimiento con el</w:t>
      </w:r>
      <w:r w:rsidRPr="00B04A3A">
        <w:rPr>
          <w:rFonts w:ascii="Arial" w:hAnsi="Arial" w:cs="Arial"/>
          <w:sz w:val="24"/>
          <w:szCs w:val="24"/>
        </w:rPr>
        <w:t xml:space="preserve"> Artículo 84 del TOCAF ya que se encuentran inventariados la totali</w:t>
      </w:r>
      <w:r>
        <w:rPr>
          <w:rFonts w:ascii="Arial" w:hAnsi="Arial" w:cs="Arial"/>
          <w:sz w:val="24"/>
          <w:szCs w:val="24"/>
        </w:rPr>
        <w:t>dad de bienes adquiridos en el E</w:t>
      </w:r>
      <w:r w:rsidRPr="00B04A3A">
        <w:rPr>
          <w:rFonts w:ascii="Arial" w:hAnsi="Arial" w:cs="Arial"/>
          <w:sz w:val="24"/>
          <w:szCs w:val="24"/>
        </w:rPr>
        <w:t>jercicio.</w:t>
      </w:r>
    </w:p>
    <w:p w:rsidR="00B3686F" w:rsidRPr="00B04A3A" w:rsidRDefault="00B3686F" w:rsidP="00B3686F">
      <w:pPr>
        <w:numPr>
          <w:ilvl w:val="0"/>
          <w:numId w:val="4"/>
        </w:numPr>
        <w:tabs>
          <w:tab w:val="left" w:pos="709"/>
        </w:tabs>
        <w:spacing w:after="0" w:line="360" w:lineRule="auto"/>
        <w:ind w:left="709" w:hanging="283"/>
        <w:jc w:val="both"/>
        <w:rPr>
          <w:rFonts w:ascii="Arial" w:hAnsi="Arial" w:cs="Arial"/>
          <w:sz w:val="24"/>
          <w:szCs w:val="24"/>
        </w:rPr>
      </w:pPr>
      <w:r w:rsidRPr="00B04A3A">
        <w:rPr>
          <w:rFonts w:ascii="Arial" w:hAnsi="Arial" w:cs="Arial"/>
          <w:sz w:val="24"/>
          <w:szCs w:val="24"/>
        </w:rPr>
        <w:t>Los comprobantes de rendición en Caja, cumplen con plazos establecidos en el Artículo 132 del TOCAF.</w:t>
      </w:r>
    </w:p>
    <w:p w:rsidR="00B3686F" w:rsidRPr="00B04A3A" w:rsidRDefault="00B3686F" w:rsidP="00B04A3A">
      <w:pPr>
        <w:tabs>
          <w:tab w:val="left" w:pos="426"/>
        </w:tabs>
        <w:spacing w:after="0" w:line="360" w:lineRule="auto"/>
        <w:ind w:left="765"/>
        <w:jc w:val="both"/>
        <w:rPr>
          <w:rFonts w:ascii="Arial" w:hAnsi="Arial" w:cs="Arial"/>
          <w:b/>
          <w:sz w:val="24"/>
          <w:szCs w:val="24"/>
        </w:rPr>
      </w:pPr>
      <w:r w:rsidRPr="00B04A3A">
        <w:rPr>
          <w:rFonts w:ascii="Arial" w:hAnsi="Arial" w:cs="Arial"/>
          <w:b/>
          <w:sz w:val="24"/>
          <w:szCs w:val="24"/>
        </w:rPr>
        <w:t> </w:t>
      </w:r>
    </w:p>
    <w:p w:rsidR="00B3686F" w:rsidRPr="00B04A3A" w:rsidRDefault="00B3686F" w:rsidP="00B04A3A">
      <w:pPr>
        <w:tabs>
          <w:tab w:val="left" w:pos="426"/>
        </w:tabs>
        <w:spacing w:after="0" w:line="360" w:lineRule="auto"/>
        <w:jc w:val="both"/>
        <w:rPr>
          <w:rFonts w:ascii="Arial" w:hAnsi="Arial" w:cs="Arial"/>
          <w:b/>
          <w:sz w:val="24"/>
          <w:szCs w:val="24"/>
        </w:rPr>
      </w:pPr>
      <w:r w:rsidRPr="00B04A3A">
        <w:rPr>
          <w:rFonts w:ascii="Arial" w:hAnsi="Arial" w:cs="Arial"/>
          <w:b/>
          <w:sz w:val="24"/>
          <w:szCs w:val="24"/>
        </w:rPr>
        <w:t>R</w:t>
      </w:r>
      <w:r>
        <w:rPr>
          <w:rFonts w:ascii="Arial" w:hAnsi="Arial" w:cs="Arial"/>
          <w:b/>
          <w:sz w:val="24"/>
          <w:szCs w:val="24"/>
        </w:rPr>
        <w:t>ecomendaciones no cumplidas de E</w:t>
      </w:r>
      <w:r w:rsidRPr="00B04A3A">
        <w:rPr>
          <w:rFonts w:ascii="Arial" w:hAnsi="Arial" w:cs="Arial"/>
          <w:b/>
          <w:sz w:val="24"/>
          <w:szCs w:val="24"/>
        </w:rPr>
        <w:t>jercicios anteriores</w:t>
      </w:r>
    </w:p>
    <w:p w:rsidR="00B3686F" w:rsidRPr="00B04A3A" w:rsidRDefault="00B3686F" w:rsidP="00B04A3A">
      <w:pPr>
        <w:tabs>
          <w:tab w:val="left" w:pos="426"/>
        </w:tabs>
        <w:spacing w:after="0" w:line="360" w:lineRule="auto"/>
        <w:jc w:val="both"/>
        <w:rPr>
          <w:rFonts w:ascii="Arial" w:hAnsi="Arial" w:cs="Arial"/>
          <w:sz w:val="24"/>
          <w:szCs w:val="24"/>
        </w:rPr>
      </w:pPr>
      <w:r w:rsidRPr="00B04A3A">
        <w:rPr>
          <w:rFonts w:ascii="Arial" w:hAnsi="Arial" w:cs="Arial"/>
          <w:sz w:val="24"/>
          <w:szCs w:val="24"/>
        </w:rPr>
        <w:t>La Cámara de Representantes no ha implementado medidas correctivas respecto a los siguientes aspectos:</w:t>
      </w:r>
    </w:p>
    <w:p w:rsidR="00B3686F" w:rsidRPr="00B04A3A" w:rsidRDefault="00B3686F" w:rsidP="00B3686F">
      <w:pPr>
        <w:numPr>
          <w:ilvl w:val="0"/>
          <w:numId w:val="4"/>
        </w:numPr>
        <w:spacing w:after="0" w:line="360" w:lineRule="auto"/>
        <w:ind w:left="709" w:hanging="283"/>
        <w:jc w:val="both"/>
        <w:rPr>
          <w:rFonts w:ascii="Arial" w:hAnsi="Arial" w:cs="Arial"/>
          <w:sz w:val="24"/>
          <w:szCs w:val="24"/>
        </w:rPr>
      </w:pPr>
      <w:r w:rsidRPr="00B04A3A">
        <w:rPr>
          <w:rFonts w:ascii="Arial" w:hAnsi="Arial" w:cs="Arial"/>
          <w:sz w:val="24"/>
          <w:szCs w:val="24"/>
        </w:rPr>
        <w:t>No se registran las diferencias de cambio devengadas por la tenencia de moneda extranjera de acuerdo con el párrafo 24 de la NICSP 4.</w:t>
      </w:r>
    </w:p>
    <w:p w:rsidR="00B3686F" w:rsidRPr="00B04A3A" w:rsidRDefault="00B3686F" w:rsidP="00B3686F">
      <w:pPr>
        <w:numPr>
          <w:ilvl w:val="0"/>
          <w:numId w:val="4"/>
        </w:numPr>
        <w:spacing w:after="0" w:line="360" w:lineRule="auto"/>
        <w:ind w:left="709" w:hanging="283"/>
        <w:jc w:val="both"/>
        <w:rPr>
          <w:rFonts w:ascii="Arial" w:hAnsi="Arial" w:cs="Arial"/>
          <w:sz w:val="24"/>
          <w:szCs w:val="24"/>
        </w:rPr>
      </w:pPr>
      <w:r w:rsidRPr="00B04A3A">
        <w:rPr>
          <w:rFonts w:ascii="Arial" w:hAnsi="Arial" w:cs="Arial"/>
          <w:sz w:val="24"/>
          <w:szCs w:val="24"/>
        </w:rPr>
        <w:t>No se cumple con el Artículo 24 del TOCAF ya que las disponibilidades generadas por los créditos anuales de funcionamiento e inversión no ejecutados</w:t>
      </w:r>
      <w:r>
        <w:rPr>
          <w:rFonts w:ascii="Arial" w:hAnsi="Arial" w:cs="Arial"/>
          <w:sz w:val="24"/>
          <w:szCs w:val="24"/>
        </w:rPr>
        <w:t xml:space="preserve"> en e</w:t>
      </w:r>
      <w:r w:rsidRPr="00B04A3A">
        <w:rPr>
          <w:rFonts w:ascii="Arial" w:hAnsi="Arial" w:cs="Arial"/>
          <w:sz w:val="24"/>
          <w:szCs w:val="24"/>
        </w:rPr>
        <w:t>l ejercicio no se consideran a</w:t>
      </w:r>
      <w:r>
        <w:rPr>
          <w:rFonts w:ascii="Arial" w:hAnsi="Arial" w:cs="Arial"/>
          <w:sz w:val="24"/>
          <w:szCs w:val="24"/>
        </w:rPr>
        <w:t>l solicitar los duodécimos del E</w:t>
      </w:r>
      <w:r w:rsidRPr="00B04A3A">
        <w:rPr>
          <w:rFonts w:ascii="Arial" w:hAnsi="Arial" w:cs="Arial"/>
          <w:sz w:val="24"/>
          <w:szCs w:val="24"/>
        </w:rPr>
        <w:t>jercicio siguiente.</w:t>
      </w:r>
    </w:p>
    <w:p w:rsidR="00B3686F" w:rsidRPr="00B04A3A" w:rsidRDefault="00B3686F" w:rsidP="00B04A3A">
      <w:pPr>
        <w:tabs>
          <w:tab w:val="left" w:pos="426"/>
        </w:tabs>
        <w:spacing w:after="0" w:line="360" w:lineRule="auto"/>
        <w:ind w:left="765"/>
        <w:jc w:val="both"/>
        <w:rPr>
          <w:rFonts w:ascii="Arial" w:hAnsi="Arial" w:cs="Arial"/>
          <w:b/>
          <w:sz w:val="24"/>
          <w:szCs w:val="24"/>
        </w:rPr>
      </w:pPr>
    </w:p>
    <w:p w:rsidR="00B3686F" w:rsidRPr="00B04A3A" w:rsidRDefault="00B3686F" w:rsidP="00B04A3A">
      <w:pPr>
        <w:tabs>
          <w:tab w:val="left" w:pos="426"/>
        </w:tabs>
        <w:spacing w:after="0" w:line="360" w:lineRule="auto"/>
        <w:jc w:val="both"/>
        <w:rPr>
          <w:rFonts w:ascii="Arial" w:hAnsi="Arial" w:cs="Arial"/>
          <w:b/>
          <w:sz w:val="24"/>
          <w:szCs w:val="24"/>
        </w:rPr>
      </w:pPr>
      <w:r>
        <w:rPr>
          <w:rFonts w:ascii="Arial" w:hAnsi="Arial" w:cs="Arial"/>
          <w:b/>
          <w:sz w:val="24"/>
          <w:szCs w:val="24"/>
        </w:rPr>
        <w:t>Recomendaciones del presente E</w:t>
      </w:r>
      <w:r w:rsidRPr="00B04A3A">
        <w:rPr>
          <w:rFonts w:ascii="Arial" w:hAnsi="Arial" w:cs="Arial"/>
          <w:b/>
          <w:sz w:val="24"/>
          <w:szCs w:val="24"/>
        </w:rPr>
        <w:t>jercicio</w:t>
      </w:r>
    </w:p>
    <w:p w:rsidR="00B3686F" w:rsidRPr="00B04A3A" w:rsidRDefault="00B3686F" w:rsidP="00B04A3A">
      <w:pPr>
        <w:tabs>
          <w:tab w:val="left" w:pos="426"/>
        </w:tabs>
        <w:spacing w:after="0" w:line="360" w:lineRule="auto"/>
        <w:jc w:val="both"/>
        <w:rPr>
          <w:rFonts w:ascii="Arial" w:hAnsi="Arial" w:cs="Arial"/>
          <w:sz w:val="24"/>
          <w:szCs w:val="24"/>
        </w:rPr>
      </w:pPr>
      <w:r w:rsidRPr="00B04A3A">
        <w:rPr>
          <w:rFonts w:ascii="Arial" w:hAnsi="Arial" w:cs="Arial"/>
          <w:sz w:val="24"/>
          <w:szCs w:val="24"/>
        </w:rPr>
        <w:t>Se reiteran las r</w:t>
      </w:r>
      <w:r>
        <w:rPr>
          <w:rFonts w:ascii="Arial" w:hAnsi="Arial" w:cs="Arial"/>
          <w:sz w:val="24"/>
          <w:szCs w:val="24"/>
        </w:rPr>
        <w:t>ecomendaciones no cumplidas de E</w:t>
      </w:r>
      <w:r w:rsidRPr="00B04A3A">
        <w:rPr>
          <w:rFonts w:ascii="Arial" w:hAnsi="Arial" w:cs="Arial"/>
          <w:sz w:val="24"/>
          <w:szCs w:val="24"/>
        </w:rPr>
        <w:t>jercicios anteriores, a las que se agregan las siguientes:</w:t>
      </w:r>
    </w:p>
    <w:p w:rsidR="00B3686F" w:rsidRPr="00B04A3A" w:rsidRDefault="00B3686F" w:rsidP="00B3686F">
      <w:pPr>
        <w:numPr>
          <w:ilvl w:val="0"/>
          <w:numId w:val="3"/>
        </w:numPr>
        <w:tabs>
          <w:tab w:val="left" w:pos="709"/>
        </w:tabs>
        <w:spacing w:after="0" w:line="360" w:lineRule="auto"/>
        <w:ind w:left="709" w:hanging="283"/>
        <w:jc w:val="both"/>
        <w:rPr>
          <w:rFonts w:ascii="Arial" w:hAnsi="Arial" w:cs="Arial"/>
          <w:sz w:val="24"/>
          <w:szCs w:val="24"/>
        </w:rPr>
      </w:pPr>
      <w:r w:rsidRPr="00B04A3A">
        <w:rPr>
          <w:rFonts w:ascii="Arial" w:hAnsi="Arial" w:cs="Arial"/>
          <w:sz w:val="24"/>
          <w:szCs w:val="24"/>
        </w:rPr>
        <w:t>Presentar los Resultados acumulados expuestos en el capítulo del Patrimonio Neto con la acumulación de</w:t>
      </w:r>
      <w:r>
        <w:rPr>
          <w:rFonts w:ascii="Arial" w:hAnsi="Arial" w:cs="Arial"/>
          <w:sz w:val="24"/>
          <w:szCs w:val="24"/>
        </w:rPr>
        <w:t xml:space="preserve"> los presentados al cierre del E</w:t>
      </w:r>
      <w:r w:rsidRPr="00B04A3A">
        <w:rPr>
          <w:rFonts w:ascii="Arial" w:hAnsi="Arial" w:cs="Arial"/>
          <w:sz w:val="24"/>
          <w:szCs w:val="24"/>
        </w:rPr>
        <w:t>jercicio anterior.</w:t>
      </w:r>
    </w:p>
    <w:p w:rsidR="00B3686F" w:rsidRPr="00B04A3A" w:rsidRDefault="00B3686F" w:rsidP="00B3686F">
      <w:pPr>
        <w:numPr>
          <w:ilvl w:val="0"/>
          <w:numId w:val="3"/>
        </w:numPr>
        <w:tabs>
          <w:tab w:val="left" w:pos="709"/>
        </w:tabs>
        <w:spacing w:after="0" w:line="360" w:lineRule="auto"/>
        <w:ind w:left="709" w:hanging="283"/>
        <w:jc w:val="both"/>
        <w:rPr>
          <w:rFonts w:ascii="Arial" w:hAnsi="Arial" w:cs="Arial"/>
          <w:sz w:val="24"/>
          <w:szCs w:val="24"/>
        </w:rPr>
      </w:pPr>
      <w:r>
        <w:rPr>
          <w:rFonts w:ascii="Arial" w:hAnsi="Arial" w:cs="Arial"/>
          <w:sz w:val="24"/>
          <w:szCs w:val="24"/>
        </w:rPr>
        <w:t>Dar cumplimiento con el</w:t>
      </w:r>
      <w:r w:rsidRPr="00B04A3A">
        <w:rPr>
          <w:rFonts w:ascii="Arial" w:hAnsi="Arial" w:cs="Arial"/>
          <w:sz w:val="24"/>
          <w:szCs w:val="24"/>
        </w:rPr>
        <w:t xml:space="preserve"> párrafo 48 de la NICSP 1, no presentando compensaciones de activos con pasivos.</w:t>
      </w:r>
    </w:p>
    <w:p w:rsidR="00B3686F" w:rsidRPr="00B04A3A" w:rsidRDefault="00B3686F" w:rsidP="00B3686F">
      <w:pPr>
        <w:numPr>
          <w:ilvl w:val="0"/>
          <w:numId w:val="3"/>
        </w:numPr>
        <w:tabs>
          <w:tab w:val="left" w:pos="709"/>
        </w:tabs>
        <w:spacing w:after="0" w:line="360" w:lineRule="auto"/>
        <w:ind w:left="709" w:hanging="283"/>
        <w:jc w:val="both"/>
        <w:rPr>
          <w:rFonts w:ascii="Arial" w:hAnsi="Arial" w:cs="Arial"/>
          <w:sz w:val="24"/>
          <w:szCs w:val="24"/>
        </w:rPr>
      </w:pPr>
      <w:r w:rsidRPr="00B04A3A">
        <w:rPr>
          <w:rFonts w:ascii="Arial" w:hAnsi="Arial" w:cs="Arial"/>
          <w:sz w:val="24"/>
          <w:szCs w:val="24"/>
        </w:rPr>
        <w:t>Deberán co</w:t>
      </w:r>
      <w:r>
        <w:rPr>
          <w:rFonts w:ascii="Arial" w:hAnsi="Arial" w:cs="Arial"/>
          <w:sz w:val="24"/>
          <w:szCs w:val="24"/>
        </w:rPr>
        <w:t>incidir las amortizaciones del E</w:t>
      </w:r>
      <w:r w:rsidRPr="00B04A3A">
        <w:rPr>
          <w:rFonts w:ascii="Arial" w:hAnsi="Arial" w:cs="Arial"/>
          <w:sz w:val="24"/>
          <w:szCs w:val="24"/>
        </w:rPr>
        <w:t>jercicio expuestas en el estado de gestión con las del cuadro de bienes de uso.</w:t>
      </w:r>
    </w:p>
    <w:p w:rsidR="00B3686F" w:rsidRPr="00B04A3A" w:rsidRDefault="00B3686F" w:rsidP="00B3686F">
      <w:pPr>
        <w:numPr>
          <w:ilvl w:val="0"/>
          <w:numId w:val="3"/>
        </w:numPr>
        <w:tabs>
          <w:tab w:val="left" w:pos="709"/>
        </w:tabs>
        <w:spacing w:after="0" w:line="360" w:lineRule="auto"/>
        <w:ind w:left="709" w:hanging="283"/>
        <w:jc w:val="both"/>
        <w:rPr>
          <w:rFonts w:ascii="Arial" w:hAnsi="Arial" w:cs="Arial"/>
          <w:sz w:val="24"/>
          <w:szCs w:val="24"/>
        </w:rPr>
      </w:pPr>
      <w:r w:rsidRPr="00B04A3A">
        <w:rPr>
          <w:rFonts w:ascii="Arial" w:hAnsi="Arial" w:cs="Arial"/>
          <w:sz w:val="24"/>
          <w:szCs w:val="24"/>
        </w:rPr>
        <w:t xml:space="preserve">Deberán presentar el Estado de Origen y Aplicación de Fondos de forma que exista </w:t>
      </w:r>
      <w:r w:rsidRPr="00B04A3A">
        <w:rPr>
          <w:rFonts w:ascii="Arial" w:hAnsi="Arial" w:cs="Arial"/>
          <w:sz w:val="24"/>
          <w:szCs w:val="24"/>
          <w:lang w:val="es-CO"/>
        </w:rPr>
        <w:t>exactitud en las variaciones que impactan en el flujo de efectivo.</w:t>
      </w:r>
    </w:p>
    <w:p w:rsidR="00B3686F" w:rsidRPr="002C35CD" w:rsidRDefault="00B3686F" w:rsidP="00B3686F">
      <w:pPr>
        <w:numPr>
          <w:ilvl w:val="0"/>
          <w:numId w:val="3"/>
        </w:numPr>
        <w:tabs>
          <w:tab w:val="left" w:pos="709"/>
        </w:tabs>
        <w:spacing w:after="0" w:line="360" w:lineRule="auto"/>
        <w:ind w:left="709" w:hanging="283"/>
        <w:jc w:val="both"/>
        <w:rPr>
          <w:rFonts w:ascii="Arial" w:hAnsi="Arial" w:cs="Arial"/>
          <w:sz w:val="24"/>
          <w:szCs w:val="24"/>
        </w:rPr>
      </w:pPr>
      <w:r w:rsidRPr="00B04A3A">
        <w:rPr>
          <w:rFonts w:ascii="Arial" w:hAnsi="Arial" w:cs="Arial"/>
          <w:sz w:val="24"/>
          <w:szCs w:val="24"/>
          <w:lang w:val="es-CO"/>
        </w:rPr>
        <w:t>Presentar el E</w:t>
      </w:r>
      <w:r>
        <w:rPr>
          <w:rFonts w:ascii="Arial" w:hAnsi="Arial" w:cs="Arial"/>
          <w:sz w:val="24"/>
          <w:szCs w:val="24"/>
          <w:lang w:val="es-CO"/>
        </w:rPr>
        <w:t>stado de Resultados de acuerdo con</w:t>
      </w:r>
      <w:r w:rsidRPr="00B04A3A">
        <w:rPr>
          <w:rFonts w:ascii="Arial" w:hAnsi="Arial" w:cs="Arial"/>
          <w:sz w:val="24"/>
          <w:szCs w:val="24"/>
          <w:lang w:val="es-CO"/>
        </w:rPr>
        <w:t xml:space="preserve"> la normativa vigente.</w:t>
      </w:r>
    </w:p>
    <w:p w:rsidR="002C35CD" w:rsidRPr="00B04A3A" w:rsidRDefault="002C35CD" w:rsidP="002C35CD">
      <w:pPr>
        <w:tabs>
          <w:tab w:val="left" w:pos="709"/>
        </w:tabs>
        <w:spacing w:after="0" w:line="360" w:lineRule="auto"/>
        <w:ind w:left="709"/>
        <w:jc w:val="both"/>
        <w:rPr>
          <w:rFonts w:ascii="Arial" w:hAnsi="Arial" w:cs="Arial"/>
          <w:sz w:val="24"/>
          <w:szCs w:val="24"/>
        </w:rPr>
      </w:pPr>
    </w:p>
    <w:p w:rsidR="00B3686F" w:rsidRDefault="00AB3E70" w:rsidP="00B04A3A">
      <w:pPr>
        <w:jc w:val="right"/>
        <w:rPr>
          <w:rFonts w:ascii="Arial" w:hAnsi="Arial" w:cs="Arial"/>
          <w:sz w:val="24"/>
          <w:szCs w:val="24"/>
          <w:lang w:val="es-CO"/>
        </w:rPr>
      </w:pPr>
      <w:r>
        <w:rPr>
          <w:rFonts w:ascii="Arial" w:hAnsi="Arial" w:cs="Arial"/>
          <w:sz w:val="24"/>
          <w:szCs w:val="24"/>
          <w:lang w:val="es-CO"/>
        </w:rPr>
        <w:t>Montevideo, 15 de marzo de 2018</w:t>
      </w:r>
    </w:p>
    <w:p w:rsidR="00B3686F" w:rsidRDefault="00B3686F" w:rsidP="00B04A3A">
      <w:pPr>
        <w:jc w:val="right"/>
        <w:rPr>
          <w:rFonts w:ascii="Arial" w:hAnsi="Arial" w:cs="Arial"/>
          <w:sz w:val="24"/>
          <w:szCs w:val="24"/>
          <w:lang w:val="es-CO"/>
        </w:rPr>
      </w:pPr>
    </w:p>
    <w:p w:rsidR="00B3686F" w:rsidRPr="00B3686F" w:rsidRDefault="00B3686F" w:rsidP="00B3686F">
      <w:pPr>
        <w:ind w:hanging="567"/>
      </w:pPr>
      <w:proofErr w:type="gramStart"/>
      <w:r>
        <w:rPr>
          <w:rFonts w:ascii="Arial" w:hAnsi="Arial" w:cs="Arial"/>
          <w:sz w:val="24"/>
          <w:szCs w:val="24"/>
          <w:lang w:val="es-CO"/>
        </w:rPr>
        <w:t>dc</w:t>
      </w:r>
      <w:proofErr w:type="gramEnd"/>
    </w:p>
    <w:sectPr w:rsidR="00B3686F" w:rsidRPr="00B3686F" w:rsidSect="00A27883">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2153"/>
    <w:multiLevelType w:val="hybridMultilevel"/>
    <w:tmpl w:val="21BA5C38"/>
    <w:lvl w:ilvl="0" w:tplc="354E7720">
      <w:start w:val="1"/>
      <w:numFmt w:val="decimal"/>
      <w:lvlText w:val="%1)"/>
      <w:lvlJc w:val="left"/>
      <w:pPr>
        <w:ind w:left="360" w:hanging="360"/>
      </w:pPr>
      <w:rPr>
        <w:rFonts w:ascii="Arial" w:hAnsi="Arial" w:cs="Arial" w:hint="default"/>
        <w:b/>
        <w:sz w:val="24"/>
        <w:szCs w:val="24"/>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nsid w:val="12BB52E9"/>
    <w:multiLevelType w:val="hybridMultilevel"/>
    <w:tmpl w:val="FF04C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BF33C84"/>
    <w:multiLevelType w:val="hybridMultilevel"/>
    <w:tmpl w:val="C33EABD0"/>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3">
    <w:nsid w:val="40246138"/>
    <w:multiLevelType w:val="hybridMultilevel"/>
    <w:tmpl w:val="F71462B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F8"/>
    <w:rsid w:val="00131444"/>
    <w:rsid w:val="002C35CD"/>
    <w:rsid w:val="00697CF8"/>
    <w:rsid w:val="00902D3D"/>
    <w:rsid w:val="00A27883"/>
    <w:rsid w:val="00AB3E70"/>
    <w:rsid w:val="00B368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68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6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4054-74A7-44F3-B93E-D2B90A9B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1588</Words>
  <Characters>8738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2018-07-20T18:37:00Z</cp:lastPrinted>
  <dcterms:created xsi:type="dcterms:W3CDTF">2018-07-20T16:34:00Z</dcterms:created>
  <dcterms:modified xsi:type="dcterms:W3CDTF">2018-09-11T20:47:00Z</dcterms:modified>
</cp:coreProperties>
</file>