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57" w:rsidRPr="00786EEB" w:rsidRDefault="00030457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2433/18</w:t>
      </w:r>
    </w:p>
    <w:p w:rsidR="00030457" w:rsidRDefault="00030457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030457" w:rsidRPr="00762B34" w:rsidRDefault="0003045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030457" w:rsidRPr="00762B34" w:rsidRDefault="0003045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30457" w:rsidRPr="00762B34" w:rsidRDefault="0003045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030457" w:rsidRPr="00762B34" w:rsidRDefault="0003045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30457" w:rsidRPr="00762B34" w:rsidRDefault="0003045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25 DE JULIO </w:t>
      </w:r>
      <w:r>
        <w:rPr>
          <w:rFonts w:ascii="Helvetica" w:hAnsi="Helvetica"/>
          <w:b/>
          <w:lang w:val="es-ES_tradnl"/>
        </w:rPr>
        <w:t>DE 2018</w:t>
      </w:r>
    </w:p>
    <w:p w:rsidR="00030457" w:rsidRPr="00762B34" w:rsidRDefault="0003045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030457" w:rsidRPr="003D3D73" w:rsidRDefault="00030457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3D3D73">
        <w:rPr>
          <w:rFonts w:cs="Arial"/>
          <w:b/>
          <w:lang w:val="es-UY"/>
        </w:rPr>
        <w:t>(E. E. Nº 2018-17-1-0004698, Ent. N° 3631/18 )</w:t>
      </w:r>
    </w:p>
    <w:p w:rsidR="00030457" w:rsidRPr="003D3D73" w:rsidRDefault="0003045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F0277E" w:rsidRDefault="00F0277E" w:rsidP="00F0277E"/>
    <w:p w:rsidR="00F0277E" w:rsidRDefault="00F0277E" w:rsidP="00030457">
      <w:pPr>
        <w:spacing w:line="360" w:lineRule="auto"/>
        <w:ind w:firstLine="708"/>
        <w:jc w:val="both"/>
      </w:pPr>
      <w:r>
        <w:rPr>
          <w:b/>
          <w:bCs/>
        </w:rPr>
        <w:t>VISTO</w:t>
      </w:r>
      <w:r w:rsidR="00030457">
        <w:rPr>
          <w:b/>
          <w:bCs/>
        </w:rPr>
        <w:t>:</w:t>
      </w:r>
      <w:r>
        <w:t xml:space="preserve"> estas actuaciones remitidas por el </w:t>
      </w:r>
      <w:r w:rsidR="00C43612">
        <w:t>Banco de Previsión Social (BPS)</w:t>
      </w:r>
      <w:r w:rsidR="00822078">
        <w:t>, relacio</w:t>
      </w:r>
      <w:r w:rsidR="00C43612">
        <w:t>nadas con la modificación de  los convenios a suscribirse con Instituciones</w:t>
      </w:r>
      <w:r w:rsidR="00362FF5">
        <w:t xml:space="preserve"> Emisoras de Dinero Electrónico </w:t>
      </w:r>
      <w:r w:rsidR="00C43612">
        <w:t>(IEDES)</w:t>
      </w:r>
      <w:r w:rsidR="00362FF5">
        <w:t>, en el marco de las disposiciones de intermediación financiera vigentes</w:t>
      </w:r>
      <w:r>
        <w:t xml:space="preserve">; </w:t>
      </w:r>
    </w:p>
    <w:p w:rsidR="00393810" w:rsidRDefault="00F0277E" w:rsidP="00030457">
      <w:pPr>
        <w:spacing w:line="360" w:lineRule="auto"/>
        <w:ind w:firstLine="709"/>
        <w:jc w:val="both"/>
        <w:rPr>
          <w:bCs/>
        </w:rPr>
      </w:pPr>
      <w:r>
        <w:rPr>
          <w:b/>
          <w:bCs/>
        </w:rPr>
        <w:t xml:space="preserve">RESULTANDO: 1) </w:t>
      </w:r>
      <w:r>
        <w:rPr>
          <w:bCs/>
        </w:rPr>
        <w:t>que</w:t>
      </w:r>
      <w:r w:rsidR="00C43612">
        <w:rPr>
          <w:bCs/>
        </w:rPr>
        <w:t xml:space="preserve"> en la actualidad el BPS tiene suscrito </w:t>
      </w:r>
      <w:r w:rsidR="00362FF5">
        <w:rPr>
          <w:bCs/>
        </w:rPr>
        <w:t xml:space="preserve">convenios </w:t>
      </w:r>
      <w:r w:rsidR="00C43612">
        <w:rPr>
          <w:bCs/>
        </w:rPr>
        <w:t xml:space="preserve">con </w:t>
      </w:r>
      <w:r w:rsidR="00362FF5">
        <w:rPr>
          <w:bCs/>
        </w:rPr>
        <w:t>las IEDES, cuyo objeto es</w:t>
      </w:r>
      <w:r w:rsidR="00C43612">
        <w:rPr>
          <w:bCs/>
        </w:rPr>
        <w:t xml:space="preserve"> regular entre las partes lo establecido en la ley 19.210 de </w:t>
      </w:r>
      <w:r w:rsidR="000E233B">
        <w:rPr>
          <w:bCs/>
        </w:rPr>
        <w:t>29/04/2014 y en el Decreto 263/2015 de 28/09/2015</w:t>
      </w:r>
      <w:r w:rsidR="00362FF5">
        <w:rPr>
          <w:bCs/>
        </w:rPr>
        <w:t xml:space="preserve"> (</w:t>
      </w:r>
      <w:r w:rsidR="00684797">
        <w:rPr>
          <w:bCs/>
        </w:rPr>
        <w:t>pago de jubilaciones y pensiones anteriores al 1/11/2015 y beneficios sociales u otras prestaciones anteriores al 1/01/2018, que voluntariamente hubieran optado por incorporarse al sistema de pagos previsto en la normativa citada</w:t>
      </w:r>
      <w:r w:rsidR="00362FF5">
        <w:rPr>
          <w:bCs/>
        </w:rPr>
        <w:t>)</w:t>
      </w:r>
      <w:r w:rsidR="00393810">
        <w:rPr>
          <w:bCs/>
        </w:rPr>
        <w:t xml:space="preserve">; </w:t>
      </w:r>
    </w:p>
    <w:p w:rsidR="00D479E4" w:rsidRDefault="00F0277E" w:rsidP="00030457">
      <w:pPr>
        <w:tabs>
          <w:tab w:val="left" w:pos="1843"/>
        </w:tabs>
        <w:spacing w:line="360" w:lineRule="auto"/>
        <w:ind w:firstLine="2552"/>
        <w:jc w:val="both"/>
        <w:rPr>
          <w:bCs/>
        </w:rPr>
      </w:pPr>
      <w:r w:rsidRPr="00776C03">
        <w:rPr>
          <w:b/>
          <w:bCs/>
        </w:rPr>
        <w:t>2)</w:t>
      </w:r>
      <w:r>
        <w:rPr>
          <w:bCs/>
        </w:rPr>
        <w:t xml:space="preserve"> que</w:t>
      </w:r>
      <w:r w:rsidR="00684797">
        <w:rPr>
          <w:bCs/>
        </w:rPr>
        <w:t xml:space="preserve"> en virtud de la modificación del </w:t>
      </w:r>
      <w:r w:rsidR="00030457">
        <w:rPr>
          <w:bCs/>
        </w:rPr>
        <w:t>I</w:t>
      </w:r>
      <w:r w:rsidR="00684797">
        <w:rPr>
          <w:bCs/>
        </w:rPr>
        <w:t>nciso 1</w:t>
      </w:r>
      <w:r w:rsidR="00030457">
        <w:rPr>
          <w:bCs/>
        </w:rPr>
        <w:t>)</w:t>
      </w:r>
      <w:r w:rsidR="00684797">
        <w:rPr>
          <w:bCs/>
        </w:rPr>
        <w:t xml:space="preserve"> del </w:t>
      </w:r>
      <w:r w:rsidR="00030457">
        <w:rPr>
          <w:bCs/>
        </w:rPr>
        <w:t>A</w:t>
      </w:r>
      <w:r w:rsidR="00684797">
        <w:rPr>
          <w:bCs/>
        </w:rPr>
        <w:t xml:space="preserve">rtículo 15 del Decreto </w:t>
      </w:r>
      <w:r w:rsidR="00684797" w:rsidRPr="00684797">
        <w:rPr>
          <w:bCs/>
        </w:rPr>
        <w:t>263/2015 de 28/09/2015,</w:t>
      </w:r>
      <w:r w:rsidR="00684797">
        <w:rPr>
          <w:bCs/>
        </w:rPr>
        <w:t xml:space="preserve"> dispuesta por el Decreto 133/018 de 7/5/2018, </w:t>
      </w:r>
      <w:r w:rsidR="00A27986">
        <w:rPr>
          <w:bCs/>
        </w:rPr>
        <w:t xml:space="preserve">el cual prevé la posibilidad de establecer cargos al </w:t>
      </w:r>
      <w:r w:rsidR="00362FF5">
        <w:rPr>
          <w:bCs/>
        </w:rPr>
        <w:t>BPS</w:t>
      </w:r>
      <w:r w:rsidR="00A27986">
        <w:rPr>
          <w:bCs/>
        </w:rPr>
        <w:t xml:space="preserve">, </w:t>
      </w:r>
      <w:r w:rsidR="00684797">
        <w:rPr>
          <w:bCs/>
        </w:rPr>
        <w:t xml:space="preserve">se proyecta </w:t>
      </w:r>
      <w:r w:rsidR="00362FF5">
        <w:rPr>
          <w:bCs/>
        </w:rPr>
        <w:t>m</w:t>
      </w:r>
      <w:r w:rsidR="00684797">
        <w:rPr>
          <w:bCs/>
        </w:rPr>
        <w:t>odifica</w:t>
      </w:r>
      <w:r w:rsidR="00362FF5">
        <w:rPr>
          <w:bCs/>
        </w:rPr>
        <w:t xml:space="preserve">r </w:t>
      </w:r>
      <w:r w:rsidR="00684797">
        <w:rPr>
          <w:bCs/>
        </w:rPr>
        <w:t>los convenios suscritos, en su cláusula octava, la cual establece las comisiones por transacciones que pueden cobrar las instituciones de intermediación financiera</w:t>
      </w:r>
      <w:r w:rsidR="00D479E4">
        <w:rPr>
          <w:bCs/>
        </w:rPr>
        <w:t xml:space="preserve">; </w:t>
      </w:r>
    </w:p>
    <w:p w:rsidR="00030457" w:rsidRDefault="00030457" w:rsidP="00030457">
      <w:pPr>
        <w:tabs>
          <w:tab w:val="left" w:pos="1843"/>
        </w:tabs>
        <w:spacing w:line="360" w:lineRule="auto"/>
        <w:ind w:firstLine="2552"/>
        <w:jc w:val="both"/>
        <w:rPr>
          <w:bCs/>
        </w:rPr>
      </w:pPr>
      <w:r>
        <w:rPr>
          <w:b/>
          <w:bCs/>
        </w:rPr>
        <w:t xml:space="preserve"> </w:t>
      </w:r>
      <w:r w:rsidR="00D479E4" w:rsidRPr="00D479E4">
        <w:rPr>
          <w:b/>
          <w:bCs/>
        </w:rPr>
        <w:t>3)</w:t>
      </w:r>
      <w:r w:rsidR="00D479E4" w:rsidRPr="00D479E4">
        <w:rPr>
          <w:bCs/>
        </w:rPr>
        <w:t xml:space="preserve"> que </w:t>
      </w:r>
      <w:r w:rsidR="00393810">
        <w:rPr>
          <w:bCs/>
        </w:rPr>
        <w:t>de acuerdo a</w:t>
      </w:r>
      <w:r w:rsidR="00684797">
        <w:rPr>
          <w:bCs/>
        </w:rPr>
        <w:t xml:space="preserve"> </w:t>
      </w:r>
      <w:r w:rsidR="00393810">
        <w:rPr>
          <w:bCs/>
        </w:rPr>
        <w:t>l</w:t>
      </w:r>
      <w:r w:rsidR="00362FF5">
        <w:rPr>
          <w:bCs/>
        </w:rPr>
        <w:t>a modificación</w:t>
      </w:r>
      <w:r w:rsidR="00393810">
        <w:rPr>
          <w:bCs/>
        </w:rPr>
        <w:t xml:space="preserve"> proyectad</w:t>
      </w:r>
      <w:r w:rsidR="00362FF5">
        <w:rPr>
          <w:bCs/>
        </w:rPr>
        <w:t>a</w:t>
      </w:r>
      <w:r w:rsidR="00393810">
        <w:rPr>
          <w:bCs/>
        </w:rPr>
        <w:t>,</w:t>
      </w:r>
      <w:r w:rsidR="00684797">
        <w:rPr>
          <w:bCs/>
        </w:rPr>
        <w:t xml:space="preserve"> la cláusula octava </w:t>
      </w:r>
      <w:r w:rsidR="00362FF5">
        <w:rPr>
          <w:bCs/>
        </w:rPr>
        <w:t xml:space="preserve">de los convenios </w:t>
      </w:r>
      <w:r w:rsidR="00684797">
        <w:rPr>
          <w:bCs/>
        </w:rPr>
        <w:t>quedará redactada de la siguiente forma:</w:t>
      </w:r>
    </w:p>
    <w:p w:rsidR="00393810" w:rsidRPr="00030457" w:rsidRDefault="00684797" w:rsidP="00030457">
      <w:pPr>
        <w:tabs>
          <w:tab w:val="left" w:pos="1843"/>
        </w:tabs>
        <w:spacing w:line="360" w:lineRule="auto"/>
        <w:jc w:val="both"/>
        <w:rPr>
          <w:bCs/>
        </w:rPr>
      </w:pPr>
      <w:r w:rsidRPr="00030457">
        <w:rPr>
          <w:bCs/>
        </w:rPr>
        <w:t xml:space="preserve">“Por las transacciones de pagos de jubilaciones y pensiones anteriores al 1 de noviembre de 2015 y beneficios sociales u otras prestaciones anteriores al 1 de enero de 2018, que voluntariamente hubieran optado por incorporarse al </w:t>
      </w:r>
      <w:r w:rsidRPr="00030457">
        <w:rPr>
          <w:bCs/>
        </w:rPr>
        <w:lastRenderedPageBreak/>
        <w:t>sistema de pagos previsto por la Ley 19210 y Decreto 263/2015, el BPS abonará a _______________________, en concepto de comisión, por cada transacción lo siguiente: a) 19,40 UI desde el 1 de junio de 2018 y hasta el 30 de junio de 2019; b) 17,46 UI desde el 1 de julio de 2019 y hasta el 31 de diciembre de 2019</w:t>
      </w:r>
      <w:r w:rsidR="00245937" w:rsidRPr="00030457">
        <w:rPr>
          <w:bCs/>
        </w:rPr>
        <w:t>; c) 15,52 UI desde el 1 de enero de 2020 y hasta el 30 de junio de 2020; d) 13,58 UI desde el 1 de julio de 2020 y hasta el 31 de diciembre de 2020”</w:t>
      </w:r>
      <w:r w:rsidR="00393810" w:rsidRPr="00030457">
        <w:rPr>
          <w:bCs/>
        </w:rPr>
        <w:t xml:space="preserve">; </w:t>
      </w:r>
    </w:p>
    <w:p w:rsidR="00A27986" w:rsidRDefault="00944A90" w:rsidP="00030457">
      <w:pPr>
        <w:tabs>
          <w:tab w:val="left" w:pos="1843"/>
        </w:tabs>
        <w:spacing w:line="360" w:lineRule="auto"/>
        <w:ind w:firstLine="2694"/>
        <w:jc w:val="both"/>
        <w:rPr>
          <w:bCs/>
        </w:rPr>
      </w:pPr>
      <w:r>
        <w:rPr>
          <w:b/>
          <w:bCs/>
        </w:rPr>
        <w:t>4</w:t>
      </w:r>
      <w:r w:rsidR="00393810" w:rsidRPr="00393810">
        <w:rPr>
          <w:b/>
          <w:bCs/>
        </w:rPr>
        <w:t>)</w:t>
      </w:r>
      <w:r w:rsidR="00393810">
        <w:rPr>
          <w:b/>
          <w:bCs/>
        </w:rPr>
        <w:t xml:space="preserve"> </w:t>
      </w:r>
      <w:r w:rsidR="00A27986">
        <w:rPr>
          <w:bCs/>
        </w:rPr>
        <w:t>que consta Resolución del Directorio de BPS de 4/7/2018, aprobando la modificación de los convenios celebrados con las I</w:t>
      </w:r>
      <w:r w:rsidR="00362FF5">
        <w:rPr>
          <w:bCs/>
        </w:rPr>
        <w:t>EDES</w:t>
      </w:r>
      <w:r w:rsidR="00A27986">
        <w:rPr>
          <w:bCs/>
        </w:rPr>
        <w:t>;</w:t>
      </w:r>
    </w:p>
    <w:p w:rsidR="002B1201" w:rsidRDefault="00944A90" w:rsidP="00030457">
      <w:pPr>
        <w:tabs>
          <w:tab w:val="left" w:pos="1843"/>
        </w:tabs>
        <w:spacing w:line="360" w:lineRule="auto"/>
        <w:ind w:firstLine="2694"/>
        <w:jc w:val="both"/>
        <w:rPr>
          <w:bCs/>
        </w:rPr>
      </w:pPr>
      <w:r>
        <w:rPr>
          <w:b/>
          <w:bCs/>
        </w:rPr>
        <w:t>5</w:t>
      </w:r>
      <w:r w:rsidR="00E97BA9">
        <w:rPr>
          <w:b/>
          <w:bCs/>
        </w:rPr>
        <w:t xml:space="preserve">) </w:t>
      </w:r>
      <w:r w:rsidR="00E97BA9">
        <w:rPr>
          <w:bCs/>
        </w:rPr>
        <w:t>que se adjunta</w:t>
      </w:r>
      <w:r w:rsidR="00362FF5">
        <w:rPr>
          <w:bCs/>
        </w:rPr>
        <w:t xml:space="preserve"> nota</w:t>
      </w:r>
      <w:r w:rsidR="00E97BA9">
        <w:rPr>
          <w:bCs/>
        </w:rPr>
        <w:t xml:space="preserve"> de la Gerencia de Finanzas, en el cual se informan los montos estimados de la modificación aprobada para las IEDES que actualmente tienen contrato vigente con el BPS</w:t>
      </w:r>
      <w:r w:rsidR="00362FF5">
        <w:rPr>
          <w:bCs/>
        </w:rPr>
        <w:t>, a saber</w:t>
      </w:r>
      <w:r w:rsidR="00E97BA9">
        <w:rPr>
          <w:bCs/>
        </w:rPr>
        <w:t>:</w:t>
      </w:r>
      <w:r w:rsidR="00362FF5">
        <w:rPr>
          <w:bCs/>
        </w:rPr>
        <w:t xml:space="preserve"> </w:t>
      </w:r>
      <w:r w:rsidR="00E97BA9">
        <w:rPr>
          <w:bCs/>
        </w:rPr>
        <w:t>NUMMI S.A (RED PAGOS) $ 53.935.631</w:t>
      </w:r>
      <w:r w:rsidR="00362FF5">
        <w:rPr>
          <w:bCs/>
        </w:rPr>
        <w:t xml:space="preserve">; </w:t>
      </w:r>
      <w:r w:rsidR="00E97BA9">
        <w:rPr>
          <w:bCs/>
        </w:rPr>
        <w:t>DINERO ELECTRÓNIC</w:t>
      </w:r>
      <w:r w:rsidR="00362FF5">
        <w:rPr>
          <w:bCs/>
        </w:rPr>
        <w:t xml:space="preserve">O ANDA S.A (DEANDA) $ 4.992.127; </w:t>
      </w:r>
      <w:r w:rsidR="00E97BA9">
        <w:rPr>
          <w:bCs/>
        </w:rPr>
        <w:t>ECONSTAR S.A. (PREX) $ 339.543;</w:t>
      </w:r>
      <w:r w:rsidR="00E97BA9">
        <w:rPr>
          <w:bCs/>
        </w:rPr>
        <w:tab/>
      </w:r>
    </w:p>
    <w:p w:rsidR="00163000" w:rsidRPr="00163000" w:rsidRDefault="00944A90" w:rsidP="00030457">
      <w:pPr>
        <w:tabs>
          <w:tab w:val="left" w:pos="1843"/>
        </w:tabs>
        <w:spacing w:line="360" w:lineRule="auto"/>
        <w:ind w:firstLine="2694"/>
        <w:jc w:val="both"/>
        <w:rPr>
          <w:bCs/>
        </w:rPr>
      </w:pPr>
      <w:r>
        <w:rPr>
          <w:b/>
          <w:bCs/>
        </w:rPr>
        <w:t>6</w:t>
      </w:r>
      <w:r w:rsidR="00163000" w:rsidRPr="00163000">
        <w:rPr>
          <w:b/>
          <w:bCs/>
        </w:rPr>
        <w:t xml:space="preserve">) </w:t>
      </w:r>
      <w:r w:rsidR="00163000">
        <w:rPr>
          <w:bCs/>
        </w:rPr>
        <w:t xml:space="preserve">que se adjuntan documentos de imputación informando que el </w:t>
      </w:r>
      <w:r w:rsidR="00362FF5">
        <w:rPr>
          <w:bCs/>
        </w:rPr>
        <w:t>R</w:t>
      </w:r>
      <w:r w:rsidR="00163000">
        <w:rPr>
          <w:bCs/>
        </w:rPr>
        <w:t>ubro 269002 tiene disponibilidad suficiente</w:t>
      </w:r>
      <w:r w:rsidR="00362FF5">
        <w:rPr>
          <w:bCs/>
        </w:rPr>
        <w:t xml:space="preserve"> para atender la erogación</w:t>
      </w:r>
      <w:r w:rsidR="00163000">
        <w:rPr>
          <w:bCs/>
        </w:rPr>
        <w:t>;</w:t>
      </w:r>
    </w:p>
    <w:p w:rsidR="007E7FAB" w:rsidRPr="00030457" w:rsidRDefault="007E7FAB" w:rsidP="003D3D73">
      <w:pPr>
        <w:tabs>
          <w:tab w:val="left" w:pos="1800"/>
        </w:tabs>
        <w:spacing w:line="360" w:lineRule="auto"/>
        <w:ind w:firstLine="709"/>
        <w:jc w:val="both"/>
      </w:pPr>
      <w:r>
        <w:rPr>
          <w:b/>
          <w:bCs/>
        </w:rPr>
        <w:t>CONSIDERANDO: 1)</w:t>
      </w:r>
      <w:r w:rsidRPr="00D540F5">
        <w:rPr>
          <w:bCs/>
        </w:rPr>
        <w:t xml:space="preserve"> </w:t>
      </w:r>
      <w:r>
        <w:rPr>
          <w:bCs/>
        </w:rPr>
        <w:t xml:space="preserve">que </w:t>
      </w:r>
      <w:r>
        <w:t xml:space="preserve">el </w:t>
      </w:r>
      <w:r w:rsidR="00030457">
        <w:t>A</w:t>
      </w:r>
      <w:r>
        <w:t xml:space="preserve">rtículo </w:t>
      </w:r>
      <w:r w:rsidR="00E97BA9">
        <w:t xml:space="preserve">15 del Decreto </w:t>
      </w:r>
      <w:r w:rsidR="00E97BA9" w:rsidRPr="00E97BA9">
        <w:t>263/2015 de 28/09/2015</w:t>
      </w:r>
      <w:r>
        <w:t xml:space="preserve">, dispone que </w:t>
      </w:r>
      <w:r w:rsidR="00E97BA9" w:rsidRPr="00030457">
        <w:t>“las instituciones de intermediación financiera y las instituciones emisoras de dinero electrónico locales que ofrezcan los servicios de pago descritos en los artículos 1° a 5° del presente Decreto, tendrán la obligación de brindar los servicios básicos mínimos que se establecen en el artículo siguiente a todos los trabajadores, pasivos y beneficiarios que reciban dichos pagos. La institución seleccionada no podrá cobrar cargo alguno a ninguna de las partes por la prestación de tales servicios, con excepción de las pasividades y beneficios referidas en el artículo 3° del presente Decreto, en los que podrá establecer cargos al instituto de seguridad social o compañía de seguros”;</w:t>
      </w:r>
    </w:p>
    <w:p w:rsidR="00E83860" w:rsidRDefault="00E83860" w:rsidP="00030457">
      <w:pPr>
        <w:pStyle w:val="Sangradetextonormal"/>
        <w:ind w:left="0" w:firstLine="2977"/>
        <w:rPr>
          <w:b/>
        </w:rPr>
      </w:pPr>
      <w:r>
        <w:rPr>
          <w:b/>
          <w:bCs/>
        </w:rPr>
        <w:lastRenderedPageBreak/>
        <w:t xml:space="preserve">2) </w:t>
      </w:r>
      <w:r>
        <w:t xml:space="preserve">que </w:t>
      </w:r>
      <w:r w:rsidR="00E97BA9">
        <w:t>la modificación de los convenios remitida se ajusta a la normativa citada</w:t>
      </w:r>
      <w:r w:rsidR="00362FF5">
        <w:t>, por lo cual no merece objeciones legales</w:t>
      </w:r>
      <w:r>
        <w:t>;</w:t>
      </w:r>
      <w:r>
        <w:rPr>
          <w:b/>
        </w:rPr>
        <w:t xml:space="preserve">                          </w:t>
      </w:r>
    </w:p>
    <w:p w:rsidR="00F0277E" w:rsidRDefault="00F0277E" w:rsidP="00030457">
      <w:pPr>
        <w:spacing w:line="360" w:lineRule="auto"/>
        <w:ind w:firstLine="709"/>
        <w:jc w:val="both"/>
        <w:rPr>
          <w:rFonts w:cs="Arial"/>
          <w:lang w:val="es-MX"/>
        </w:rPr>
      </w:pPr>
      <w:r>
        <w:rPr>
          <w:b/>
        </w:rPr>
        <w:t>A</w:t>
      </w:r>
      <w:r>
        <w:rPr>
          <w:rFonts w:cs="Arial"/>
          <w:b/>
          <w:bCs/>
        </w:rPr>
        <w:t>TENTO:</w:t>
      </w:r>
      <w:r>
        <w:rPr>
          <w:rFonts w:cs="Arial"/>
        </w:rPr>
        <w:t xml:space="preserve"> a lo expuesto precedentemente y a lo dispuesto por el </w:t>
      </w:r>
      <w:r w:rsidR="00030457">
        <w:rPr>
          <w:rFonts w:cs="Arial"/>
        </w:rPr>
        <w:t>A</w:t>
      </w:r>
      <w:r>
        <w:rPr>
          <w:rFonts w:cs="Arial"/>
        </w:rPr>
        <w:t xml:space="preserve">rt. 211 </w:t>
      </w:r>
      <w:r w:rsidR="00030457">
        <w:rPr>
          <w:rFonts w:cs="Arial"/>
        </w:rPr>
        <w:t>L</w:t>
      </w:r>
      <w:r>
        <w:rPr>
          <w:rFonts w:cs="Arial"/>
        </w:rPr>
        <w:t>it. B) de la Constitución</w:t>
      </w:r>
      <w:r w:rsidR="00362FF5">
        <w:rPr>
          <w:rFonts w:cs="Arial"/>
        </w:rPr>
        <w:t xml:space="preserve"> de la República,</w:t>
      </w:r>
    </w:p>
    <w:p w:rsidR="00F0277E" w:rsidRDefault="00F0277E" w:rsidP="00F0277E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ACUERDA:</w:t>
      </w:r>
    </w:p>
    <w:p w:rsidR="00F0277E" w:rsidRDefault="00F0277E" w:rsidP="00030457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 xml:space="preserve">No formular observaciones al </w:t>
      </w:r>
      <w:r w:rsidR="00E97BA9">
        <w:t xml:space="preserve">proyecto de modificación de </w:t>
      </w:r>
      <w:r>
        <w:t>convenio</w:t>
      </w:r>
      <w:r w:rsidR="00E97BA9">
        <w:t>s celebrados con las Instituciones de Intermediación Financiera</w:t>
      </w:r>
      <w:r>
        <w:t xml:space="preserve">; </w:t>
      </w:r>
    </w:p>
    <w:p w:rsidR="00F0277E" w:rsidRDefault="00E97BA9" w:rsidP="00030457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rPr>
          <w:rFonts w:cs="Arial"/>
          <w:lang w:val="es-UY"/>
        </w:rPr>
        <w:t xml:space="preserve">Cometer al Contador Delegado en BPS la intervención del gasto estimado de $ </w:t>
      </w:r>
      <w:r w:rsidR="00163000">
        <w:rPr>
          <w:rFonts w:cs="Arial"/>
          <w:lang w:val="es-UY"/>
        </w:rPr>
        <w:t>59.267.301</w:t>
      </w:r>
      <w:r w:rsidR="00362FF5">
        <w:rPr>
          <w:rFonts w:cs="Arial"/>
          <w:lang w:val="es-UY"/>
        </w:rPr>
        <w:t>,</w:t>
      </w:r>
      <w:r w:rsidR="00163000">
        <w:rPr>
          <w:rFonts w:cs="Arial"/>
          <w:lang w:val="es-UY"/>
        </w:rPr>
        <w:t xml:space="preserve"> previo control de su imputación con cargo a </w:t>
      </w:r>
      <w:r w:rsidR="00362FF5">
        <w:rPr>
          <w:rFonts w:cs="Arial"/>
          <w:lang w:val="es-UY"/>
        </w:rPr>
        <w:t>G</w:t>
      </w:r>
      <w:r w:rsidR="00163000">
        <w:rPr>
          <w:rFonts w:cs="Arial"/>
          <w:lang w:val="es-UY"/>
        </w:rPr>
        <w:t>rupo adecuado con disponibilidad suficiente</w:t>
      </w:r>
      <w:r w:rsidR="00F0277E">
        <w:t>;</w:t>
      </w:r>
    </w:p>
    <w:p w:rsidR="00F0277E" w:rsidRDefault="00F0277E" w:rsidP="00030457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 xml:space="preserve">Comunicar al Contador </w:t>
      </w:r>
      <w:r w:rsidR="00163000">
        <w:t>Delgado</w:t>
      </w:r>
      <w:r>
        <w:t>;</w:t>
      </w:r>
      <w:r w:rsidR="00030457">
        <w:t xml:space="preserve"> y</w:t>
      </w:r>
    </w:p>
    <w:p w:rsidR="00F0277E" w:rsidRDefault="00F0277E" w:rsidP="00030457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</w:pPr>
      <w:r>
        <w:t>Devolver los antecedentes;</w:t>
      </w:r>
    </w:p>
    <w:p w:rsidR="00F0277E" w:rsidRDefault="00F0277E" w:rsidP="00F0277E">
      <w:pPr>
        <w:spacing w:line="360" w:lineRule="auto"/>
        <w:jc w:val="both"/>
      </w:pPr>
    </w:p>
    <w:p w:rsidR="00F0277E" w:rsidRDefault="00F0277E" w:rsidP="007359E4">
      <w:pPr>
        <w:spacing w:line="360" w:lineRule="auto"/>
      </w:pPr>
    </w:p>
    <w:p w:rsidR="007359E4" w:rsidRDefault="007359E4" w:rsidP="007359E4">
      <w:pPr>
        <w:spacing w:line="360" w:lineRule="auto"/>
      </w:pPr>
    </w:p>
    <w:p w:rsidR="007359E4" w:rsidRDefault="007359E4" w:rsidP="007359E4">
      <w:pPr>
        <w:spacing w:line="360" w:lineRule="auto"/>
      </w:pPr>
    </w:p>
    <w:p w:rsidR="007359E4" w:rsidRDefault="007359E4" w:rsidP="007359E4">
      <w:pPr>
        <w:spacing w:line="360" w:lineRule="auto"/>
      </w:pPr>
      <w:proofErr w:type="spellStart"/>
      <w:proofErr w:type="gramStart"/>
      <w:r>
        <w:t>cr</w:t>
      </w:r>
      <w:proofErr w:type="spellEnd"/>
      <w:proofErr w:type="gramEnd"/>
    </w:p>
    <w:sectPr w:rsidR="007359E4" w:rsidSect="006D3F2A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7E"/>
    <w:rsid w:val="00007465"/>
    <w:rsid w:val="00030457"/>
    <w:rsid w:val="000E233B"/>
    <w:rsid w:val="00163000"/>
    <w:rsid w:val="00186EF9"/>
    <w:rsid w:val="00237087"/>
    <w:rsid w:val="00245937"/>
    <w:rsid w:val="002B1201"/>
    <w:rsid w:val="003327F0"/>
    <w:rsid w:val="00362FF5"/>
    <w:rsid w:val="00393810"/>
    <w:rsid w:val="003D3D73"/>
    <w:rsid w:val="00446D5A"/>
    <w:rsid w:val="00512C1F"/>
    <w:rsid w:val="00684797"/>
    <w:rsid w:val="006D3F2A"/>
    <w:rsid w:val="007359E4"/>
    <w:rsid w:val="007B6833"/>
    <w:rsid w:val="007E7FAB"/>
    <w:rsid w:val="00822078"/>
    <w:rsid w:val="00944A90"/>
    <w:rsid w:val="00981B83"/>
    <w:rsid w:val="009B261E"/>
    <w:rsid w:val="00A27986"/>
    <w:rsid w:val="00AF5EDE"/>
    <w:rsid w:val="00C43612"/>
    <w:rsid w:val="00D30C72"/>
    <w:rsid w:val="00D479E4"/>
    <w:rsid w:val="00E35051"/>
    <w:rsid w:val="00E83860"/>
    <w:rsid w:val="00E97BA9"/>
    <w:rsid w:val="00F0277E"/>
    <w:rsid w:val="00F6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7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0277E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277E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E83860"/>
    <w:pPr>
      <w:spacing w:line="360" w:lineRule="auto"/>
      <w:ind w:left="708"/>
      <w:jc w:val="both"/>
    </w:pPr>
    <w:rPr>
      <w:rFonts w:cs="Arial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83860"/>
    <w:rPr>
      <w:rFonts w:ascii="Arial" w:eastAsia="Times New Roman" w:hAnsi="Arial" w:cs="Arial"/>
      <w:sz w:val="24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981B8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F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F2A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7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0277E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277E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E83860"/>
    <w:pPr>
      <w:spacing w:line="360" w:lineRule="auto"/>
      <w:ind w:left="708"/>
      <w:jc w:val="both"/>
    </w:pPr>
    <w:rPr>
      <w:rFonts w:cs="Arial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83860"/>
    <w:rPr>
      <w:rFonts w:ascii="Arial" w:eastAsia="Times New Roman" w:hAnsi="Arial" w:cs="Arial"/>
      <w:sz w:val="24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981B8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F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F2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2018-07-27T18:31:00Z</cp:lastPrinted>
  <dcterms:created xsi:type="dcterms:W3CDTF">2018-07-27T18:32:00Z</dcterms:created>
  <dcterms:modified xsi:type="dcterms:W3CDTF">2018-07-27T18:32:00Z</dcterms:modified>
</cp:coreProperties>
</file>