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E8" w:rsidRPr="00161683" w:rsidRDefault="00B03EE8" w:rsidP="00292093">
      <w:pPr>
        <w:tabs>
          <w:tab w:val="center" w:pos="4253"/>
        </w:tabs>
        <w:suppressAutoHyphens/>
        <w:jc w:val="right"/>
        <w:rPr>
          <w:rFonts w:ascii="Arial" w:hAnsi="Arial" w:cs="Arial"/>
          <w:b/>
          <w:lang w:val="es-ES_tradnl"/>
        </w:rPr>
      </w:pPr>
      <w:bookmarkStart w:id="0" w:name="_GoBack"/>
      <w:bookmarkEnd w:id="0"/>
      <w:r>
        <w:rPr>
          <w:rFonts w:ascii="Arial" w:hAnsi="Arial" w:cs="Arial"/>
          <w:b/>
          <w:lang w:val="es-ES_tradnl"/>
        </w:rPr>
        <w:t>RES. 1987/18</w:t>
      </w:r>
    </w:p>
    <w:p w:rsidR="00B03EE8" w:rsidRDefault="00B03EE8">
      <w:pPr>
        <w:tabs>
          <w:tab w:val="center" w:pos="4253"/>
        </w:tabs>
        <w:suppressAutoHyphens/>
        <w:jc w:val="center"/>
        <w:rPr>
          <w:rFonts w:ascii="Arial" w:hAnsi="Arial" w:cs="Arial"/>
          <w:b/>
          <w:lang w:val="es-ES_tradnl"/>
        </w:rPr>
      </w:pPr>
    </w:p>
    <w:p w:rsidR="00B03EE8" w:rsidRPr="004746D1" w:rsidRDefault="00B03EE8">
      <w:pPr>
        <w:tabs>
          <w:tab w:val="center" w:pos="4253"/>
        </w:tabs>
        <w:suppressAutoHyphens/>
        <w:jc w:val="center"/>
        <w:rPr>
          <w:rFonts w:ascii="Arial" w:hAnsi="Arial" w:cs="Arial"/>
          <w:b/>
          <w:lang w:val="es-ES_tradnl"/>
        </w:rPr>
      </w:pPr>
      <w:r w:rsidRPr="004746D1">
        <w:rPr>
          <w:rFonts w:ascii="Arial" w:hAnsi="Arial" w:cs="Arial"/>
          <w:b/>
          <w:lang w:val="es-ES_tradnl"/>
        </w:rPr>
        <w:t>RESOLUCION ADOPTADA POR EL</w:t>
      </w:r>
    </w:p>
    <w:p w:rsidR="00B03EE8" w:rsidRPr="004746D1" w:rsidRDefault="00B03EE8">
      <w:pPr>
        <w:tabs>
          <w:tab w:val="left" w:pos="-720"/>
        </w:tabs>
        <w:suppressAutoHyphens/>
        <w:jc w:val="center"/>
        <w:rPr>
          <w:rFonts w:ascii="Arial" w:hAnsi="Arial" w:cs="Arial"/>
          <w:b/>
          <w:lang w:val="es-ES_tradnl"/>
        </w:rPr>
      </w:pPr>
    </w:p>
    <w:p w:rsidR="00B03EE8" w:rsidRPr="004746D1" w:rsidRDefault="00B03EE8">
      <w:pPr>
        <w:tabs>
          <w:tab w:val="center" w:pos="4253"/>
        </w:tabs>
        <w:suppressAutoHyphens/>
        <w:jc w:val="center"/>
        <w:rPr>
          <w:rFonts w:ascii="Arial" w:hAnsi="Arial" w:cs="Arial"/>
          <w:b/>
          <w:lang w:val="es-ES_tradnl"/>
        </w:rPr>
      </w:pPr>
      <w:r w:rsidRPr="004746D1">
        <w:rPr>
          <w:rFonts w:ascii="Arial" w:hAnsi="Arial" w:cs="Arial"/>
          <w:b/>
          <w:lang w:val="es-ES_tradnl"/>
        </w:rPr>
        <w:t>TRIBUNAL DE CUENTAS</w:t>
      </w:r>
    </w:p>
    <w:p w:rsidR="00B03EE8" w:rsidRPr="004746D1" w:rsidRDefault="00B03EE8">
      <w:pPr>
        <w:tabs>
          <w:tab w:val="left" w:pos="-720"/>
        </w:tabs>
        <w:suppressAutoHyphens/>
        <w:jc w:val="center"/>
        <w:rPr>
          <w:rFonts w:ascii="Arial" w:hAnsi="Arial" w:cs="Arial"/>
          <w:b/>
          <w:lang w:val="es-ES_tradnl"/>
        </w:rPr>
      </w:pPr>
    </w:p>
    <w:p w:rsidR="00B03EE8" w:rsidRPr="004746D1" w:rsidRDefault="00B03EE8">
      <w:pPr>
        <w:tabs>
          <w:tab w:val="center" w:pos="4253"/>
        </w:tabs>
        <w:suppressAutoHyphens/>
        <w:jc w:val="center"/>
        <w:rPr>
          <w:rFonts w:ascii="Arial" w:hAnsi="Arial" w:cs="Arial"/>
          <w:b/>
          <w:lang w:val="es-ES_tradnl"/>
        </w:rPr>
      </w:pPr>
      <w:r w:rsidRPr="004746D1">
        <w:rPr>
          <w:rFonts w:ascii="Arial" w:hAnsi="Arial" w:cs="Arial"/>
          <w:b/>
          <w:lang w:val="es-ES_tradnl"/>
        </w:rPr>
        <w:t xml:space="preserve">EN SESION DE FECHA </w:t>
      </w:r>
      <w:r>
        <w:rPr>
          <w:rFonts w:ascii="Arial" w:hAnsi="Arial" w:cs="Arial"/>
          <w:b/>
          <w:lang w:val="es-ES_tradnl"/>
        </w:rPr>
        <w:t xml:space="preserve">20 </w:t>
      </w:r>
      <w:r w:rsidRPr="00A03CC2">
        <w:rPr>
          <w:rFonts w:ascii="Arial" w:hAnsi="Arial" w:cs="Arial"/>
          <w:b/>
          <w:lang w:val="es-ES_tradnl"/>
        </w:rPr>
        <w:t xml:space="preserve">DE </w:t>
      </w:r>
      <w:r>
        <w:rPr>
          <w:rFonts w:ascii="Arial" w:hAnsi="Arial" w:cs="Arial"/>
          <w:b/>
          <w:lang w:val="es-ES_tradnl"/>
        </w:rPr>
        <w:t>JUNIO DE 2018</w:t>
      </w:r>
    </w:p>
    <w:p w:rsidR="00B03EE8" w:rsidRPr="004746D1" w:rsidRDefault="00B03EE8">
      <w:pPr>
        <w:tabs>
          <w:tab w:val="center" w:pos="4253"/>
        </w:tabs>
        <w:suppressAutoHyphens/>
        <w:jc w:val="center"/>
        <w:rPr>
          <w:rFonts w:ascii="Arial" w:hAnsi="Arial" w:cs="Arial"/>
          <w:b/>
          <w:lang w:val="es-ES_tradnl"/>
        </w:rPr>
      </w:pPr>
    </w:p>
    <w:p w:rsidR="00B03EE8" w:rsidRPr="004746D1" w:rsidRDefault="00B03EE8">
      <w:pPr>
        <w:tabs>
          <w:tab w:val="center" w:pos="4253"/>
        </w:tabs>
        <w:suppressAutoHyphens/>
        <w:jc w:val="center"/>
        <w:rPr>
          <w:rFonts w:ascii="Arial" w:hAnsi="Arial" w:cs="Arial"/>
          <w:b/>
          <w:lang w:val="es-ES_tradnl"/>
        </w:rPr>
      </w:pPr>
      <w:r>
        <w:rPr>
          <w:rFonts w:ascii="Arial" w:hAnsi="Arial" w:cs="Arial"/>
          <w:b/>
          <w:lang w:val="es-ES_tradnl"/>
        </w:rPr>
        <w:t>(E.</w:t>
      </w:r>
      <w:r w:rsidR="00F36F31">
        <w:rPr>
          <w:rFonts w:ascii="Arial" w:hAnsi="Arial" w:cs="Arial"/>
          <w:b/>
          <w:lang w:val="es-ES_tradnl"/>
        </w:rPr>
        <w:t xml:space="preserve"> </w:t>
      </w:r>
      <w:r>
        <w:rPr>
          <w:rFonts w:ascii="Arial" w:hAnsi="Arial" w:cs="Arial"/>
          <w:b/>
          <w:lang w:val="es-ES_tradnl"/>
        </w:rPr>
        <w:t>E.</w:t>
      </w:r>
      <w:r w:rsidR="00F36F31">
        <w:rPr>
          <w:rFonts w:ascii="Arial" w:hAnsi="Arial" w:cs="Arial"/>
          <w:b/>
          <w:lang w:val="es-ES_tradnl"/>
        </w:rPr>
        <w:t xml:space="preserve"> </w:t>
      </w:r>
      <w:r>
        <w:rPr>
          <w:rFonts w:ascii="Arial" w:hAnsi="Arial" w:cs="Arial"/>
          <w:b/>
          <w:lang w:val="es-ES_tradnl"/>
        </w:rPr>
        <w:t>Nº 2018-17-1-0003376</w:t>
      </w:r>
      <w:r w:rsidRPr="004746D1">
        <w:rPr>
          <w:rFonts w:ascii="Arial" w:hAnsi="Arial" w:cs="Arial"/>
          <w:b/>
          <w:lang w:val="es-ES_tradnl"/>
        </w:rPr>
        <w:t xml:space="preserve">, </w:t>
      </w:r>
      <w:proofErr w:type="spellStart"/>
      <w:r w:rsidRPr="004746D1">
        <w:rPr>
          <w:rFonts w:ascii="Arial" w:hAnsi="Arial" w:cs="Arial"/>
          <w:b/>
          <w:lang w:val="es-ES_tradnl"/>
        </w:rPr>
        <w:t>E</w:t>
      </w:r>
      <w:r>
        <w:rPr>
          <w:rFonts w:ascii="Arial" w:hAnsi="Arial" w:cs="Arial"/>
          <w:b/>
          <w:lang w:val="es-ES_tradnl"/>
        </w:rPr>
        <w:t>nt</w:t>
      </w:r>
      <w:proofErr w:type="spellEnd"/>
      <w:r w:rsidRPr="004746D1">
        <w:rPr>
          <w:rFonts w:ascii="Arial" w:hAnsi="Arial" w:cs="Arial"/>
          <w:b/>
          <w:lang w:val="es-ES_tradnl"/>
        </w:rPr>
        <w:t>.</w:t>
      </w:r>
      <w:r w:rsidR="00F36F31">
        <w:rPr>
          <w:rFonts w:ascii="Arial" w:hAnsi="Arial" w:cs="Arial"/>
          <w:b/>
          <w:lang w:val="es-ES_tradnl"/>
        </w:rPr>
        <w:t xml:space="preserve"> </w:t>
      </w:r>
      <w:r>
        <w:rPr>
          <w:rFonts w:ascii="Arial" w:hAnsi="Arial" w:cs="Arial"/>
          <w:b/>
          <w:lang w:val="es-ES_tradnl"/>
        </w:rPr>
        <w:t>N°</w:t>
      </w:r>
      <w:r w:rsidRPr="004746D1">
        <w:rPr>
          <w:rFonts w:ascii="Arial" w:hAnsi="Arial" w:cs="Arial"/>
          <w:b/>
          <w:lang w:val="es-ES_tradnl"/>
        </w:rPr>
        <w:t xml:space="preserve"> </w:t>
      </w:r>
      <w:r>
        <w:rPr>
          <w:rFonts w:ascii="Arial" w:hAnsi="Arial" w:cs="Arial"/>
          <w:b/>
          <w:lang w:val="es-ES_tradnl"/>
        </w:rPr>
        <w:t>2622</w:t>
      </w:r>
      <w:r w:rsidRPr="004746D1">
        <w:rPr>
          <w:rFonts w:ascii="Arial" w:hAnsi="Arial" w:cs="Arial"/>
          <w:b/>
          <w:lang w:val="es-ES_tradnl"/>
        </w:rPr>
        <w:t>/</w:t>
      </w:r>
      <w:r>
        <w:rPr>
          <w:rFonts w:ascii="Arial" w:hAnsi="Arial" w:cs="Arial"/>
          <w:b/>
          <w:lang w:val="es-ES_tradnl"/>
        </w:rPr>
        <w:t>18</w:t>
      </w:r>
      <w:r w:rsidRPr="004746D1">
        <w:rPr>
          <w:rFonts w:ascii="Arial" w:hAnsi="Arial" w:cs="Arial"/>
          <w:b/>
          <w:lang w:val="es-ES_tradnl"/>
        </w:rPr>
        <w:t>)</w:t>
      </w:r>
    </w:p>
    <w:p w:rsidR="00B03EE8" w:rsidRDefault="00B03EE8" w:rsidP="00D52BC5">
      <w:pPr>
        <w:tabs>
          <w:tab w:val="left" w:pos="0"/>
        </w:tabs>
        <w:suppressAutoHyphens/>
        <w:spacing w:line="360" w:lineRule="auto"/>
        <w:jc w:val="both"/>
        <w:rPr>
          <w:rFonts w:ascii="Arial" w:hAnsi="Arial"/>
          <w:b/>
          <w:spacing w:val="-3"/>
          <w:lang w:val="es-UY"/>
        </w:rPr>
      </w:pPr>
    </w:p>
    <w:p w:rsidR="005409DE" w:rsidRDefault="005409DE" w:rsidP="00AC5F1B">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VISTO:</w:t>
      </w:r>
      <w:r>
        <w:rPr>
          <w:rFonts w:ascii="Arial" w:hAnsi="Arial"/>
          <w:spacing w:val="-3"/>
          <w:lang w:val="es-UY"/>
        </w:rPr>
        <w:t xml:space="preserve"> que este Tribunal ha examinado el "Estado de Inversiones Acumulado”, el "Resumen de las Fuentes y Usos de Fondos Acumulado”, el “Estado de Activos y Pasivos“, el “Estado de Solicitudes de Desembolsos”, el “Estado de la Cuenta Especial” en dólares estadounidenses, el Anexo “Cumplimiento de las Cláusulas Contractuales” y las Notas a los estados financieros formulados por la Administración Nacional de Educación Pública correspondientes al perío</w:t>
      </w:r>
      <w:r w:rsidR="009D0BDE">
        <w:rPr>
          <w:rFonts w:ascii="Arial" w:hAnsi="Arial"/>
          <w:spacing w:val="-3"/>
          <w:lang w:val="es-UY"/>
        </w:rPr>
        <w:t>do comprendido entre el 1º de junio</w:t>
      </w:r>
      <w:r w:rsidR="002A64DF">
        <w:rPr>
          <w:rFonts w:ascii="Arial" w:hAnsi="Arial"/>
          <w:spacing w:val="-3"/>
          <w:lang w:val="es-UY"/>
        </w:rPr>
        <w:t xml:space="preserve"> y el 31 de </w:t>
      </w:r>
      <w:r w:rsidR="009D0BDE">
        <w:rPr>
          <w:rFonts w:ascii="Arial" w:hAnsi="Arial"/>
          <w:spacing w:val="-3"/>
          <w:lang w:val="es-UY"/>
        </w:rPr>
        <w:t>diciembre</w:t>
      </w:r>
      <w:r w:rsidR="00FA36A3">
        <w:rPr>
          <w:rFonts w:ascii="Arial" w:hAnsi="Arial"/>
          <w:spacing w:val="-3"/>
          <w:lang w:val="es-UY"/>
        </w:rPr>
        <w:t xml:space="preserve"> de 2017</w:t>
      </w:r>
      <w:r>
        <w:rPr>
          <w:rFonts w:ascii="Arial" w:hAnsi="Arial"/>
          <w:spacing w:val="-3"/>
          <w:lang w:val="es-UY"/>
        </w:rPr>
        <w:t xml:space="preserve"> del  “Proyecto de </w:t>
      </w:r>
      <w:r w:rsidR="004E6344">
        <w:rPr>
          <w:rFonts w:ascii="Arial" w:hAnsi="Arial"/>
          <w:spacing w:val="-3"/>
          <w:lang w:val="es-UY"/>
        </w:rPr>
        <w:t xml:space="preserve">Mejora de la Calidad de la Educación Inicial y Primaria en </w:t>
      </w:r>
      <w:r>
        <w:rPr>
          <w:rFonts w:ascii="Arial" w:hAnsi="Arial"/>
          <w:spacing w:val="-3"/>
          <w:lang w:val="es-UY"/>
        </w:rPr>
        <w:t>Uruguay” parcialmente financiado con recursos del Contrato de Préstamo BI</w:t>
      </w:r>
      <w:r w:rsidR="004E6344">
        <w:rPr>
          <w:rFonts w:ascii="Arial" w:hAnsi="Arial"/>
          <w:spacing w:val="-3"/>
          <w:lang w:val="es-UY"/>
        </w:rPr>
        <w:t>RF Nº 8675</w:t>
      </w:r>
      <w:r w:rsidR="002A64DF">
        <w:rPr>
          <w:rFonts w:ascii="Arial" w:hAnsi="Arial"/>
          <w:spacing w:val="-3"/>
          <w:lang w:val="es-UY"/>
        </w:rPr>
        <w:t>-</w:t>
      </w:r>
      <w:r w:rsidR="00AC5F1B">
        <w:rPr>
          <w:rFonts w:ascii="Arial" w:hAnsi="Arial"/>
          <w:spacing w:val="-3"/>
          <w:lang w:val="es-UY"/>
        </w:rPr>
        <w:t>UY;</w:t>
      </w:r>
    </w:p>
    <w:p w:rsidR="005409DE" w:rsidRDefault="005409DE" w:rsidP="00AC5F1B">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RESULTANDO:</w:t>
      </w:r>
      <w:r>
        <w:rPr>
          <w:rFonts w:ascii="Arial" w:hAnsi="Arial"/>
          <w:spacing w:val="-3"/>
          <w:lang w:val="es-UY"/>
        </w:rPr>
        <w:t xml:space="preserve"> que el examen practicado se efectuó mediante la aplicación de los Principios Fundamentales de Auditoría (ISSAI 100, 200 y 400) y las Directrices de Auditoría Financiera de la Organización Internacional de Entidades Fiscalizadoras Superiores (INTOSAI) y con los requerimientos de auditoría independiente emitidos por el Banco Mundial;</w:t>
      </w:r>
    </w:p>
    <w:p w:rsidR="005409DE" w:rsidRDefault="005409DE" w:rsidP="00AC5F1B">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CONSIDERANDO:</w:t>
      </w:r>
      <w:r>
        <w:rPr>
          <w:rFonts w:ascii="Arial" w:hAnsi="Arial"/>
          <w:spacing w:val="-3"/>
          <w:lang w:val="es-UY"/>
        </w:rPr>
        <w:t xml:space="preserve"> que las conclusiones y evidencias obtenidas son las que se expresan en el Informe de Auditoría, que incluye Dictámenes e Informe a la Administración;</w:t>
      </w:r>
    </w:p>
    <w:p w:rsidR="005409DE" w:rsidRDefault="005409DE" w:rsidP="00AC5F1B">
      <w:pPr>
        <w:tabs>
          <w:tab w:val="left" w:pos="0"/>
        </w:tabs>
        <w:suppressAutoHyphens/>
        <w:spacing w:line="360" w:lineRule="auto"/>
        <w:ind w:firstLine="851"/>
        <w:jc w:val="both"/>
        <w:rPr>
          <w:rFonts w:ascii="Arial" w:hAnsi="Arial"/>
          <w:spacing w:val="-3"/>
          <w:lang w:val="es-UY"/>
        </w:rPr>
      </w:pPr>
      <w:r>
        <w:rPr>
          <w:rFonts w:ascii="Arial" w:hAnsi="Arial"/>
          <w:b/>
          <w:spacing w:val="-3"/>
          <w:lang w:val="es-UY"/>
        </w:rPr>
        <w:t xml:space="preserve">ATENTO: </w:t>
      </w:r>
      <w:r>
        <w:rPr>
          <w:rFonts w:ascii="Arial" w:hAnsi="Arial"/>
          <w:spacing w:val="-3"/>
          <w:lang w:val="es-UY"/>
        </w:rPr>
        <w:t>a lo establecido por la Sección 5.09 (b) de las Condiciones Generales para Préstamos financiados por el Banco Internacional de Reconstrucción y Fomento (BIRF) del Con</w:t>
      </w:r>
      <w:r w:rsidR="00A227DD">
        <w:rPr>
          <w:rFonts w:ascii="Arial" w:hAnsi="Arial"/>
          <w:spacing w:val="-3"/>
          <w:lang w:val="es-UY"/>
        </w:rPr>
        <w:t>venio de Préstamo  BIRF Nº 8675</w:t>
      </w:r>
      <w:r w:rsidR="009D29A3">
        <w:rPr>
          <w:rFonts w:ascii="Arial" w:hAnsi="Arial"/>
          <w:spacing w:val="-3"/>
          <w:lang w:val="es-UY"/>
        </w:rPr>
        <w:t>-</w:t>
      </w:r>
      <w:r w:rsidR="00A227DD">
        <w:rPr>
          <w:rFonts w:ascii="Arial" w:hAnsi="Arial"/>
          <w:spacing w:val="-3"/>
          <w:lang w:val="es-UY"/>
        </w:rPr>
        <w:t>UY firmado el 22 de marzo de 2017</w:t>
      </w:r>
      <w:r>
        <w:rPr>
          <w:rFonts w:ascii="Arial" w:hAnsi="Arial"/>
          <w:spacing w:val="-3"/>
          <w:lang w:val="es-UY"/>
        </w:rPr>
        <w:t xml:space="preserve"> por  la República Oriental del Uruguay y el Banco Mundial;</w:t>
      </w:r>
    </w:p>
    <w:p w:rsidR="005409DE" w:rsidRDefault="005409DE" w:rsidP="00B637BD">
      <w:pPr>
        <w:pStyle w:val="Ttulo1"/>
        <w:numPr>
          <w:ilvl w:val="0"/>
          <w:numId w:val="0"/>
        </w:numPr>
        <w:spacing w:line="360" w:lineRule="auto"/>
        <w:jc w:val="center"/>
        <w:rPr>
          <w:rFonts w:ascii="Arial" w:hAnsi="Arial" w:cs="Arial"/>
          <w:u w:val="none"/>
        </w:rPr>
      </w:pPr>
      <w:r>
        <w:rPr>
          <w:rFonts w:ascii="Arial" w:hAnsi="Arial" w:cs="Arial"/>
          <w:u w:val="none"/>
        </w:rPr>
        <w:lastRenderedPageBreak/>
        <w:t>EL TRIBUNAL ACUERDA</w:t>
      </w:r>
    </w:p>
    <w:p w:rsidR="009D29A3" w:rsidRDefault="005409DE" w:rsidP="00B637BD">
      <w:pPr>
        <w:pStyle w:val="Prrafodelista"/>
        <w:numPr>
          <w:ilvl w:val="0"/>
          <w:numId w:val="2"/>
        </w:numPr>
        <w:tabs>
          <w:tab w:val="left" w:pos="284"/>
        </w:tabs>
        <w:suppressAutoHyphens/>
        <w:spacing w:line="360" w:lineRule="auto"/>
        <w:ind w:left="284" w:hanging="284"/>
        <w:jc w:val="both"/>
        <w:rPr>
          <w:rFonts w:ascii="Arial" w:hAnsi="Arial"/>
          <w:spacing w:val="-3"/>
          <w:lang w:val="es-UY"/>
        </w:rPr>
      </w:pPr>
      <w:r w:rsidRPr="009D29A3">
        <w:rPr>
          <w:rFonts w:ascii="Arial" w:hAnsi="Arial"/>
          <w:spacing w:val="-3"/>
          <w:lang w:val="es-UY"/>
        </w:rPr>
        <w:t>Expedirse en los términos del Informe de Auditoría que se adjunta;</w:t>
      </w:r>
    </w:p>
    <w:p w:rsidR="009D29A3" w:rsidRPr="009D29A3" w:rsidRDefault="005409DE" w:rsidP="00B637BD">
      <w:pPr>
        <w:pStyle w:val="Prrafodelista"/>
        <w:numPr>
          <w:ilvl w:val="0"/>
          <w:numId w:val="2"/>
        </w:numPr>
        <w:tabs>
          <w:tab w:val="left" w:pos="284"/>
        </w:tabs>
        <w:suppressAutoHyphens/>
        <w:spacing w:line="360" w:lineRule="auto"/>
        <w:ind w:left="284" w:hanging="284"/>
        <w:jc w:val="both"/>
        <w:rPr>
          <w:lang w:val="es-UY"/>
        </w:rPr>
      </w:pPr>
      <w:r w:rsidRPr="009D29A3">
        <w:rPr>
          <w:rFonts w:ascii="Arial" w:hAnsi="Arial"/>
          <w:spacing w:val="-3"/>
          <w:lang w:val="es-UY"/>
        </w:rPr>
        <w:t>Remitir el Informe de Auditoría al Banco Mundial y a la Administración Nacional de Educación Pública; y</w:t>
      </w:r>
    </w:p>
    <w:p w:rsidR="005409DE" w:rsidRPr="00B637BD" w:rsidRDefault="005409DE" w:rsidP="00B637BD">
      <w:pPr>
        <w:pStyle w:val="Prrafodelista"/>
        <w:numPr>
          <w:ilvl w:val="0"/>
          <w:numId w:val="2"/>
        </w:numPr>
        <w:tabs>
          <w:tab w:val="left" w:pos="284"/>
        </w:tabs>
        <w:suppressAutoHyphens/>
        <w:spacing w:line="360" w:lineRule="auto"/>
        <w:ind w:left="284" w:hanging="284"/>
        <w:jc w:val="both"/>
        <w:rPr>
          <w:lang w:val="es-UY"/>
        </w:rPr>
      </w:pPr>
      <w:r w:rsidRPr="009D29A3">
        <w:rPr>
          <w:rFonts w:ascii="Arial" w:hAnsi="Arial"/>
          <w:b/>
          <w:bCs/>
          <w:spacing w:val="-3"/>
          <w:lang w:val="es-UY"/>
        </w:rPr>
        <w:t xml:space="preserve"> </w:t>
      </w:r>
      <w:r w:rsidRPr="009D29A3">
        <w:rPr>
          <w:rFonts w:ascii="Arial" w:hAnsi="Arial"/>
          <w:spacing w:val="-3"/>
          <w:lang w:val="es-UY"/>
        </w:rPr>
        <w:t>Dar cuenta a la Asamblea General.</w:t>
      </w:r>
    </w:p>
    <w:p w:rsidR="00B637BD" w:rsidRDefault="00B637BD" w:rsidP="00B637BD">
      <w:pPr>
        <w:tabs>
          <w:tab w:val="left" w:pos="284"/>
        </w:tabs>
        <w:suppressAutoHyphens/>
        <w:spacing w:line="360" w:lineRule="auto"/>
        <w:rPr>
          <w:lang w:val="es-UY"/>
        </w:rPr>
      </w:pPr>
    </w:p>
    <w:p w:rsidR="00B637BD" w:rsidRDefault="00B637BD" w:rsidP="00B637BD">
      <w:pPr>
        <w:tabs>
          <w:tab w:val="left" w:pos="284"/>
        </w:tabs>
        <w:suppressAutoHyphens/>
        <w:spacing w:line="360" w:lineRule="auto"/>
        <w:rPr>
          <w:lang w:val="es-UY"/>
        </w:rPr>
      </w:pPr>
    </w:p>
    <w:p w:rsidR="00B637BD" w:rsidRPr="00B637BD" w:rsidRDefault="00B637BD" w:rsidP="00B637BD">
      <w:pPr>
        <w:tabs>
          <w:tab w:val="left" w:pos="284"/>
        </w:tabs>
        <w:suppressAutoHyphens/>
        <w:spacing w:line="360" w:lineRule="auto"/>
        <w:rPr>
          <w:rFonts w:ascii="Arial" w:hAnsi="Arial" w:cs="Arial"/>
          <w:lang w:val="es-UY"/>
        </w:rPr>
      </w:pPr>
      <w:proofErr w:type="spellStart"/>
      <w:proofErr w:type="gramStart"/>
      <w:r w:rsidRPr="00B637BD">
        <w:rPr>
          <w:rFonts w:ascii="Arial" w:hAnsi="Arial" w:cs="Arial"/>
          <w:lang w:val="es-UY"/>
        </w:rPr>
        <w:t>aa</w:t>
      </w:r>
      <w:proofErr w:type="spellEnd"/>
      <w:proofErr w:type="gramEnd"/>
    </w:p>
    <w:p w:rsidR="005409DE" w:rsidRDefault="005409DE" w:rsidP="00D52BC5">
      <w:pPr>
        <w:spacing w:line="360" w:lineRule="auto"/>
        <w:jc w:val="both"/>
        <w:rPr>
          <w:rFonts w:ascii="Arial" w:hAnsi="Arial" w:cs="Arial"/>
          <w:sz w:val="16"/>
          <w:lang w:val="es-UY"/>
        </w:rPr>
      </w:pPr>
    </w:p>
    <w:p w:rsidR="005409DE" w:rsidRDefault="005409DE" w:rsidP="00D52BC5">
      <w:pPr>
        <w:spacing w:line="360" w:lineRule="auto"/>
        <w:jc w:val="both"/>
        <w:rPr>
          <w:rFonts w:ascii="Arial" w:hAnsi="Arial" w:cs="Arial"/>
          <w:sz w:val="16"/>
        </w:rPr>
      </w:pPr>
      <w:r>
        <w:rPr>
          <w:rFonts w:ascii="Arial" w:hAnsi="Arial" w:cs="Arial"/>
          <w:sz w:val="16"/>
        </w:rPr>
        <w:t xml:space="preserve"> </w:t>
      </w:r>
    </w:p>
    <w:p w:rsidR="005409DE" w:rsidRDefault="005409DE" w:rsidP="00D52BC5">
      <w:pPr>
        <w:spacing w:line="360" w:lineRule="auto"/>
        <w:jc w:val="both"/>
        <w:rPr>
          <w:rFonts w:ascii="Arial" w:hAnsi="Arial" w:cs="Arial"/>
          <w:sz w:val="16"/>
        </w:rPr>
      </w:pPr>
    </w:p>
    <w:p w:rsidR="005409DE" w:rsidRDefault="005409DE"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047056">
      <w:pPr>
        <w:tabs>
          <w:tab w:val="center" w:pos="3969"/>
        </w:tabs>
        <w:spacing w:line="360" w:lineRule="auto"/>
        <w:jc w:val="center"/>
        <w:rPr>
          <w:rFonts w:ascii="Arial" w:hAnsi="Arial"/>
          <w:b/>
          <w:lang w:val="es-ES_tradnl"/>
        </w:rPr>
      </w:pPr>
      <w:r>
        <w:rPr>
          <w:rFonts w:ascii="Arial" w:hAnsi="Arial"/>
          <w:b/>
          <w:lang w:val="es-ES_tradnl"/>
        </w:rPr>
        <w:t>DICTAMEN</w:t>
      </w:r>
    </w:p>
    <w:p w:rsidR="00AF7115" w:rsidRDefault="00AF7115" w:rsidP="00047056">
      <w:pPr>
        <w:pStyle w:val="Textoindependiente21"/>
        <w:widowControl/>
        <w:overflowPunct/>
        <w:autoSpaceDE/>
        <w:autoSpaceDN/>
        <w:adjustRightInd/>
        <w:spacing w:line="360" w:lineRule="auto"/>
        <w:ind w:firstLine="0"/>
        <w:textAlignment w:val="auto"/>
        <w:rPr>
          <w:rFonts w:ascii="Arial" w:hAnsi="Arial"/>
          <w:spacing w:val="-3"/>
        </w:rPr>
      </w:pPr>
    </w:p>
    <w:p w:rsidR="00AF7115" w:rsidRDefault="00AF7115" w:rsidP="00047056">
      <w:pPr>
        <w:pStyle w:val="Textoindependiente21"/>
        <w:widowControl/>
        <w:overflowPunct/>
        <w:autoSpaceDE/>
        <w:autoSpaceDN/>
        <w:adjustRightInd/>
        <w:spacing w:line="360" w:lineRule="auto"/>
        <w:ind w:firstLine="0"/>
        <w:textAlignment w:val="auto"/>
        <w:rPr>
          <w:rFonts w:ascii="Arial" w:hAnsi="Arial" w:cs="Arial"/>
        </w:rPr>
      </w:pPr>
      <w:r>
        <w:rPr>
          <w:rFonts w:ascii="Arial" w:hAnsi="Arial"/>
          <w:spacing w:val="-3"/>
        </w:rPr>
        <w:t xml:space="preserve">El Tribunal de Cuentas ha examinado los estados financieros básicos del “Proyecto de Mejora de la Calidad de la Educación Inicial y Primaria en Uruguay” financiado parcialmente </w:t>
      </w:r>
      <w:r>
        <w:rPr>
          <w:rFonts w:ascii="Arial" w:hAnsi="Arial" w:cs="Arial"/>
        </w:rPr>
        <w:t>con recursos del Préstamo del Banco Mundial</w:t>
      </w:r>
      <w:r>
        <w:rPr>
          <w:rFonts w:ascii="Arial" w:hAnsi="Arial"/>
          <w:spacing w:val="-3"/>
        </w:rPr>
        <w:t xml:space="preserve"> Nº 8675-UY, ejecutado por la Administración Nacional de Educación Pública, que comprenden </w:t>
      </w:r>
      <w:r>
        <w:rPr>
          <w:rFonts w:ascii="Arial" w:hAnsi="Arial" w:cs="Arial"/>
        </w:rPr>
        <w:t>el “Estado de Inversiones Acumulado”, el “Resumen de las Fuentes y Usos de Fondos Acumulado”, el “Estado de Activos y Pasivos” al 31/12/2017 y las Notas que los acompañan.</w:t>
      </w:r>
    </w:p>
    <w:p w:rsidR="00AF7115" w:rsidRDefault="00AF7115" w:rsidP="00047056">
      <w:pPr>
        <w:tabs>
          <w:tab w:val="left" w:pos="0"/>
        </w:tabs>
        <w:suppressAutoHyphens/>
        <w:spacing w:line="360" w:lineRule="auto"/>
        <w:jc w:val="both"/>
        <w:rPr>
          <w:rFonts w:ascii="Arial" w:hAnsi="Arial"/>
          <w:spacing w:val="-3"/>
          <w:lang w:val="es-ES_tradnl"/>
        </w:rPr>
      </w:pPr>
    </w:p>
    <w:p w:rsidR="00AF7115" w:rsidRDefault="00AF7115" w:rsidP="00047056">
      <w:pPr>
        <w:tabs>
          <w:tab w:val="left" w:pos="0"/>
        </w:tabs>
        <w:suppressAutoHyphens/>
        <w:spacing w:line="360" w:lineRule="auto"/>
        <w:jc w:val="both"/>
        <w:rPr>
          <w:rFonts w:ascii="Arial" w:hAnsi="Arial"/>
          <w:b/>
          <w:spacing w:val="-3"/>
        </w:rPr>
      </w:pPr>
      <w:r>
        <w:rPr>
          <w:rFonts w:ascii="Arial" w:hAnsi="Arial"/>
          <w:b/>
          <w:spacing w:val="-3"/>
        </w:rPr>
        <w:t>Responsabilidad de la Direcc</w:t>
      </w:r>
      <w:r w:rsidR="00AC5F1B">
        <w:rPr>
          <w:rFonts w:ascii="Arial" w:hAnsi="Arial"/>
          <w:b/>
          <w:spacing w:val="-3"/>
        </w:rPr>
        <w:t>ión</w:t>
      </w:r>
    </w:p>
    <w:p w:rsidR="00AF7115" w:rsidRDefault="00AF7115" w:rsidP="00047056">
      <w:pPr>
        <w:tabs>
          <w:tab w:val="left" w:pos="0"/>
        </w:tabs>
        <w:suppressAutoHyphens/>
        <w:spacing w:line="360" w:lineRule="auto"/>
        <w:jc w:val="both"/>
        <w:rPr>
          <w:rFonts w:ascii="Arial" w:hAnsi="Arial"/>
          <w:spacing w:val="-3"/>
        </w:rPr>
      </w:pPr>
      <w:r>
        <w:rPr>
          <w:rFonts w:ascii="Arial" w:hAnsi="Arial"/>
          <w:spacing w:val="-3"/>
        </w:rPr>
        <w:t>La Dirección del Proyecto es responsable por la preparación y la razonable presentación de estos estados financieros de acuerdo</w:t>
      </w:r>
      <w:r>
        <w:rPr>
          <w:rFonts w:ascii="Arial" w:hAnsi="Arial"/>
          <w:lang w:val="es-ES_tradnl"/>
        </w:rPr>
        <w:t xml:space="preserve"> con los requerimientos de auditoría independiente emitidos por el Banco Mundial. </w:t>
      </w:r>
      <w:r>
        <w:rPr>
          <w:rFonts w:ascii="Arial" w:hAnsi="Arial"/>
          <w:spacing w:val="-3"/>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AF7115" w:rsidRDefault="00AF7115" w:rsidP="00047056">
      <w:pPr>
        <w:tabs>
          <w:tab w:val="left" w:pos="0"/>
        </w:tabs>
        <w:suppressAutoHyphens/>
        <w:spacing w:line="360" w:lineRule="auto"/>
        <w:jc w:val="both"/>
        <w:rPr>
          <w:rFonts w:ascii="Arial" w:hAnsi="Arial"/>
          <w:spacing w:val="-3"/>
        </w:rPr>
      </w:pPr>
    </w:p>
    <w:p w:rsidR="00AF7115" w:rsidRDefault="00AC5F1B" w:rsidP="00047056">
      <w:pPr>
        <w:tabs>
          <w:tab w:val="left" w:pos="0"/>
        </w:tabs>
        <w:suppressAutoHyphens/>
        <w:spacing w:line="360" w:lineRule="auto"/>
        <w:jc w:val="both"/>
        <w:rPr>
          <w:rFonts w:ascii="Arial" w:hAnsi="Arial"/>
          <w:b/>
          <w:spacing w:val="-3"/>
        </w:rPr>
      </w:pPr>
      <w:r>
        <w:rPr>
          <w:rFonts w:ascii="Arial" w:hAnsi="Arial"/>
          <w:b/>
          <w:spacing w:val="-3"/>
        </w:rPr>
        <w:t>Responsabilidad del Auditor</w:t>
      </w:r>
    </w:p>
    <w:p w:rsidR="00AF7115" w:rsidRDefault="00AF7115" w:rsidP="00047056">
      <w:pPr>
        <w:tabs>
          <w:tab w:val="left" w:pos="0"/>
        </w:tabs>
        <w:suppressAutoHyphens/>
        <w:spacing w:line="360" w:lineRule="auto"/>
        <w:jc w:val="both"/>
        <w:rPr>
          <w:rFonts w:ascii="Arial" w:hAnsi="Arial"/>
          <w:spacing w:val="-3"/>
        </w:rPr>
      </w:pPr>
      <w:r>
        <w:rPr>
          <w:rFonts w:ascii="Arial" w:hAnsi="Arial"/>
          <w:spacing w:val="-3"/>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y con los requerimientos de auditoría independiente emitidos por el Banco Mundial.</w:t>
      </w:r>
    </w:p>
    <w:p w:rsidR="00AF7115" w:rsidRDefault="00AF7115" w:rsidP="00047056">
      <w:pPr>
        <w:tabs>
          <w:tab w:val="left" w:pos="0"/>
        </w:tabs>
        <w:suppressAutoHyphens/>
        <w:spacing w:line="360" w:lineRule="auto"/>
        <w:jc w:val="both"/>
        <w:rPr>
          <w:rFonts w:ascii="Arial" w:hAnsi="Arial"/>
          <w:spacing w:val="-3"/>
        </w:rPr>
      </w:pPr>
      <w:r>
        <w:rPr>
          <w:rFonts w:ascii="Arial" w:hAnsi="Arial"/>
        </w:rPr>
        <w:t>E</w:t>
      </w:r>
      <w:r>
        <w:rPr>
          <w:rFonts w:ascii="Arial" w:hAnsi="Arial"/>
          <w:spacing w:val="-3"/>
        </w:rPr>
        <w:t>stas normas requieren que se cumpla con requisitos éticos, se planifique y se realice la auditoría para obtener seguridad razonable acerca de si los estados financieros están libres de errores significativos.</w:t>
      </w:r>
    </w:p>
    <w:p w:rsidR="00AF7115" w:rsidRDefault="00AF7115" w:rsidP="00047056">
      <w:pPr>
        <w:tabs>
          <w:tab w:val="left" w:pos="0"/>
        </w:tabs>
        <w:suppressAutoHyphens/>
        <w:spacing w:line="360" w:lineRule="auto"/>
        <w:jc w:val="both"/>
        <w:rPr>
          <w:rFonts w:ascii="Arial" w:hAnsi="Arial"/>
          <w:spacing w:val="-3"/>
        </w:rPr>
      </w:pPr>
      <w:r>
        <w:rPr>
          <w:rFonts w:ascii="Arial" w:hAnsi="Arial"/>
          <w:spacing w:val="-3"/>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AF7115" w:rsidRDefault="00AF7115" w:rsidP="00047056">
      <w:pPr>
        <w:tabs>
          <w:tab w:val="left" w:pos="0"/>
        </w:tabs>
        <w:suppressAutoHyphens/>
        <w:spacing w:line="360" w:lineRule="auto"/>
        <w:jc w:val="both"/>
        <w:rPr>
          <w:rFonts w:ascii="Arial" w:hAnsi="Arial"/>
          <w:spacing w:val="-3"/>
        </w:rPr>
      </w:pPr>
      <w:r>
        <w:rPr>
          <w:rFonts w:ascii="Arial" w:hAnsi="Arial"/>
          <w:spacing w:val="-3"/>
        </w:rPr>
        <w:t>Se considera que la evidencia de auditoría obtenida brinda una base suficiente y apropiada para sustentar la opinión.</w:t>
      </w:r>
    </w:p>
    <w:p w:rsidR="00AF7115" w:rsidRDefault="00AF7115" w:rsidP="00047056">
      <w:pPr>
        <w:tabs>
          <w:tab w:val="left" w:pos="0"/>
        </w:tabs>
        <w:suppressAutoHyphens/>
        <w:spacing w:line="360" w:lineRule="auto"/>
        <w:jc w:val="both"/>
        <w:rPr>
          <w:rFonts w:ascii="Arial" w:hAnsi="Arial"/>
          <w:spacing w:val="-3"/>
        </w:rPr>
      </w:pPr>
    </w:p>
    <w:p w:rsidR="00AF7115" w:rsidRDefault="00AC5F1B" w:rsidP="00047056">
      <w:pPr>
        <w:tabs>
          <w:tab w:val="left" w:pos="0"/>
        </w:tabs>
        <w:suppressAutoHyphens/>
        <w:spacing w:line="360" w:lineRule="auto"/>
        <w:jc w:val="both"/>
        <w:rPr>
          <w:rFonts w:ascii="Arial" w:hAnsi="Arial"/>
          <w:b/>
          <w:spacing w:val="-3"/>
        </w:rPr>
      </w:pPr>
      <w:r>
        <w:rPr>
          <w:rFonts w:ascii="Arial" w:hAnsi="Arial"/>
          <w:b/>
          <w:spacing w:val="-3"/>
        </w:rPr>
        <w:t>Opinión</w:t>
      </w:r>
    </w:p>
    <w:p w:rsidR="00AF7115" w:rsidRDefault="00AF7115" w:rsidP="00047056">
      <w:pPr>
        <w:pStyle w:val="Sangra2detindependiente"/>
        <w:spacing w:line="360" w:lineRule="auto"/>
        <w:ind w:firstLine="0"/>
        <w:rPr>
          <w:color w:val="auto"/>
          <w:lang w:val="es-ES"/>
        </w:rPr>
      </w:pPr>
      <w:r>
        <w:rPr>
          <w:color w:val="auto"/>
          <w:spacing w:val="-3"/>
        </w:rPr>
        <w:t xml:space="preserve">En opinión del Tribunal de Cuentas, los estados financieros referidos precedentemente presentan razonablemente, en todos sus aspectos importantes, </w:t>
      </w:r>
      <w:r>
        <w:rPr>
          <w:rFonts w:cs="Arial"/>
          <w:color w:val="auto"/>
        </w:rPr>
        <w:t>los flujos de efectivo y las inversiones</w:t>
      </w:r>
      <w:r>
        <w:rPr>
          <w:rFonts w:cs="Arial"/>
          <w:i/>
          <w:color w:val="auto"/>
        </w:rPr>
        <w:t xml:space="preserve"> </w:t>
      </w:r>
      <w:r>
        <w:rPr>
          <w:rFonts w:cs="Arial"/>
          <w:color w:val="auto"/>
        </w:rPr>
        <w:t xml:space="preserve">del “Proyecto de Mejora de la Calidad de la Educación Inicial y Primaria en Uruguay” del período 01/06/2017 al 31/12/2017, </w:t>
      </w:r>
      <w:r>
        <w:rPr>
          <w:color w:val="auto"/>
          <w:spacing w:val="-3"/>
        </w:rPr>
        <w:t xml:space="preserve">la situación de los activos y pasivos al 31/12/2017, de acuerdo </w:t>
      </w:r>
      <w:r w:rsidRPr="00C211CE">
        <w:rPr>
          <w:color w:val="auto"/>
          <w:lang w:val="es-ES"/>
        </w:rPr>
        <w:t xml:space="preserve">con </w:t>
      </w:r>
      <w:r w:rsidRPr="00C211CE">
        <w:rPr>
          <w:rFonts w:cs="Arial"/>
          <w:color w:val="auto"/>
          <w:lang w:val="es-ES"/>
        </w:rPr>
        <w:t xml:space="preserve">los requerimientos de </w:t>
      </w:r>
      <w:r>
        <w:rPr>
          <w:rFonts w:cs="Arial"/>
          <w:color w:val="auto"/>
          <w:lang w:val="es-ES"/>
        </w:rPr>
        <w:t>auditoría</w:t>
      </w:r>
      <w:r w:rsidRPr="00C211CE">
        <w:rPr>
          <w:rFonts w:cs="Arial"/>
          <w:color w:val="auto"/>
          <w:lang w:val="es-ES"/>
        </w:rPr>
        <w:t xml:space="preserve"> independiente emitidos por el Banco Mundial</w:t>
      </w:r>
      <w:r w:rsidRPr="00C211CE">
        <w:rPr>
          <w:color w:val="auto"/>
          <w:lang w:val="es-ES"/>
        </w:rPr>
        <w:t>.</w:t>
      </w:r>
    </w:p>
    <w:p w:rsidR="00AF7115" w:rsidRDefault="00AC5F1B" w:rsidP="00047056">
      <w:pPr>
        <w:tabs>
          <w:tab w:val="left" w:pos="0"/>
        </w:tabs>
        <w:suppressAutoHyphens/>
        <w:spacing w:line="360" w:lineRule="auto"/>
        <w:jc w:val="right"/>
        <w:rPr>
          <w:rFonts w:ascii="Arial" w:hAnsi="Arial"/>
          <w:spacing w:val="-3"/>
        </w:rPr>
      </w:pPr>
      <w:r>
        <w:rPr>
          <w:rFonts w:ascii="Arial" w:hAnsi="Arial"/>
          <w:spacing w:val="-3"/>
        </w:rPr>
        <w:t>Montevideo, 6 de junio de 2018</w:t>
      </w:r>
    </w:p>
    <w:p w:rsidR="00AF7115" w:rsidRDefault="00AF7115" w:rsidP="00047056">
      <w:pPr>
        <w:tabs>
          <w:tab w:val="left" w:pos="0"/>
        </w:tabs>
        <w:suppressAutoHyphens/>
        <w:spacing w:line="360" w:lineRule="auto"/>
        <w:rPr>
          <w:rFonts w:ascii="Arial" w:hAnsi="Arial"/>
          <w:spacing w:val="-3"/>
        </w:rPr>
      </w:pPr>
      <w:proofErr w:type="spellStart"/>
      <w:proofErr w:type="gramStart"/>
      <w:r>
        <w:rPr>
          <w:rFonts w:ascii="Arial" w:hAnsi="Arial"/>
          <w:spacing w:val="-3"/>
        </w:rPr>
        <w:t>aa</w:t>
      </w:r>
      <w:proofErr w:type="spellEnd"/>
      <w:proofErr w:type="gramEnd"/>
    </w:p>
    <w:p w:rsidR="00AF7115" w:rsidRDefault="00AF7115"/>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2E1EC0">
      <w:pPr>
        <w:tabs>
          <w:tab w:val="right" w:pos="7938"/>
        </w:tabs>
        <w:spacing w:line="360" w:lineRule="auto"/>
        <w:jc w:val="center"/>
        <w:rPr>
          <w:rFonts w:ascii="Arial" w:hAnsi="Arial"/>
          <w:b/>
          <w:lang w:val="es-ES_tradnl"/>
        </w:rPr>
      </w:pPr>
      <w:r>
        <w:rPr>
          <w:rFonts w:ascii="Arial" w:hAnsi="Arial"/>
          <w:b/>
          <w:lang w:val="es-ES_tradnl"/>
        </w:rPr>
        <w:t>DICTAMEN</w:t>
      </w:r>
    </w:p>
    <w:p w:rsidR="00AF7115" w:rsidRDefault="00AF7115" w:rsidP="002E1EC0">
      <w:pPr>
        <w:widowControl w:val="0"/>
        <w:tabs>
          <w:tab w:val="left" w:pos="0"/>
        </w:tabs>
        <w:suppressAutoHyphens/>
        <w:spacing w:line="360" w:lineRule="auto"/>
        <w:jc w:val="both"/>
        <w:rPr>
          <w:rFonts w:ascii="Arial" w:hAnsi="Arial"/>
          <w:snapToGrid w:val="0"/>
          <w:spacing w:val="-3"/>
          <w:szCs w:val="20"/>
        </w:rPr>
      </w:pPr>
    </w:p>
    <w:p w:rsidR="00AF7115" w:rsidRDefault="00AF7115" w:rsidP="002E1EC0">
      <w:pPr>
        <w:tabs>
          <w:tab w:val="center" w:pos="1440"/>
        </w:tabs>
        <w:spacing w:line="360" w:lineRule="auto"/>
        <w:jc w:val="both"/>
        <w:rPr>
          <w:rFonts w:ascii="Arial" w:hAnsi="Arial"/>
          <w:lang w:val="es-ES_tradnl"/>
        </w:rPr>
      </w:pPr>
      <w:r w:rsidRPr="007A0D32">
        <w:rPr>
          <w:lang w:val="es-UY"/>
        </w:rPr>
        <w:tab/>
      </w:r>
      <w:r>
        <w:rPr>
          <w:rFonts w:ascii="Arial" w:hAnsi="Arial"/>
          <w:lang w:val="es-ES_tradnl"/>
        </w:rPr>
        <w:t>El Tribunal de Cuentas ha examinado la información presentada en el “Estado de Solicitudes de Desembolsos al 31 de diciembre de 2017” del “Proyecto de Mejora de la Calidad de la Educación Inicial y Primaria en Uruguay” financiado parcialmente con recursos del Préstamo del Banco Mundial Nº 8675-UY ejecutado por la Administración Nacional de Educación Pública. Dicha información comprende la justificación de desembolso N° 2 por U$S 1.999.779.</w:t>
      </w:r>
    </w:p>
    <w:p w:rsidR="00AF7115" w:rsidRPr="004976E8" w:rsidRDefault="00AF7115" w:rsidP="002E1EC0">
      <w:pPr>
        <w:pStyle w:val="Piedepgina"/>
        <w:widowControl/>
        <w:spacing w:line="360" w:lineRule="auto"/>
        <w:rPr>
          <w:rFonts w:ascii="Arial" w:hAnsi="Arial"/>
          <w:bCs/>
          <w:spacing w:val="-3"/>
          <w:lang w:val="es-ES_tradnl"/>
        </w:rPr>
      </w:pPr>
    </w:p>
    <w:p w:rsidR="00AF7115" w:rsidRDefault="00AC5F1B" w:rsidP="002E1EC0">
      <w:pPr>
        <w:pStyle w:val="Piedepgina"/>
        <w:widowControl/>
        <w:spacing w:line="360" w:lineRule="auto"/>
        <w:jc w:val="both"/>
        <w:rPr>
          <w:rFonts w:ascii="Arial" w:hAnsi="Arial"/>
          <w:b/>
          <w:bCs/>
          <w:spacing w:val="-3"/>
          <w:lang w:val="es-ES_tradnl"/>
        </w:rPr>
      </w:pPr>
      <w:r>
        <w:rPr>
          <w:rFonts w:ascii="Arial" w:hAnsi="Arial"/>
          <w:b/>
          <w:bCs/>
          <w:spacing w:val="-3"/>
          <w:lang w:val="es-ES_tradnl"/>
        </w:rPr>
        <w:t>Responsabilidad de la Dirección</w:t>
      </w:r>
    </w:p>
    <w:p w:rsidR="00AF7115" w:rsidRDefault="00AF7115" w:rsidP="002E1EC0">
      <w:pPr>
        <w:tabs>
          <w:tab w:val="center" w:pos="1440"/>
        </w:tabs>
        <w:spacing w:line="360" w:lineRule="auto"/>
        <w:jc w:val="both"/>
        <w:rPr>
          <w:rFonts w:ascii="Arial" w:hAnsi="Arial"/>
          <w:lang w:val="es-ES_tradnl"/>
        </w:rPr>
      </w:pPr>
      <w:r>
        <w:rPr>
          <w:rFonts w:ascii="Arial" w:hAnsi="Arial"/>
          <w:lang w:val="es-ES_tradnl"/>
        </w:rPr>
        <w:t>La Dirección del “Proyecto de Mejora de la Calidad de la Educación Inicial y Primaria en Uruguay” es responsable por la preparación y la razonable presentación de este estado financiero de acuerdo con las normas del Banco Mundial.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AF7115" w:rsidRDefault="00AF7115" w:rsidP="002E1EC0">
      <w:pPr>
        <w:tabs>
          <w:tab w:val="center" w:pos="1440"/>
        </w:tabs>
        <w:spacing w:line="360" w:lineRule="auto"/>
        <w:jc w:val="both"/>
        <w:rPr>
          <w:rFonts w:ascii="Arial" w:hAnsi="Arial"/>
          <w:lang w:val="es-ES_tradnl"/>
        </w:rPr>
      </w:pPr>
    </w:p>
    <w:p w:rsidR="00AF7115" w:rsidRDefault="00AC5F1B" w:rsidP="002E1EC0">
      <w:pPr>
        <w:pStyle w:val="Piedepgina"/>
        <w:widowControl/>
        <w:spacing w:line="360" w:lineRule="auto"/>
        <w:jc w:val="both"/>
        <w:rPr>
          <w:rFonts w:ascii="Arial" w:hAnsi="Arial"/>
          <w:b/>
          <w:bCs/>
          <w:spacing w:val="-3"/>
          <w:lang w:val="es-ES_tradnl"/>
        </w:rPr>
      </w:pPr>
      <w:r>
        <w:rPr>
          <w:rFonts w:ascii="Arial" w:hAnsi="Arial"/>
          <w:b/>
          <w:bCs/>
          <w:spacing w:val="-3"/>
          <w:lang w:val="es-ES_tradnl"/>
        </w:rPr>
        <w:t>Responsabilidad del Auditor</w:t>
      </w:r>
    </w:p>
    <w:p w:rsidR="00AF7115" w:rsidRDefault="00AF7115" w:rsidP="002E1EC0">
      <w:pPr>
        <w:pStyle w:val="Piedepgina"/>
        <w:widowControl/>
        <w:spacing w:line="360" w:lineRule="auto"/>
        <w:jc w:val="both"/>
        <w:rPr>
          <w:rFonts w:ascii="Arial" w:hAnsi="Arial"/>
          <w:bCs/>
          <w:spacing w:val="-3"/>
          <w:lang w:val="es-ES_tradnl"/>
        </w:rPr>
      </w:pPr>
      <w:r>
        <w:rPr>
          <w:rFonts w:ascii="Arial" w:hAnsi="Arial"/>
          <w:bCs/>
          <w:spacing w:val="-3"/>
          <w:lang w:val="es-ES_tradnl"/>
        </w:rPr>
        <w:t xml:space="preserve">La responsabilidad del Tribunal de Cuentas es expresar una opinión sobre </w:t>
      </w:r>
      <w:r>
        <w:rPr>
          <w:rFonts w:ascii="Arial" w:hAnsi="Arial"/>
          <w:lang w:val="es-ES_tradnl"/>
        </w:rPr>
        <w:t xml:space="preserve">el “Estado de Solicitudes de Desembolsos al 31 de diciembre de 2017” </w:t>
      </w:r>
      <w:r>
        <w:rPr>
          <w:rFonts w:ascii="Arial" w:hAnsi="Arial"/>
          <w:bCs/>
          <w:spacing w:val="-3"/>
          <w:lang w:val="es-ES_tradnl"/>
        </w:rPr>
        <w:t xml:space="preserve">basada en la auditoría. Esta auditoría fue practicada </w:t>
      </w:r>
      <w:r>
        <w:rPr>
          <w:rFonts w:ascii="Arial" w:hAnsi="Arial"/>
          <w:spacing w:val="-3"/>
          <w:lang w:val="es-ES_tradnl"/>
        </w:rPr>
        <w:t xml:space="preserve">de acuerdo con los Principios Fundamentales de Auditoría (ISSAI 100 y 200) y las Directrices de Auditoría Financiera de </w:t>
      </w:r>
      <w:r>
        <w:rPr>
          <w:rFonts w:ascii="Arial" w:hAnsi="Arial"/>
          <w:bCs/>
          <w:spacing w:val="-3"/>
          <w:lang w:val="es-ES_tradnl"/>
        </w:rPr>
        <w:t>la Organización Internacional de Entidades Fiscalizadoras Superiores (INTOSAI)</w:t>
      </w:r>
      <w:r>
        <w:rPr>
          <w:lang w:val="es-UY"/>
        </w:rPr>
        <w:t xml:space="preserve"> </w:t>
      </w:r>
      <w:r>
        <w:rPr>
          <w:rFonts w:ascii="Arial" w:hAnsi="Arial"/>
          <w:bCs/>
          <w:spacing w:val="-3"/>
          <w:lang w:val="es-ES_tradnl"/>
        </w:rPr>
        <w:t>y con los requerimientos de auditoría independiente emitidos por el Banco Mundial. Estas normas requieren que se cumpla con requisitos éticos, se planifique y se realice la auditoría para obtener seguridad razonable acerca de si los estados financieros y la información financiera complementaria están libres de errores significativos.</w:t>
      </w:r>
    </w:p>
    <w:p w:rsidR="00AF7115" w:rsidRDefault="00AF7115" w:rsidP="002E1EC0">
      <w:pPr>
        <w:pStyle w:val="Piedepgina"/>
        <w:widowControl/>
        <w:spacing w:line="360" w:lineRule="auto"/>
        <w:jc w:val="both"/>
        <w:rPr>
          <w:rFonts w:ascii="Arial" w:hAnsi="Arial"/>
          <w:bCs/>
          <w:spacing w:val="-3"/>
          <w:lang w:val="es-ES_tradnl"/>
        </w:rPr>
      </w:pPr>
      <w:r>
        <w:rPr>
          <w:rFonts w:ascii="Arial" w:hAnsi="Arial"/>
          <w:bCs/>
          <w:spacing w:val="-3"/>
          <w:lang w:val="es-ES"/>
        </w:rPr>
        <w:tab/>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AF7115" w:rsidRDefault="00AF7115" w:rsidP="002E1EC0">
      <w:pPr>
        <w:pStyle w:val="Piedepgina"/>
        <w:widowControl/>
        <w:tabs>
          <w:tab w:val="left" w:pos="1418"/>
        </w:tabs>
        <w:spacing w:line="360" w:lineRule="auto"/>
        <w:jc w:val="both"/>
        <w:rPr>
          <w:rFonts w:ascii="Arial" w:hAnsi="Arial"/>
          <w:bCs/>
          <w:spacing w:val="-3"/>
          <w:lang w:val="es-ES"/>
        </w:rPr>
      </w:pPr>
      <w:r>
        <w:rPr>
          <w:rFonts w:ascii="Arial" w:hAnsi="Arial"/>
          <w:bCs/>
          <w:spacing w:val="-3"/>
          <w:lang w:val="es-ES"/>
        </w:rPr>
        <w:t>Se considera que la evidencia de auditoría obtenida brinda una base suficiente y apropiada para sustentar la opinión.</w:t>
      </w:r>
    </w:p>
    <w:p w:rsidR="00AF7115" w:rsidRDefault="00AF7115" w:rsidP="002E1EC0">
      <w:pPr>
        <w:pStyle w:val="Piedepgina"/>
        <w:widowControl/>
        <w:spacing w:line="360" w:lineRule="auto"/>
        <w:jc w:val="both"/>
        <w:rPr>
          <w:rFonts w:ascii="Arial" w:hAnsi="Arial"/>
          <w:bCs/>
          <w:spacing w:val="-3"/>
          <w:lang w:val="es-ES"/>
        </w:rPr>
      </w:pPr>
    </w:p>
    <w:p w:rsidR="00AF7115" w:rsidRDefault="00AF7115" w:rsidP="002E1EC0">
      <w:pPr>
        <w:pStyle w:val="Piedepgina"/>
        <w:widowControl/>
        <w:spacing w:line="360" w:lineRule="auto"/>
        <w:jc w:val="both"/>
        <w:rPr>
          <w:rFonts w:ascii="Arial" w:hAnsi="Arial"/>
          <w:b/>
          <w:bCs/>
          <w:spacing w:val="-3"/>
          <w:lang w:val="es-ES"/>
        </w:rPr>
      </w:pPr>
      <w:r>
        <w:rPr>
          <w:rFonts w:ascii="Arial" w:hAnsi="Arial"/>
          <w:b/>
          <w:bCs/>
          <w:spacing w:val="-3"/>
          <w:lang w:val="es-ES"/>
        </w:rPr>
        <w:t>Opinión</w:t>
      </w:r>
    </w:p>
    <w:p w:rsidR="00AF7115" w:rsidRPr="00333D36" w:rsidRDefault="00AF7115" w:rsidP="002E1EC0">
      <w:pPr>
        <w:pStyle w:val="Piedepgina"/>
        <w:widowControl/>
        <w:spacing w:line="360" w:lineRule="auto"/>
        <w:jc w:val="both"/>
        <w:rPr>
          <w:rFonts w:ascii="Arial" w:hAnsi="Arial"/>
          <w:bCs/>
          <w:spacing w:val="-3"/>
          <w:lang w:val="es-ES"/>
        </w:rPr>
      </w:pPr>
      <w:r>
        <w:rPr>
          <w:rFonts w:ascii="Arial" w:hAnsi="Arial" w:cs="Arial"/>
          <w:color w:val="000000"/>
          <w:lang w:val="es-ES"/>
        </w:rPr>
        <w:t>En opinión del Tribunal de Cuentas la información correspondiente al período 01/06/2017 al 31/12/2017 presentada en</w:t>
      </w:r>
      <w:r>
        <w:rPr>
          <w:rFonts w:ascii="Arial" w:hAnsi="Arial"/>
          <w:lang w:val="es-ES"/>
        </w:rPr>
        <w:t xml:space="preserve"> el “Estado de Solicitudes de Desembolsos al 31 de diciembre de 2017” junto con los controles y procedimientos internos utilizados en su preparación, son razonables para sustentar la solicitud de reembolso de gastos de conformidad con los requisitos establecidos por el Banco Mundial y dichos gastos son elegibles para el financiamiento del Contrato de Préstamo.</w:t>
      </w:r>
    </w:p>
    <w:p w:rsidR="00AF7115" w:rsidRDefault="00AF7115" w:rsidP="002E1EC0">
      <w:pPr>
        <w:pStyle w:val="Piedepgina"/>
        <w:widowControl/>
        <w:spacing w:line="360" w:lineRule="auto"/>
        <w:jc w:val="right"/>
        <w:rPr>
          <w:rFonts w:ascii="Arial" w:hAnsi="Arial"/>
          <w:bCs/>
          <w:spacing w:val="-3"/>
          <w:lang w:val="es-ES"/>
        </w:rPr>
      </w:pPr>
      <w:r>
        <w:rPr>
          <w:rFonts w:ascii="Arial" w:hAnsi="Arial"/>
          <w:bCs/>
          <w:spacing w:val="-3"/>
          <w:lang w:val="es-ES"/>
        </w:rPr>
        <w:t xml:space="preserve">Montevideo, </w:t>
      </w:r>
      <w:r w:rsidR="00AC5F1B">
        <w:rPr>
          <w:rFonts w:ascii="Arial" w:hAnsi="Arial"/>
          <w:bCs/>
          <w:spacing w:val="-3"/>
          <w:lang w:val="es-ES"/>
        </w:rPr>
        <w:t>6 de junio de 2018</w:t>
      </w:r>
    </w:p>
    <w:p w:rsidR="00AF7115" w:rsidRPr="002E1EC0" w:rsidRDefault="00AF7115" w:rsidP="002E1EC0">
      <w:proofErr w:type="spellStart"/>
      <w:proofErr w:type="gramStart"/>
      <w:r w:rsidRPr="002E1EC0">
        <w:rPr>
          <w:rFonts w:ascii="Arial" w:hAnsi="Arial" w:cs="Arial"/>
          <w:bCs/>
        </w:rPr>
        <w:t>aa</w:t>
      </w:r>
      <w:proofErr w:type="spellEnd"/>
      <w:proofErr w:type="gramEnd"/>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F7115" w:rsidRDefault="00AC5F1B" w:rsidP="004D264B">
      <w:pPr>
        <w:spacing w:line="360" w:lineRule="auto"/>
        <w:jc w:val="center"/>
        <w:rPr>
          <w:rFonts w:ascii="Arial" w:hAnsi="Arial"/>
          <w:b/>
          <w:lang w:val="es-ES_tradnl"/>
        </w:rPr>
      </w:pPr>
      <w:r>
        <w:rPr>
          <w:rFonts w:ascii="Arial" w:hAnsi="Arial"/>
          <w:b/>
          <w:lang w:val="es-ES_tradnl"/>
        </w:rPr>
        <w:t>DICTAMEN</w:t>
      </w:r>
    </w:p>
    <w:p w:rsidR="00AF7115" w:rsidRDefault="00AF7115" w:rsidP="004D264B">
      <w:pPr>
        <w:widowControl w:val="0"/>
        <w:tabs>
          <w:tab w:val="center" w:pos="3968"/>
        </w:tabs>
        <w:suppressAutoHyphens/>
        <w:spacing w:line="360" w:lineRule="auto"/>
        <w:jc w:val="both"/>
        <w:rPr>
          <w:rFonts w:ascii="Arial" w:hAnsi="Arial"/>
          <w:snapToGrid w:val="0"/>
          <w:spacing w:val="-3"/>
          <w:szCs w:val="20"/>
        </w:rPr>
      </w:pPr>
    </w:p>
    <w:p w:rsidR="00AF7115" w:rsidRDefault="00AF7115" w:rsidP="004D264B">
      <w:pPr>
        <w:spacing w:line="360" w:lineRule="auto"/>
        <w:jc w:val="both"/>
        <w:rPr>
          <w:rFonts w:ascii="Arial" w:hAnsi="Arial"/>
          <w:lang w:val="es-ES_tradnl"/>
        </w:rPr>
      </w:pPr>
      <w:r>
        <w:rPr>
          <w:rFonts w:ascii="Arial" w:hAnsi="Arial"/>
          <w:lang w:val="es-ES_tradnl"/>
        </w:rPr>
        <w:t>El Tribunal de Cuentas ha examinado el “Estado de la Cuenta Especial” Nº240100242 correspondiente al “Proyecto de Mejora de la Calidad de la Educación Inicial y Primaria en Uruguay” financiado parcialmente por el Préstamo del Banco Mundial Nº 8675-UY, ejecutado por la Administración Nacional de Educación Pública, correspondiente al ejercicio anual finalizado el 31/12/2017.</w:t>
      </w:r>
    </w:p>
    <w:p w:rsidR="00AF7115" w:rsidRPr="004976E8" w:rsidRDefault="00AF7115" w:rsidP="004D264B">
      <w:pPr>
        <w:spacing w:line="360" w:lineRule="auto"/>
        <w:jc w:val="both"/>
        <w:rPr>
          <w:rFonts w:ascii="Arial" w:hAnsi="Arial"/>
          <w:lang w:val="es-ES_tradnl"/>
        </w:rPr>
      </w:pPr>
    </w:p>
    <w:p w:rsidR="00AF7115" w:rsidRDefault="00AC5F1B" w:rsidP="004D264B">
      <w:pPr>
        <w:spacing w:line="360" w:lineRule="auto"/>
        <w:jc w:val="both"/>
        <w:rPr>
          <w:rFonts w:ascii="Arial" w:hAnsi="Arial"/>
          <w:b/>
          <w:lang w:val="es-ES_tradnl"/>
        </w:rPr>
      </w:pPr>
      <w:r>
        <w:rPr>
          <w:rFonts w:ascii="Arial" w:hAnsi="Arial"/>
          <w:b/>
          <w:lang w:val="es-ES_tradnl"/>
        </w:rPr>
        <w:t>Responsabilidad de la Dirección</w:t>
      </w:r>
    </w:p>
    <w:p w:rsidR="00AF7115" w:rsidRDefault="00AF7115" w:rsidP="004D264B">
      <w:pPr>
        <w:spacing w:line="360" w:lineRule="auto"/>
        <w:jc w:val="both"/>
        <w:rPr>
          <w:rFonts w:ascii="Arial" w:hAnsi="Arial"/>
          <w:lang w:val="es-ES_tradnl"/>
        </w:rPr>
      </w:pPr>
      <w:r>
        <w:rPr>
          <w:rFonts w:ascii="Arial" w:hAnsi="Arial"/>
          <w:lang w:val="es-ES_tradnl"/>
        </w:rPr>
        <w:t>La Dirección del “Proyecto de Mejora de la Calidad de la Educación Inicial y Primaria en Uruguay” es responsable por la preparación y la razonable presentación de este estado financiero de acuerdo</w:t>
      </w:r>
      <w:r>
        <w:rPr>
          <w:rFonts w:ascii="Arial" w:hAnsi="Arial" w:cs="Arial"/>
        </w:rPr>
        <w:t xml:space="preserve"> </w:t>
      </w:r>
      <w:r>
        <w:rPr>
          <w:rFonts w:ascii="Arial" w:hAnsi="Arial"/>
          <w:lang w:val="es-ES_tradnl"/>
        </w:rPr>
        <w:t>con las normas del Banco Mundial. Esta responsabilidad incluye diseñar, implementar y mantener un sistema de control interno adecuado para la preparación y presentación razonable de los estados financieros que estén libres de errores significativos, ya sea debido a fraude o error, seleccionar y aplicar políticas contables apropiadas y realizar estimaciones razonables en las circunstancias.</w:t>
      </w:r>
    </w:p>
    <w:p w:rsidR="00AF7115" w:rsidRDefault="00AF7115" w:rsidP="004D264B">
      <w:pPr>
        <w:spacing w:line="360" w:lineRule="auto"/>
        <w:jc w:val="both"/>
        <w:rPr>
          <w:rFonts w:ascii="Arial" w:hAnsi="Arial"/>
          <w:lang w:val="es-ES_tradnl"/>
        </w:rPr>
      </w:pPr>
    </w:p>
    <w:p w:rsidR="00AF7115" w:rsidRDefault="00AC5F1B" w:rsidP="004D264B">
      <w:pPr>
        <w:spacing w:line="360" w:lineRule="auto"/>
        <w:jc w:val="both"/>
        <w:rPr>
          <w:rFonts w:ascii="Arial" w:hAnsi="Arial"/>
          <w:b/>
          <w:lang w:val="es-ES_tradnl"/>
        </w:rPr>
      </w:pPr>
      <w:r>
        <w:rPr>
          <w:rFonts w:ascii="Arial" w:hAnsi="Arial"/>
          <w:b/>
          <w:lang w:val="es-ES_tradnl"/>
        </w:rPr>
        <w:t>Responsabilidad del Auditor</w:t>
      </w:r>
    </w:p>
    <w:p w:rsidR="00AF7115" w:rsidRDefault="00AF7115" w:rsidP="004D264B">
      <w:pPr>
        <w:pStyle w:val="Piedepgina"/>
        <w:widowControl/>
        <w:tabs>
          <w:tab w:val="left" w:pos="709"/>
        </w:tabs>
        <w:spacing w:line="360" w:lineRule="auto"/>
        <w:jc w:val="both"/>
        <w:rPr>
          <w:rFonts w:ascii="Arial" w:hAnsi="Arial" w:cs="Arial"/>
          <w:bCs/>
          <w:spacing w:val="-3"/>
          <w:lang w:val="es-ES"/>
        </w:rPr>
      </w:pPr>
      <w:r>
        <w:rPr>
          <w:rFonts w:ascii="Arial" w:hAnsi="Arial" w:cs="Arial"/>
          <w:bCs/>
          <w:spacing w:val="-3"/>
          <w:lang w:val="es-ES"/>
        </w:rPr>
        <w:t>La responsabilidad del Tribunal de Cuentas es expresar una opinión sobre el “Estado de la Cuenta Especial” basada en la auditoría practicada. Esta auditoría fue realizada de acuerdo</w:t>
      </w:r>
      <w:r>
        <w:rPr>
          <w:rFonts w:ascii="Arial" w:hAnsi="Arial"/>
          <w:spacing w:val="-3"/>
          <w:lang w:val="es-ES"/>
        </w:rPr>
        <w:t xml:space="preserve"> con  los Principios Fundamentales de Auditoría (ISSAI 100 y 200) y las Directrices de Auditoría Financiera de la Organización Internacional de Entidades Fiscalizadoras Superiores (INTOSAI) y con los requerimientos de auditoría independiente emitidos por el Banco Mundial. </w:t>
      </w:r>
      <w:r>
        <w:rPr>
          <w:rFonts w:ascii="Arial" w:hAnsi="Arial" w:cs="Arial"/>
          <w:bCs/>
          <w:spacing w:val="-3"/>
          <w:lang w:val="es-ES"/>
        </w:rPr>
        <w:t>Estas normas requieren que se cumpla con requisitos éticos, se planifique y se realice la auditoría para obtener seguridad razonable acerca de si los estados financieros están libres de errores significativos.</w:t>
      </w:r>
    </w:p>
    <w:p w:rsidR="00AF7115" w:rsidRDefault="00AF7115" w:rsidP="004D264B">
      <w:pPr>
        <w:pStyle w:val="Piedepgina"/>
        <w:widowControl/>
        <w:spacing w:line="360" w:lineRule="auto"/>
        <w:jc w:val="both"/>
        <w:rPr>
          <w:rFonts w:ascii="Arial" w:hAnsi="Arial" w:cs="Arial"/>
          <w:bCs/>
          <w:spacing w:val="-3"/>
          <w:lang w:val="es-ES"/>
        </w:rPr>
      </w:pPr>
    </w:p>
    <w:p w:rsidR="00AF7115" w:rsidRDefault="00AF7115" w:rsidP="004D264B">
      <w:pPr>
        <w:pStyle w:val="Textoindependiente"/>
        <w:spacing w:line="360" w:lineRule="auto"/>
        <w:rPr>
          <w:rFonts w:ascii="Arial" w:hAnsi="Arial"/>
        </w:rPr>
      </w:pPr>
      <w:r>
        <w:rPr>
          <w:rFonts w:ascii="Arial" w:hAnsi="Arial"/>
        </w:rPr>
        <w:t>Una auditoría del estado de la cuenta especial implica examinar, sobre una base selectiva, la evidencia que respalda los importes y las revelaciones en dicho estado financiero, así como su presentación.</w:t>
      </w:r>
    </w:p>
    <w:p w:rsidR="00AF7115" w:rsidRDefault="00AF7115" w:rsidP="004D264B">
      <w:pPr>
        <w:pStyle w:val="Piedepgina"/>
        <w:widowControl/>
        <w:tabs>
          <w:tab w:val="left" w:pos="709"/>
        </w:tabs>
        <w:spacing w:line="360" w:lineRule="auto"/>
        <w:jc w:val="both"/>
        <w:rPr>
          <w:rFonts w:ascii="Arial" w:hAnsi="Arial" w:cs="Arial"/>
          <w:bCs/>
          <w:spacing w:val="-3"/>
          <w:lang w:val="es-ES"/>
        </w:rPr>
      </w:pPr>
      <w:r>
        <w:rPr>
          <w:rFonts w:ascii="Arial" w:hAnsi="Arial" w:cs="Arial"/>
          <w:bCs/>
          <w:spacing w:val="-3"/>
          <w:lang w:val="es-ES"/>
        </w:rPr>
        <w:t>Los procedimientos seleccionados dependen del juicio profesional del auditor, incluyendo la evaluación de los riesgos y la selección mediante muestreo de comprobantes, verificar que los mismos son fidedignos, que fueron mantenidos ordenadamente en archivos y registrados en forma oportuna y adecuada y que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AF7115" w:rsidRDefault="00AF7115" w:rsidP="004D264B">
      <w:pPr>
        <w:pStyle w:val="Textoindependiente"/>
        <w:spacing w:line="360" w:lineRule="auto"/>
        <w:rPr>
          <w:rFonts w:ascii="Arial" w:hAnsi="Arial"/>
        </w:rPr>
      </w:pPr>
      <w:r>
        <w:rPr>
          <w:rFonts w:ascii="Arial" w:hAnsi="Arial"/>
        </w:rPr>
        <w:t>Se considera que la evidencia de auditoría obtenida brinda una base suficiente y apropiada para sustentar la opinión.</w:t>
      </w:r>
    </w:p>
    <w:p w:rsidR="00AF7115" w:rsidRDefault="00AF7115" w:rsidP="004D264B">
      <w:pPr>
        <w:pStyle w:val="Textoindependiente"/>
        <w:spacing w:line="360" w:lineRule="auto"/>
        <w:rPr>
          <w:rFonts w:ascii="Arial" w:hAnsi="Arial"/>
        </w:rPr>
      </w:pPr>
      <w:r>
        <w:rPr>
          <w:rFonts w:ascii="Arial" w:hAnsi="Arial"/>
        </w:rPr>
        <w:t>En el Estado de la cuenta Especial al 31/12/2017 se presentan las Inversiones en el Proyecto por U$S 4.197.433. Corresponde aclarar que el mencionado importe incluye, además de las inversiones r</w:t>
      </w:r>
      <w:r w:rsidR="00AC5F1B">
        <w:rPr>
          <w:rFonts w:ascii="Arial" w:hAnsi="Arial"/>
        </w:rPr>
        <w:t>ealizadas en el período por U$S</w:t>
      </w:r>
      <w:r>
        <w:rPr>
          <w:rFonts w:ascii="Arial" w:hAnsi="Arial"/>
        </w:rPr>
        <w:t>3.865.290, los depósitos en el BROU por un total de U$S 332.143.</w:t>
      </w:r>
    </w:p>
    <w:p w:rsidR="00AF7115" w:rsidRPr="00C007FA" w:rsidRDefault="00AF7115" w:rsidP="004D264B">
      <w:pPr>
        <w:pStyle w:val="Textoindependiente"/>
        <w:spacing w:line="360" w:lineRule="auto"/>
        <w:rPr>
          <w:rFonts w:ascii="Arial" w:hAnsi="Arial"/>
        </w:rPr>
      </w:pPr>
    </w:p>
    <w:p w:rsidR="00AF7115" w:rsidRDefault="00AC5F1B" w:rsidP="004D264B">
      <w:pPr>
        <w:pStyle w:val="Textoindependiente"/>
        <w:spacing w:line="360" w:lineRule="auto"/>
        <w:rPr>
          <w:rFonts w:ascii="Arial" w:hAnsi="Arial"/>
          <w:b/>
        </w:rPr>
      </w:pPr>
      <w:r>
        <w:rPr>
          <w:rFonts w:ascii="Arial" w:hAnsi="Arial"/>
          <w:b/>
        </w:rPr>
        <w:t>Opinión</w:t>
      </w:r>
    </w:p>
    <w:p w:rsidR="00AF7115" w:rsidRDefault="00AF7115" w:rsidP="004D264B">
      <w:pPr>
        <w:pStyle w:val="Textoindependiente"/>
        <w:spacing w:line="360" w:lineRule="auto"/>
        <w:rPr>
          <w:rFonts w:ascii="Arial" w:hAnsi="Arial" w:cs="Arial"/>
        </w:rPr>
      </w:pPr>
      <w:r>
        <w:rPr>
          <w:rFonts w:ascii="Arial" w:hAnsi="Arial" w:cs="Arial"/>
        </w:rPr>
        <w:t>En opinión del Tribunal de Cuentas, el “Estado de la Cuenta Especial” del período 01/06/2017 al 31/12/2017 presenta razonablemente, en todos sus aspectos importantes, el saldo de la Cuenta Especial al 31/12/2017 y el origen y la aplicación de los fondos de dicha cuenta durante el período 01/06/2017 al 31/12/2017, de acuerdo</w:t>
      </w:r>
      <w:r>
        <w:rPr>
          <w:rFonts w:ascii="Arial" w:hAnsi="Arial"/>
        </w:rPr>
        <w:t xml:space="preserve"> con las normas del Banco Mundial</w:t>
      </w:r>
      <w:r>
        <w:rPr>
          <w:rFonts w:ascii="Arial" w:hAnsi="Arial" w:cs="Arial"/>
        </w:rPr>
        <w:t>.</w:t>
      </w:r>
    </w:p>
    <w:p w:rsidR="00AF7115" w:rsidRDefault="00AC5F1B" w:rsidP="004D264B">
      <w:pPr>
        <w:tabs>
          <w:tab w:val="right" w:pos="7938"/>
        </w:tabs>
        <w:spacing w:line="360" w:lineRule="auto"/>
        <w:jc w:val="right"/>
        <w:rPr>
          <w:rFonts w:ascii="Arial" w:hAnsi="Arial"/>
          <w:lang w:val="es-ES_tradnl"/>
        </w:rPr>
      </w:pPr>
      <w:r>
        <w:rPr>
          <w:rFonts w:ascii="Arial" w:hAnsi="Arial"/>
          <w:lang w:val="es-ES_tradnl"/>
        </w:rPr>
        <w:t>Montevideo, 6 de junio de 2018</w:t>
      </w:r>
    </w:p>
    <w:p w:rsidR="00AF7115" w:rsidRPr="00F36F31" w:rsidRDefault="00F36F31">
      <w:pPr>
        <w:rPr>
          <w:rFonts w:ascii="Arial" w:hAnsi="Arial" w:cs="Arial"/>
        </w:rPr>
      </w:pPr>
      <w:proofErr w:type="spellStart"/>
      <w:proofErr w:type="gramStart"/>
      <w:r w:rsidRPr="00F36F31">
        <w:rPr>
          <w:rFonts w:ascii="Arial" w:hAnsi="Arial" w:cs="Arial"/>
        </w:rPr>
        <w:t>aa</w:t>
      </w:r>
      <w:proofErr w:type="spellEnd"/>
      <w:proofErr w:type="gramEnd"/>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C15E4B">
      <w:pPr>
        <w:pStyle w:val="Textoindependiente21"/>
        <w:spacing w:line="360" w:lineRule="auto"/>
        <w:ind w:firstLine="0"/>
        <w:jc w:val="center"/>
        <w:rPr>
          <w:rFonts w:ascii="Arial" w:hAnsi="Arial" w:cs="Arial"/>
          <w:b/>
          <w:bCs/>
        </w:rPr>
      </w:pPr>
      <w:r>
        <w:rPr>
          <w:rFonts w:ascii="Arial" w:hAnsi="Arial" w:cs="Arial"/>
          <w:b/>
          <w:bCs/>
        </w:rPr>
        <w:t>DICTAMEN</w:t>
      </w:r>
    </w:p>
    <w:p w:rsidR="00AF7115" w:rsidRDefault="00AF7115" w:rsidP="00C15E4B">
      <w:pPr>
        <w:widowControl w:val="0"/>
        <w:tabs>
          <w:tab w:val="center" w:pos="3968"/>
        </w:tabs>
        <w:suppressAutoHyphens/>
        <w:spacing w:line="360" w:lineRule="auto"/>
        <w:jc w:val="both"/>
        <w:rPr>
          <w:rFonts w:ascii="Arial" w:hAnsi="Arial"/>
          <w:snapToGrid w:val="0"/>
          <w:spacing w:val="-3"/>
          <w:szCs w:val="20"/>
        </w:rPr>
      </w:pPr>
    </w:p>
    <w:p w:rsidR="00AF7115" w:rsidRDefault="00AF7115" w:rsidP="00C15E4B">
      <w:pPr>
        <w:tabs>
          <w:tab w:val="left" w:pos="0"/>
        </w:tabs>
        <w:suppressAutoHyphens/>
        <w:spacing w:line="360" w:lineRule="auto"/>
        <w:jc w:val="both"/>
        <w:rPr>
          <w:rFonts w:ascii="Arial" w:hAnsi="Arial"/>
          <w:spacing w:val="-3"/>
        </w:rPr>
      </w:pPr>
      <w:r>
        <w:rPr>
          <w:rFonts w:ascii="Arial" w:hAnsi="Arial"/>
          <w:spacing w:val="-3"/>
        </w:rPr>
        <w:t xml:space="preserve">El Tribunal de Cuentas ha examinado el cumplimiento de las disposiciones contractuales de carácter contable y financiero por parte de la Administración Nacional de Educación Pública, identificadas por su número y asunto en el Anexo  “Cumplimiento de Cláusulas Contractuales”, correspondientes al Contrato de Préstamo Nº 8675-UY firmado entre el Banco Mundial y la República Oriental del Uruguay, que financian el “Proyecto de Mejora de la Calidad de la Educación Inicial y Primaria en Uruguay”, </w:t>
      </w:r>
      <w:r>
        <w:rPr>
          <w:rFonts w:ascii="Arial" w:hAnsi="Arial"/>
          <w:lang w:val="es-ES_tradnl"/>
        </w:rPr>
        <w:t>durante el período 01/06/2017 al 31/12/2017.</w:t>
      </w:r>
    </w:p>
    <w:p w:rsidR="00AF7115" w:rsidRDefault="00AF7115" w:rsidP="00C15E4B">
      <w:pPr>
        <w:tabs>
          <w:tab w:val="left" w:pos="0"/>
        </w:tabs>
        <w:suppressAutoHyphens/>
        <w:spacing w:line="360" w:lineRule="auto"/>
        <w:jc w:val="both"/>
        <w:rPr>
          <w:rFonts w:ascii="Arial" w:hAnsi="Arial"/>
          <w:spacing w:val="-3"/>
        </w:rPr>
      </w:pPr>
    </w:p>
    <w:p w:rsidR="00AF7115" w:rsidRDefault="00AC5F1B" w:rsidP="00C15E4B">
      <w:pPr>
        <w:pStyle w:val="Textoindependiente"/>
        <w:spacing w:line="360" w:lineRule="auto"/>
        <w:rPr>
          <w:rFonts w:ascii="Arial" w:hAnsi="Arial" w:cs="Arial"/>
          <w:b/>
        </w:rPr>
      </w:pPr>
      <w:r>
        <w:rPr>
          <w:rFonts w:ascii="Arial" w:hAnsi="Arial" w:cs="Arial"/>
          <w:b/>
        </w:rPr>
        <w:t>Responsabilidad de la Dirección</w:t>
      </w:r>
    </w:p>
    <w:p w:rsidR="00AF7115" w:rsidRDefault="00AF7115" w:rsidP="00C15E4B">
      <w:pPr>
        <w:pStyle w:val="Textoindependiente"/>
        <w:spacing w:line="360" w:lineRule="auto"/>
        <w:rPr>
          <w:rFonts w:ascii="Arial" w:hAnsi="Arial" w:cs="Arial"/>
        </w:rPr>
      </w:pPr>
      <w:r>
        <w:rPr>
          <w:rFonts w:ascii="Arial" w:hAnsi="Arial" w:cs="Arial"/>
        </w:rPr>
        <w:t>La Dirección del “Proyecto de Apoyo a la Escuela Pública Uruguaya”, es responsable del cumplimiento de las cláusulas contractuales correspondientes al Contrato de Préstamo Nº 8675-UY, durante el ejercicio finalizado el 31/12/2017. Esta responsabilidad incluye diseñar, implementar y mantener un sistema de control interno adecuado para asegurar</w:t>
      </w:r>
      <w:r w:rsidR="00AC5F1B">
        <w:rPr>
          <w:rFonts w:ascii="Arial" w:hAnsi="Arial" w:cs="Arial"/>
        </w:rPr>
        <w:t xml:space="preserve"> el cumplimiento de las mismas.</w:t>
      </w:r>
    </w:p>
    <w:p w:rsidR="00AF7115" w:rsidRDefault="00AF7115" w:rsidP="00C15E4B">
      <w:pPr>
        <w:spacing w:line="360" w:lineRule="auto"/>
        <w:jc w:val="both"/>
        <w:rPr>
          <w:rFonts w:ascii="Arial" w:hAnsi="Arial"/>
          <w:lang w:val="es-ES_tradnl"/>
        </w:rPr>
      </w:pPr>
    </w:p>
    <w:p w:rsidR="00AF7115" w:rsidRDefault="00AC5F1B" w:rsidP="00C15E4B">
      <w:pPr>
        <w:pStyle w:val="Textoindependiente"/>
        <w:spacing w:line="360" w:lineRule="auto"/>
        <w:rPr>
          <w:rFonts w:ascii="Arial" w:hAnsi="Arial" w:cs="Arial"/>
          <w:b/>
        </w:rPr>
      </w:pPr>
      <w:r>
        <w:rPr>
          <w:rFonts w:ascii="Arial" w:hAnsi="Arial" w:cs="Arial"/>
          <w:b/>
        </w:rPr>
        <w:t>Responsabilidad del Auditor</w:t>
      </w:r>
    </w:p>
    <w:p w:rsidR="00AF7115" w:rsidRDefault="00AF7115" w:rsidP="00C15E4B">
      <w:pPr>
        <w:pStyle w:val="Textoindependiente"/>
        <w:spacing w:line="360" w:lineRule="auto"/>
        <w:rPr>
          <w:rFonts w:ascii="Arial" w:hAnsi="Arial" w:cs="Arial"/>
        </w:rPr>
      </w:pPr>
      <w:r>
        <w:rPr>
          <w:rFonts w:ascii="Arial" w:hAnsi="Arial" w:cs="Arial"/>
        </w:rPr>
        <w:t xml:space="preserve">La responsabilidad del Tribunal de Cuentas es expresar una opinión sobre el cumplimiento, por parte de la Unidad Coordinadora de Proyecto, de las cláusulas contractuales, </w:t>
      </w:r>
      <w:r>
        <w:rPr>
          <w:rFonts w:ascii="Arial" w:hAnsi="Arial"/>
          <w:spacing w:val="-3"/>
        </w:rPr>
        <w:t>de acuerdo con los Principios Fundamentales de Auditoría (ISSAI 100 y 400) y las Directrices de Auditoría Financiera de la</w:t>
      </w:r>
      <w:r>
        <w:rPr>
          <w:rFonts w:ascii="Arial" w:hAnsi="Arial" w:cs="Arial"/>
        </w:rPr>
        <w:t xml:space="preserve"> Organización Internacional de Entidades Fiscalizadoras Superiores (INTOSAI) y con los requerimientos de auditoría independiente emitidos por el Banco Mundial. Estas normas requieren que se cumpla con los requisitos éticos, se planifique y se realice la auditoría para obtener una seguridad razonable acerca de si la Dirección ha cumplido con las cláusulas relevantes del Contrato de Préstamo. Una auditoría incluye examinar, sobre una base selectiva, la evidencia que respalda el cumplimiento de las cláusulas contractuales.</w:t>
      </w:r>
    </w:p>
    <w:p w:rsidR="00AF7115" w:rsidRDefault="00AF7115" w:rsidP="00C15E4B">
      <w:pPr>
        <w:pStyle w:val="Textoindependiente"/>
        <w:spacing w:line="360" w:lineRule="auto"/>
        <w:rPr>
          <w:rFonts w:ascii="Arial" w:hAnsi="Arial" w:cs="Arial"/>
        </w:rPr>
      </w:pPr>
      <w:r>
        <w:rPr>
          <w:rFonts w:ascii="Arial" w:hAnsi="Arial" w:cs="Arial"/>
        </w:rPr>
        <w:t>Se considera que la evidencia de auditoría obtenida brinda una base suficiente y apropiada para sustentar la opinión.</w:t>
      </w:r>
    </w:p>
    <w:p w:rsidR="00AF7115" w:rsidRDefault="00AF7115" w:rsidP="00C15E4B">
      <w:pPr>
        <w:pStyle w:val="Textoindependiente"/>
        <w:spacing w:line="360" w:lineRule="auto"/>
        <w:rPr>
          <w:rFonts w:ascii="Arial" w:hAnsi="Arial" w:cs="Arial"/>
          <w:b/>
        </w:rPr>
      </w:pPr>
    </w:p>
    <w:p w:rsidR="00AF7115" w:rsidRDefault="00AC5F1B" w:rsidP="00C15E4B">
      <w:pPr>
        <w:pStyle w:val="Textoindependiente"/>
        <w:spacing w:line="360" w:lineRule="auto"/>
        <w:rPr>
          <w:rFonts w:ascii="Arial" w:hAnsi="Arial" w:cs="Arial"/>
          <w:b/>
        </w:rPr>
      </w:pPr>
      <w:r>
        <w:rPr>
          <w:rFonts w:ascii="Arial" w:hAnsi="Arial" w:cs="Arial"/>
          <w:b/>
        </w:rPr>
        <w:t>Opinión</w:t>
      </w:r>
    </w:p>
    <w:p w:rsidR="00AF7115" w:rsidRDefault="00AF7115" w:rsidP="00C15E4B">
      <w:pPr>
        <w:tabs>
          <w:tab w:val="left" w:pos="0"/>
        </w:tabs>
        <w:suppressAutoHyphens/>
        <w:spacing w:line="360" w:lineRule="auto"/>
        <w:jc w:val="both"/>
        <w:rPr>
          <w:rFonts w:ascii="Arial" w:hAnsi="Arial" w:cs="Arial"/>
        </w:rPr>
      </w:pPr>
      <w:r>
        <w:rPr>
          <w:rFonts w:ascii="Arial" w:hAnsi="Arial" w:cs="Arial"/>
        </w:rPr>
        <w:t xml:space="preserve">En opinión del Tribunal de Cuentas, la Administración Nacional de Educación Pública ha dado cumplimiento, en todos sus aspectos importantes con las disposiciones contractuales del Contrato de Préstamo Nº 8675-UY identificadas en el Anexo “Cumplimiento de Cláusulas Contractuales” durante el </w:t>
      </w:r>
      <w:r>
        <w:rPr>
          <w:rFonts w:ascii="Arial" w:hAnsi="Arial"/>
          <w:lang w:val="es-ES_tradnl"/>
        </w:rPr>
        <w:t>el período 01/06/2017 al 31/12/2017</w:t>
      </w:r>
      <w:r>
        <w:rPr>
          <w:rFonts w:ascii="Arial" w:hAnsi="Arial" w:cs="Arial"/>
        </w:rPr>
        <w:t>, según los comentarios incluidos en dicho Anexo.</w:t>
      </w:r>
    </w:p>
    <w:p w:rsidR="00AF7115" w:rsidRDefault="00AC5F1B" w:rsidP="00C15E4B">
      <w:pPr>
        <w:pStyle w:val="Sangradetextonormal"/>
        <w:spacing w:line="360" w:lineRule="auto"/>
        <w:ind w:firstLine="0"/>
        <w:jc w:val="right"/>
      </w:pPr>
      <w:r>
        <w:t>Montevideo, 6 de junio de 2018</w:t>
      </w:r>
    </w:p>
    <w:p w:rsidR="00AF7115" w:rsidRDefault="00AF7115" w:rsidP="00C15E4B">
      <w:pPr>
        <w:pStyle w:val="Sangradetextonormal"/>
        <w:spacing w:line="360" w:lineRule="auto"/>
        <w:ind w:firstLine="0"/>
      </w:pPr>
    </w:p>
    <w:p w:rsidR="00AF7115" w:rsidRDefault="00AF7115" w:rsidP="00C15E4B">
      <w:pPr>
        <w:pStyle w:val="Sangradetextonormal"/>
        <w:spacing w:line="360" w:lineRule="auto"/>
        <w:ind w:firstLine="0"/>
      </w:pPr>
    </w:p>
    <w:p w:rsidR="00AF7115" w:rsidRDefault="00AF7115" w:rsidP="00C15E4B">
      <w:pPr>
        <w:pStyle w:val="Sangradetextonormal"/>
        <w:spacing w:line="360" w:lineRule="auto"/>
        <w:ind w:firstLine="0"/>
      </w:pPr>
      <w:proofErr w:type="spellStart"/>
      <w:proofErr w:type="gramStart"/>
      <w:r>
        <w:t>aa</w:t>
      </w:r>
      <w:proofErr w:type="spellEnd"/>
      <w:proofErr w:type="gramEnd"/>
    </w:p>
    <w:p w:rsidR="00AF7115" w:rsidRDefault="00AF7115" w:rsidP="00C15E4B"/>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C5F1B" w:rsidRDefault="00AC5F1B" w:rsidP="00D52BC5">
      <w:pPr>
        <w:spacing w:line="360" w:lineRule="auto"/>
        <w:jc w:val="both"/>
        <w:rPr>
          <w:rFonts w:ascii="Arial" w:hAnsi="Arial" w:cs="Arial"/>
          <w:sz w:val="16"/>
        </w:rPr>
      </w:pPr>
    </w:p>
    <w:p w:rsidR="00AF7115" w:rsidRDefault="00AF7115" w:rsidP="00D52BC5">
      <w:pPr>
        <w:spacing w:line="360" w:lineRule="auto"/>
        <w:jc w:val="both"/>
        <w:rPr>
          <w:rFonts w:ascii="Arial" w:hAnsi="Arial" w:cs="Arial"/>
          <w:sz w:val="16"/>
        </w:rPr>
      </w:pPr>
    </w:p>
    <w:p w:rsidR="00AF7115" w:rsidRDefault="00AF7115" w:rsidP="00284A3C">
      <w:pPr>
        <w:tabs>
          <w:tab w:val="center" w:pos="3969"/>
        </w:tabs>
        <w:spacing w:line="360" w:lineRule="auto"/>
        <w:jc w:val="center"/>
        <w:rPr>
          <w:rFonts w:ascii="Arial" w:hAnsi="Arial" w:cs="Arial"/>
          <w:b/>
          <w:lang w:val="es-ES_tradnl"/>
        </w:rPr>
      </w:pPr>
      <w:r>
        <w:rPr>
          <w:rFonts w:ascii="Arial" w:hAnsi="Arial" w:cs="Arial"/>
          <w:b/>
          <w:lang w:val="es-ES_tradnl"/>
        </w:rPr>
        <w:t>INFORME A LA ADMINISTRACIÓN</w:t>
      </w:r>
    </w:p>
    <w:p w:rsidR="00AF7115" w:rsidRDefault="00AF7115" w:rsidP="00284A3C">
      <w:pPr>
        <w:widowControl w:val="0"/>
        <w:tabs>
          <w:tab w:val="center" w:pos="3968"/>
        </w:tabs>
        <w:suppressAutoHyphens/>
        <w:spacing w:line="360" w:lineRule="auto"/>
        <w:jc w:val="both"/>
        <w:rPr>
          <w:rFonts w:ascii="Arial" w:hAnsi="Arial"/>
          <w:snapToGrid w:val="0"/>
          <w:spacing w:val="-3"/>
          <w:szCs w:val="20"/>
        </w:rPr>
      </w:pPr>
    </w:p>
    <w:p w:rsidR="00AF7115" w:rsidRDefault="00AF7115" w:rsidP="00284A3C">
      <w:pPr>
        <w:spacing w:line="360" w:lineRule="auto"/>
        <w:jc w:val="both"/>
        <w:rPr>
          <w:rFonts w:ascii="Arial" w:hAnsi="Arial" w:cs="Arial"/>
          <w:lang w:val="es-ES_tradnl"/>
        </w:rPr>
      </w:pPr>
    </w:p>
    <w:p w:rsidR="00AF7115" w:rsidRDefault="00AF7115" w:rsidP="00284A3C">
      <w:pPr>
        <w:spacing w:line="360" w:lineRule="auto"/>
        <w:jc w:val="both"/>
        <w:rPr>
          <w:rFonts w:ascii="Arial" w:hAnsi="Arial" w:cs="Arial"/>
          <w:lang w:val="es-ES_tradnl"/>
        </w:rPr>
      </w:pPr>
      <w:r>
        <w:rPr>
          <w:rFonts w:ascii="Arial" w:hAnsi="Arial" w:cs="Arial"/>
          <w:lang w:val="es-ES_tradnl"/>
        </w:rPr>
        <w:t>El Tribunal de Cuentas ha examinado los estados financieros del ejercicio finalizado el 31 de diciembre de 2017, relativos al “Proyecto de Mejora de la Calidad de la Educación Inicial y Primaria en Uruguay”, financiado parcialmente con recursos del Contrato de Préstamo BIRF N° 8675-UY y ha emitido su dictamen.</w:t>
      </w:r>
    </w:p>
    <w:p w:rsidR="00AF7115" w:rsidRDefault="00AF7115" w:rsidP="00284A3C">
      <w:pPr>
        <w:spacing w:line="360" w:lineRule="auto"/>
        <w:jc w:val="both"/>
        <w:rPr>
          <w:rFonts w:ascii="Arial" w:hAnsi="Arial" w:cs="Arial"/>
          <w:lang w:val="es-ES_tradnl"/>
        </w:rPr>
      </w:pPr>
      <w:r>
        <w:rPr>
          <w:rFonts w:ascii="Arial" w:hAnsi="Arial" w:cs="Arial"/>
          <w:lang w:val="es-ES_tradnl"/>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se incluyen las recomendaciones que se considera oportuno formular.</w:t>
      </w:r>
    </w:p>
    <w:p w:rsidR="00AF7115" w:rsidRDefault="00AF7115" w:rsidP="00284A3C">
      <w:pPr>
        <w:spacing w:line="360" w:lineRule="auto"/>
        <w:jc w:val="both"/>
        <w:rPr>
          <w:rFonts w:ascii="Arial" w:hAnsi="Arial" w:cs="Arial"/>
          <w:lang w:val="es-ES_tradnl"/>
        </w:rPr>
      </w:pPr>
      <w:r>
        <w:rPr>
          <w:rFonts w:ascii="Arial" w:hAnsi="Arial" w:cs="Arial"/>
          <w:lang w:val="es-ES_tradnl"/>
        </w:rPr>
        <w:t>Se señala que el presente Informe corresponde al primer ejercicio de ejecución del Proyecto.</w:t>
      </w:r>
    </w:p>
    <w:p w:rsidR="00AF7115" w:rsidRDefault="00AF7115" w:rsidP="00284A3C">
      <w:pPr>
        <w:spacing w:line="360" w:lineRule="auto"/>
        <w:jc w:val="both"/>
        <w:rPr>
          <w:rFonts w:ascii="Arial" w:hAnsi="Arial" w:cs="Arial"/>
          <w:lang w:val="es-ES_tradnl"/>
        </w:rPr>
      </w:pPr>
    </w:p>
    <w:p w:rsidR="00AF7115" w:rsidRPr="00E13D2E" w:rsidRDefault="00AF7115" w:rsidP="00284A3C">
      <w:pPr>
        <w:tabs>
          <w:tab w:val="num" w:pos="360"/>
        </w:tabs>
        <w:spacing w:line="360" w:lineRule="auto"/>
        <w:ind w:left="709" w:hanging="709"/>
        <w:jc w:val="both"/>
        <w:rPr>
          <w:rFonts w:ascii="Arial" w:hAnsi="Arial"/>
          <w:szCs w:val="20"/>
        </w:rPr>
      </w:pPr>
      <w:r>
        <w:rPr>
          <w:rFonts w:ascii="Arial" w:hAnsi="Arial" w:cs="Arial"/>
          <w:b/>
          <w:lang w:val="es-ES_tradnl"/>
        </w:rPr>
        <w:t xml:space="preserve">5.1) </w:t>
      </w:r>
      <w:r w:rsidRPr="00E13D2E">
        <w:rPr>
          <w:rFonts w:ascii="Arial" w:hAnsi="Arial"/>
          <w:b/>
          <w:szCs w:val="20"/>
        </w:rPr>
        <w:t>Evaluación</w:t>
      </w:r>
      <w:r w:rsidR="00AC5F1B">
        <w:rPr>
          <w:rFonts w:ascii="Arial" w:hAnsi="Arial"/>
          <w:b/>
          <w:szCs w:val="20"/>
        </w:rPr>
        <w:t xml:space="preserve"> del Sistema de Control Interno</w:t>
      </w:r>
    </w:p>
    <w:p w:rsidR="00AF7115" w:rsidRPr="00E13D2E" w:rsidRDefault="00AF7115" w:rsidP="00284A3C">
      <w:pPr>
        <w:widowControl w:val="0"/>
        <w:overflowPunct w:val="0"/>
        <w:autoSpaceDE w:val="0"/>
        <w:autoSpaceDN w:val="0"/>
        <w:adjustRightInd w:val="0"/>
        <w:spacing w:line="360" w:lineRule="auto"/>
        <w:jc w:val="both"/>
        <w:textAlignment w:val="baseline"/>
        <w:rPr>
          <w:rFonts w:ascii="Arial" w:hAnsi="Arial" w:cs="Arial"/>
          <w:szCs w:val="20"/>
        </w:rPr>
      </w:pPr>
      <w:r w:rsidRPr="00E13D2E">
        <w:rPr>
          <w:rFonts w:ascii="Arial" w:hAnsi="Arial" w:cs="Arial"/>
          <w:szCs w:val="20"/>
          <w:lang w:val="es-ES_tradnl"/>
        </w:rPr>
        <w:t xml:space="preserve">Se ha evaluado el sistema de control interno diseñado e implementado por la </w:t>
      </w:r>
      <w:r>
        <w:rPr>
          <w:rFonts w:ascii="Arial" w:hAnsi="Arial" w:cs="Arial"/>
          <w:szCs w:val="20"/>
          <w:lang w:val="es-ES_tradnl"/>
        </w:rPr>
        <w:t>Unidad Coordinadora del Proyecto</w:t>
      </w:r>
      <w:r w:rsidRPr="00E13D2E">
        <w:rPr>
          <w:rFonts w:ascii="Arial" w:hAnsi="Arial" w:cs="Arial"/>
          <w:szCs w:val="20"/>
          <w:lang w:val="es-ES_tradnl"/>
        </w:rPr>
        <w:t xml:space="preserve"> a efectos de verificar cuál es el ambiente de control, las actividades y procedimientos implementados, los sistemas de información y comunicación y el monitoreo del mismo</w:t>
      </w:r>
      <w:r>
        <w:rPr>
          <w:rFonts w:ascii="Arial" w:hAnsi="Arial" w:cs="Arial"/>
          <w:szCs w:val="20"/>
          <w:lang w:val="es-ES_tradnl"/>
        </w:rPr>
        <w:t xml:space="preserve"> llevado a cabo por la misma</w:t>
      </w:r>
      <w:r w:rsidRPr="00E13D2E">
        <w:rPr>
          <w:rFonts w:ascii="Arial" w:hAnsi="Arial" w:cs="Arial"/>
          <w:szCs w:val="20"/>
          <w:lang w:val="es-ES_tradnl"/>
        </w:rPr>
        <w:t xml:space="preserve">. El propósito de dicha evaluación fue determinar la confiabilidad de la información contable y el cumplimiento de las disposiciones contractuales, a efectos de determinar </w:t>
      </w:r>
      <w:r>
        <w:rPr>
          <w:rFonts w:ascii="Arial" w:hAnsi="Arial" w:cs="Arial"/>
          <w:szCs w:val="20"/>
          <w:lang w:val="es-ES_tradnl"/>
        </w:rPr>
        <w:t xml:space="preserve">el alcance de los </w:t>
      </w:r>
      <w:r w:rsidRPr="00E13D2E">
        <w:rPr>
          <w:rFonts w:ascii="Arial" w:hAnsi="Arial" w:cs="Arial"/>
          <w:szCs w:val="20"/>
          <w:lang w:val="es-ES_tradnl"/>
        </w:rPr>
        <w:t>procedimientos de auditoría a aplicar. E</w:t>
      </w:r>
      <w:r w:rsidRPr="00E13D2E">
        <w:rPr>
          <w:rFonts w:ascii="Arial" w:hAnsi="Arial" w:cs="Arial"/>
          <w:szCs w:val="20"/>
        </w:rPr>
        <w:t>l sistema de control interno se considera adecuado.</w:t>
      </w:r>
    </w:p>
    <w:p w:rsidR="00AF7115" w:rsidRPr="00E13D2E" w:rsidRDefault="00AF7115" w:rsidP="00284A3C">
      <w:pPr>
        <w:widowControl w:val="0"/>
        <w:overflowPunct w:val="0"/>
        <w:autoSpaceDE w:val="0"/>
        <w:autoSpaceDN w:val="0"/>
        <w:adjustRightInd w:val="0"/>
        <w:spacing w:line="360" w:lineRule="auto"/>
        <w:jc w:val="both"/>
        <w:textAlignment w:val="baseline"/>
        <w:rPr>
          <w:rFonts w:ascii="Arial" w:hAnsi="Arial"/>
          <w:szCs w:val="20"/>
        </w:rPr>
      </w:pPr>
    </w:p>
    <w:p w:rsidR="00AF7115" w:rsidRPr="009F375C" w:rsidRDefault="00AF7115" w:rsidP="00284A3C">
      <w:pPr>
        <w:spacing w:line="360" w:lineRule="auto"/>
        <w:jc w:val="both"/>
        <w:rPr>
          <w:rFonts w:ascii="Arial" w:hAnsi="Arial"/>
          <w:b/>
          <w:szCs w:val="20"/>
        </w:rPr>
      </w:pPr>
      <w:r w:rsidRPr="009F375C">
        <w:rPr>
          <w:rFonts w:ascii="Arial" w:hAnsi="Arial"/>
          <w:b/>
          <w:szCs w:val="20"/>
        </w:rPr>
        <w:t>5.</w:t>
      </w:r>
      <w:r>
        <w:rPr>
          <w:rFonts w:ascii="Arial" w:hAnsi="Arial"/>
          <w:b/>
          <w:szCs w:val="20"/>
        </w:rPr>
        <w:t xml:space="preserve">2) </w:t>
      </w:r>
      <w:r w:rsidR="00AC5F1B">
        <w:rPr>
          <w:rFonts w:ascii="Arial" w:hAnsi="Arial"/>
          <w:b/>
          <w:szCs w:val="20"/>
        </w:rPr>
        <w:t>Ejecución Financiera</w:t>
      </w:r>
    </w:p>
    <w:p w:rsidR="00AF7115" w:rsidRDefault="00AF7115" w:rsidP="00284A3C">
      <w:pPr>
        <w:pStyle w:val="Sangradetextonormal"/>
        <w:tabs>
          <w:tab w:val="center" w:pos="4253"/>
        </w:tabs>
        <w:suppressAutoHyphens/>
        <w:spacing w:line="360" w:lineRule="auto"/>
        <w:ind w:firstLine="0"/>
      </w:pPr>
      <w:r>
        <w:rPr>
          <w:lang w:val="es-ES_tradnl"/>
        </w:rPr>
        <w:tab/>
      </w:r>
      <w:r>
        <w:t>De acuerdo a lo establecido en el Contrato de Préstamo, el costo total del Proyecto se estimó en US$ 59.000.000, previéndose financiar con recursos del Banco Mundial US$ 40.000.000 y US$ 19.000.000 con contrapartida local.</w:t>
      </w:r>
    </w:p>
    <w:p w:rsidR="00AF7115" w:rsidRDefault="00AF7115" w:rsidP="00284A3C">
      <w:pPr>
        <w:spacing w:line="360" w:lineRule="auto"/>
        <w:jc w:val="both"/>
        <w:rPr>
          <w:rFonts w:ascii="Arial" w:hAnsi="Arial" w:cs="Arial"/>
          <w:lang w:val="es-ES_tradnl"/>
        </w:rPr>
      </w:pPr>
      <w:r>
        <w:rPr>
          <w:rFonts w:ascii="Arial" w:hAnsi="Arial" w:cs="Arial"/>
        </w:rPr>
        <w:t>Las inversiones acumuladas al 31/12/2017 ascendieron a US$ 10.244.701, de las cuales US$ 5.493.129 se efectuaron con</w:t>
      </w:r>
      <w:r w:rsidR="00AC5F1B">
        <w:rPr>
          <w:rFonts w:ascii="Arial" w:hAnsi="Arial" w:cs="Arial"/>
        </w:rPr>
        <w:t xml:space="preserve"> fondos del Banco Mundial y US$</w:t>
      </w:r>
      <w:r>
        <w:rPr>
          <w:rFonts w:ascii="Arial" w:hAnsi="Arial" w:cs="Arial"/>
        </w:rPr>
        <w:t>4.75</w:t>
      </w:r>
      <w:r w:rsidR="00AC5F1B">
        <w:rPr>
          <w:rFonts w:ascii="Arial" w:hAnsi="Arial" w:cs="Arial"/>
        </w:rPr>
        <w:t>1.572 con financiamiento local.</w:t>
      </w:r>
    </w:p>
    <w:p w:rsidR="00AF7115" w:rsidRDefault="00AF7115" w:rsidP="00284A3C">
      <w:pPr>
        <w:spacing w:line="360" w:lineRule="auto"/>
        <w:jc w:val="both"/>
        <w:rPr>
          <w:rFonts w:ascii="Arial" w:hAnsi="Arial"/>
          <w:lang w:val="es-ES_tradnl"/>
        </w:rPr>
      </w:pPr>
    </w:p>
    <w:p w:rsidR="00AF7115" w:rsidRDefault="00AC5F1B" w:rsidP="00284A3C">
      <w:pPr>
        <w:tabs>
          <w:tab w:val="left" w:pos="0"/>
        </w:tabs>
        <w:suppressAutoHyphens/>
        <w:spacing w:line="360" w:lineRule="auto"/>
        <w:jc w:val="both"/>
        <w:rPr>
          <w:rFonts w:ascii="Arial" w:hAnsi="Arial" w:cs="Arial"/>
          <w:spacing w:val="-3"/>
          <w:lang w:val="es-ES_tradnl"/>
        </w:rPr>
      </w:pPr>
      <w:r>
        <w:rPr>
          <w:rFonts w:ascii="Arial" w:hAnsi="Arial" w:cs="Arial"/>
          <w:b/>
          <w:bCs/>
          <w:spacing w:val="-3"/>
          <w:lang w:val="es-ES_tradnl"/>
        </w:rPr>
        <w:t>5.3) Recomendaciones</w:t>
      </w:r>
    </w:p>
    <w:p w:rsidR="00AF7115" w:rsidRDefault="00AF7115" w:rsidP="00284A3C">
      <w:pPr>
        <w:tabs>
          <w:tab w:val="left" w:pos="0"/>
          <w:tab w:val="left" w:pos="720"/>
        </w:tabs>
        <w:suppressAutoHyphens/>
        <w:spacing w:line="360" w:lineRule="auto"/>
        <w:ind w:left="1"/>
        <w:jc w:val="both"/>
        <w:rPr>
          <w:rFonts w:ascii="Arial" w:hAnsi="Arial" w:cs="Arial"/>
          <w:b/>
          <w:bCs/>
          <w:spacing w:val="-3"/>
          <w:lang w:val="es-ES_tradnl"/>
        </w:rPr>
      </w:pPr>
      <w:r>
        <w:rPr>
          <w:rFonts w:ascii="Arial" w:hAnsi="Arial" w:cs="Arial"/>
          <w:b/>
          <w:bCs/>
          <w:spacing w:val="-3"/>
          <w:lang w:val="es-ES_tradnl"/>
        </w:rPr>
        <w:t>Recomen</w:t>
      </w:r>
      <w:r w:rsidR="00AC5F1B">
        <w:rPr>
          <w:rFonts w:ascii="Arial" w:hAnsi="Arial" w:cs="Arial"/>
          <w:b/>
          <w:bCs/>
          <w:spacing w:val="-3"/>
          <w:lang w:val="es-ES_tradnl"/>
        </w:rPr>
        <w:t>daciones del presente ejercicio</w:t>
      </w:r>
    </w:p>
    <w:p w:rsidR="00AF7115" w:rsidRPr="00104F34" w:rsidRDefault="00AF7115" w:rsidP="00284A3C">
      <w:pPr>
        <w:pStyle w:val="ndice2"/>
      </w:pPr>
      <w:r w:rsidRPr="00104F34">
        <w:t>En el presente ejercicio n</w:t>
      </w:r>
      <w:r>
        <w:t>o se formulan</w:t>
      </w:r>
      <w:r w:rsidRPr="00104F34">
        <w:t xml:space="preserve"> recomendaciones.</w:t>
      </w:r>
    </w:p>
    <w:p w:rsidR="00AF7115" w:rsidRDefault="00AF7115" w:rsidP="00284A3C">
      <w:pPr>
        <w:pStyle w:val="Encabezado"/>
        <w:tabs>
          <w:tab w:val="clear" w:pos="4252"/>
          <w:tab w:val="clear" w:pos="8504"/>
        </w:tabs>
        <w:spacing w:line="360" w:lineRule="auto"/>
        <w:ind w:left="4248"/>
        <w:jc w:val="right"/>
        <w:rPr>
          <w:rFonts w:ascii="Arial" w:hAnsi="Arial" w:cs="Arial"/>
          <w:szCs w:val="24"/>
          <w:lang w:val="es-ES_tradnl"/>
        </w:rPr>
      </w:pPr>
      <w:r>
        <w:rPr>
          <w:rFonts w:ascii="Arial" w:hAnsi="Arial" w:cs="Arial"/>
          <w:szCs w:val="24"/>
          <w:lang w:val="es-ES_tradnl"/>
        </w:rPr>
        <w:t>Montevideo, 6 de junio de 2018</w:t>
      </w:r>
    </w:p>
    <w:p w:rsidR="00AF7115" w:rsidRDefault="00AF7115" w:rsidP="00284A3C">
      <w:pPr>
        <w:rPr>
          <w:rFonts w:ascii="Arial" w:hAnsi="Arial" w:cs="Arial"/>
          <w:b/>
          <w:lang w:val="es-ES_tradnl"/>
        </w:rPr>
      </w:pPr>
    </w:p>
    <w:p w:rsidR="00AF7115" w:rsidRPr="00AF7115" w:rsidRDefault="00AF7115" w:rsidP="00AF7115">
      <w:proofErr w:type="spellStart"/>
      <w:proofErr w:type="gramStart"/>
      <w:r w:rsidRPr="00284A3C">
        <w:rPr>
          <w:rFonts w:ascii="Arial" w:hAnsi="Arial" w:cs="Arial"/>
          <w:lang w:val="es-ES_tradnl"/>
        </w:rPr>
        <w:t>aa</w:t>
      </w:r>
      <w:proofErr w:type="spellEnd"/>
      <w:proofErr w:type="gramEnd"/>
    </w:p>
    <w:sectPr w:rsidR="00AF7115" w:rsidRPr="00AF7115" w:rsidSect="00B03EE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7AEB390"/>
    <w:lvl w:ilvl="0">
      <w:start w:val="1"/>
      <w:numFmt w:val="upp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74E54ADD"/>
    <w:multiLevelType w:val="hybridMultilevel"/>
    <w:tmpl w:val="2B1AF6F2"/>
    <w:lvl w:ilvl="0" w:tplc="59544100">
      <w:start w:val="1"/>
      <w:numFmt w:val="decimal"/>
      <w:lvlText w:val="%1)"/>
      <w:lvlJc w:val="left"/>
      <w:pPr>
        <w:ind w:left="720" w:hanging="360"/>
      </w:pPr>
      <w:rPr>
        <w:rFonts w:ascii="Arial" w:hAnsi="Arial" w:cs="Arial"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5A"/>
    <w:rsid w:val="0012755A"/>
    <w:rsid w:val="001B4BC2"/>
    <w:rsid w:val="002A64DF"/>
    <w:rsid w:val="00374EBB"/>
    <w:rsid w:val="004E3094"/>
    <w:rsid w:val="004E6344"/>
    <w:rsid w:val="005409DE"/>
    <w:rsid w:val="00886B62"/>
    <w:rsid w:val="009D0BDE"/>
    <w:rsid w:val="009D29A3"/>
    <w:rsid w:val="009D49EC"/>
    <w:rsid w:val="00A227DD"/>
    <w:rsid w:val="00A81FE8"/>
    <w:rsid w:val="00AC5F1B"/>
    <w:rsid w:val="00AF20FA"/>
    <w:rsid w:val="00AF7115"/>
    <w:rsid w:val="00B03EE8"/>
    <w:rsid w:val="00B5399C"/>
    <w:rsid w:val="00B637BD"/>
    <w:rsid w:val="00BD432F"/>
    <w:rsid w:val="00BE15BE"/>
    <w:rsid w:val="00C6409A"/>
    <w:rsid w:val="00D52BC5"/>
    <w:rsid w:val="00E7135E"/>
    <w:rsid w:val="00EF7BD0"/>
    <w:rsid w:val="00F36F31"/>
    <w:rsid w:val="00F749E8"/>
    <w:rsid w:val="00FA36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AF7115"/>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AF7115"/>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AF7115"/>
    <w:rPr>
      <w:rFonts w:ascii="Arial" w:eastAsia="Times New Roman" w:hAnsi="Arial"/>
      <w:color w:val="FF0000"/>
      <w:sz w:val="24"/>
      <w:szCs w:val="24"/>
      <w:lang w:val="es-ES_tradnl" w:eastAsia="es-ES"/>
    </w:rPr>
  </w:style>
  <w:style w:type="paragraph" w:styleId="Piedepgina">
    <w:name w:val="footer"/>
    <w:basedOn w:val="Normal"/>
    <w:link w:val="PiedepginaCar"/>
    <w:semiHidden/>
    <w:rsid w:val="00AF7115"/>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AF7115"/>
    <w:rPr>
      <w:rFonts w:ascii="Courier New" w:eastAsia="Times New Roman" w:hAnsi="Courier New"/>
      <w:sz w:val="24"/>
      <w:lang w:val="en-US" w:eastAsia="es-ES"/>
    </w:rPr>
  </w:style>
  <w:style w:type="paragraph" w:styleId="Textoindependiente">
    <w:name w:val="Body Text"/>
    <w:basedOn w:val="Normal"/>
    <w:link w:val="TextoindependienteCar"/>
    <w:semiHidden/>
    <w:rsid w:val="00AF7115"/>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AF7115"/>
    <w:rPr>
      <w:rFonts w:ascii="Times New Roman" w:eastAsia="Times New Roman" w:hAnsi="Times New Roman"/>
      <w:sz w:val="24"/>
      <w:lang w:val="es-ES_tradnl" w:eastAsia="es-ES"/>
    </w:rPr>
  </w:style>
  <w:style w:type="paragraph" w:styleId="Sangradetextonormal">
    <w:name w:val="Body Text Indent"/>
    <w:basedOn w:val="Normal"/>
    <w:link w:val="SangradetextonormalCar"/>
    <w:semiHidden/>
    <w:rsid w:val="00AF7115"/>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AF7115"/>
    <w:rPr>
      <w:rFonts w:ascii="Arial" w:eastAsia="Times New Roman" w:hAnsi="Arial" w:cs="Arial"/>
      <w:sz w:val="24"/>
      <w:szCs w:val="24"/>
      <w:lang w:val="es-ES" w:eastAsia="es-ES"/>
    </w:rPr>
  </w:style>
  <w:style w:type="paragraph" w:styleId="Encabezado">
    <w:name w:val="header"/>
    <w:basedOn w:val="Normal"/>
    <w:link w:val="EncabezadoCar"/>
    <w:semiHidden/>
    <w:rsid w:val="00AF7115"/>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AF7115"/>
    <w:rPr>
      <w:rFonts w:ascii="Courier New" w:eastAsia="Times New Roman" w:hAnsi="Courier New"/>
      <w:sz w:val="24"/>
      <w:lang w:val="en-US" w:eastAsia="es-ES"/>
    </w:rPr>
  </w:style>
  <w:style w:type="paragraph" w:styleId="ndice2">
    <w:name w:val="index 2"/>
    <w:basedOn w:val="Normal"/>
    <w:next w:val="Normal"/>
    <w:autoRedefine/>
    <w:semiHidden/>
    <w:rsid w:val="00AF7115"/>
    <w:pPr>
      <w:spacing w:line="360" w:lineRule="auto"/>
    </w:pPr>
    <w:rPr>
      <w:rFonts w:ascii="Arial" w:hAnsi="Arial"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s-ES" w:eastAsia="es-ES"/>
    </w:rPr>
  </w:style>
  <w:style w:type="paragraph" w:styleId="Ttulo1">
    <w:name w:val="heading 1"/>
    <w:basedOn w:val="Normal"/>
    <w:next w:val="Normal"/>
    <w:qFormat/>
    <w:pPr>
      <w:keepNext/>
      <w:widowControl w:val="0"/>
      <w:numPr>
        <w:numId w:val="1"/>
      </w:numPr>
      <w:overflowPunct w:val="0"/>
      <w:autoSpaceDE w:val="0"/>
      <w:autoSpaceDN w:val="0"/>
      <w:adjustRightInd w:val="0"/>
      <w:jc w:val="both"/>
      <w:textAlignment w:val="baseline"/>
      <w:outlineLvl w:val="0"/>
    </w:pPr>
    <w:rPr>
      <w:b/>
      <w:szCs w:val="20"/>
      <w:u w:val="single"/>
      <w:lang w:val="es-ES_tradnl"/>
    </w:rPr>
  </w:style>
  <w:style w:type="paragraph" w:styleId="Ttulo2">
    <w:name w:val="heading 2"/>
    <w:basedOn w:val="Normal"/>
    <w:next w:val="Normal"/>
    <w:qFormat/>
    <w:pPr>
      <w:keepNext/>
      <w:widowControl w:val="0"/>
      <w:numPr>
        <w:ilvl w:val="1"/>
        <w:numId w:val="1"/>
      </w:numPr>
      <w:overflowPunct w:val="0"/>
      <w:autoSpaceDE w:val="0"/>
      <w:autoSpaceDN w:val="0"/>
      <w:adjustRightInd w:val="0"/>
      <w:jc w:val="both"/>
      <w:textAlignment w:val="baseline"/>
      <w:outlineLvl w:val="1"/>
    </w:pPr>
    <w:rPr>
      <w:b/>
      <w:szCs w:val="20"/>
      <w:lang w:val="es-ES_tradnl"/>
    </w:rPr>
  </w:style>
  <w:style w:type="paragraph" w:styleId="Ttulo3">
    <w:name w:val="heading 3"/>
    <w:basedOn w:val="Normal"/>
    <w:next w:val="Normal"/>
    <w:qFormat/>
    <w:pPr>
      <w:keepNext/>
      <w:widowControl w:val="0"/>
      <w:numPr>
        <w:ilvl w:val="2"/>
        <w:numId w:val="1"/>
      </w:numPr>
      <w:overflowPunct w:val="0"/>
      <w:autoSpaceDE w:val="0"/>
      <w:autoSpaceDN w:val="0"/>
      <w:adjustRightInd w:val="0"/>
      <w:jc w:val="center"/>
      <w:textAlignment w:val="baseline"/>
      <w:outlineLvl w:val="2"/>
    </w:pPr>
    <w:rPr>
      <w:b/>
      <w:szCs w:val="20"/>
      <w:u w:val="single"/>
      <w:lang w:val="es-ES_tradnl"/>
    </w:rPr>
  </w:style>
  <w:style w:type="paragraph" w:styleId="Ttulo4">
    <w:name w:val="heading 4"/>
    <w:basedOn w:val="Normal"/>
    <w:next w:val="Normal"/>
    <w:qFormat/>
    <w:pPr>
      <w:keepNext/>
      <w:widowControl w:val="0"/>
      <w:numPr>
        <w:ilvl w:val="3"/>
        <w:numId w:val="1"/>
      </w:numPr>
      <w:overflowPunct w:val="0"/>
      <w:autoSpaceDE w:val="0"/>
      <w:autoSpaceDN w:val="0"/>
      <w:adjustRightInd w:val="0"/>
      <w:jc w:val="both"/>
      <w:textAlignment w:val="baseline"/>
      <w:outlineLvl w:val="3"/>
    </w:pPr>
    <w:rPr>
      <w:szCs w:val="20"/>
      <w:u w:val="single"/>
      <w:lang w:val="es-ES_tradnl"/>
    </w:rPr>
  </w:style>
  <w:style w:type="paragraph" w:styleId="Ttulo5">
    <w:name w:val="heading 5"/>
    <w:basedOn w:val="Normal"/>
    <w:next w:val="Normal"/>
    <w:qFormat/>
    <w:pPr>
      <w:widowControl w:val="0"/>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Ttulo6">
    <w:name w:val="heading 6"/>
    <w:basedOn w:val="Normal"/>
    <w:next w:val="Normal"/>
    <w:qFormat/>
    <w:pPr>
      <w:widowControl w:val="0"/>
      <w:numPr>
        <w:ilvl w:val="5"/>
        <w:numId w:val="1"/>
      </w:numPr>
      <w:overflowPunct w:val="0"/>
      <w:autoSpaceDE w:val="0"/>
      <w:autoSpaceDN w:val="0"/>
      <w:adjustRightInd w:val="0"/>
      <w:spacing w:before="240" w:after="60"/>
      <w:textAlignment w:val="baseline"/>
      <w:outlineLvl w:val="5"/>
    </w:pPr>
    <w:rPr>
      <w:rFonts w:ascii="Arial" w:hAnsi="Arial"/>
      <w:i/>
      <w:sz w:val="22"/>
      <w:szCs w:val="20"/>
      <w:lang w:val="en-US"/>
    </w:rPr>
  </w:style>
  <w:style w:type="paragraph" w:styleId="Ttulo7">
    <w:name w:val="heading 7"/>
    <w:basedOn w:val="Normal"/>
    <w:next w:val="Normal"/>
    <w:qFormat/>
    <w:pPr>
      <w:widowControl w:val="0"/>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Ttulo8">
    <w:name w:val="heading 8"/>
    <w:basedOn w:val="Normal"/>
    <w:next w:val="Normal"/>
    <w:qFormat/>
    <w:pPr>
      <w:widowControl w:val="0"/>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Ttulo9">
    <w:name w:val="heading 9"/>
    <w:basedOn w:val="Normal"/>
    <w:next w:val="Normal"/>
    <w:qFormat/>
    <w:pPr>
      <w:widowControl w:val="0"/>
      <w:numPr>
        <w:ilvl w:val="8"/>
        <w:numId w:val="1"/>
      </w:numPr>
      <w:overflowPunct w:val="0"/>
      <w:autoSpaceDE w:val="0"/>
      <w:autoSpaceDN w:val="0"/>
      <w:adjustRightInd w:val="0"/>
      <w:spacing w:before="240" w:after="60"/>
      <w:textAlignment w:val="baseline"/>
      <w:outlineLvl w:val="8"/>
    </w:pPr>
    <w:rPr>
      <w:rFonts w:ascii="Arial" w:hAnsi="Arial"/>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imes New Roman" w:eastAsia="Times New Roman" w:hAnsi="Times New Roman" w:cs="Times New Roman"/>
      <w:b/>
      <w:sz w:val="24"/>
      <w:szCs w:val="20"/>
      <w:u w:val="single"/>
      <w:lang w:val="es-ES_tradnl" w:eastAsia="es-ES"/>
    </w:rPr>
  </w:style>
  <w:style w:type="character" w:customStyle="1" w:styleId="Ttulo2Car">
    <w:name w:val="Título 2 Car"/>
    <w:rPr>
      <w:rFonts w:ascii="Times New Roman" w:eastAsia="Times New Roman" w:hAnsi="Times New Roman" w:cs="Times New Roman"/>
      <w:b/>
      <w:sz w:val="24"/>
      <w:szCs w:val="20"/>
      <w:lang w:val="es-ES_tradnl" w:eastAsia="es-ES"/>
    </w:rPr>
  </w:style>
  <w:style w:type="character" w:customStyle="1" w:styleId="Ttulo3Car">
    <w:name w:val="Título 3 Car"/>
    <w:rPr>
      <w:rFonts w:ascii="Times New Roman" w:eastAsia="Times New Roman" w:hAnsi="Times New Roman" w:cs="Times New Roman"/>
      <w:b/>
      <w:sz w:val="24"/>
      <w:szCs w:val="20"/>
      <w:u w:val="single"/>
      <w:lang w:val="es-ES_tradnl" w:eastAsia="es-ES"/>
    </w:rPr>
  </w:style>
  <w:style w:type="character" w:customStyle="1" w:styleId="Ttulo4Car">
    <w:name w:val="Título 4 Car"/>
    <w:rPr>
      <w:rFonts w:ascii="Times New Roman" w:eastAsia="Times New Roman" w:hAnsi="Times New Roman" w:cs="Times New Roman"/>
      <w:sz w:val="24"/>
      <w:szCs w:val="20"/>
      <w:u w:val="single"/>
      <w:lang w:val="es-ES_tradnl" w:eastAsia="es-ES"/>
    </w:rPr>
  </w:style>
  <w:style w:type="character" w:customStyle="1" w:styleId="Ttulo5Car">
    <w:name w:val="Título 5 Car"/>
    <w:rPr>
      <w:rFonts w:ascii="Arial" w:eastAsia="Times New Roman" w:hAnsi="Arial" w:cs="Times New Roman"/>
      <w:szCs w:val="20"/>
      <w:lang w:val="en-US" w:eastAsia="es-ES"/>
    </w:rPr>
  </w:style>
  <w:style w:type="character" w:customStyle="1" w:styleId="Ttulo6Car">
    <w:name w:val="Título 6 Car"/>
    <w:rPr>
      <w:rFonts w:ascii="Arial" w:eastAsia="Times New Roman" w:hAnsi="Arial" w:cs="Times New Roman"/>
      <w:i/>
      <w:szCs w:val="20"/>
      <w:lang w:val="en-US" w:eastAsia="es-ES"/>
    </w:rPr>
  </w:style>
  <w:style w:type="character" w:customStyle="1" w:styleId="Ttulo7Car">
    <w:name w:val="Título 7 Car"/>
    <w:rPr>
      <w:rFonts w:ascii="Arial" w:eastAsia="Times New Roman" w:hAnsi="Arial" w:cs="Times New Roman"/>
      <w:sz w:val="20"/>
      <w:szCs w:val="20"/>
      <w:lang w:val="en-US" w:eastAsia="es-ES"/>
    </w:rPr>
  </w:style>
  <w:style w:type="character" w:customStyle="1" w:styleId="Ttulo8Car">
    <w:name w:val="Título 8 Car"/>
    <w:rPr>
      <w:rFonts w:ascii="Arial" w:eastAsia="Times New Roman" w:hAnsi="Arial" w:cs="Times New Roman"/>
      <w:i/>
      <w:sz w:val="20"/>
      <w:szCs w:val="20"/>
      <w:lang w:val="en-US" w:eastAsia="es-ES"/>
    </w:rPr>
  </w:style>
  <w:style w:type="character" w:customStyle="1" w:styleId="Ttulo9Car">
    <w:name w:val="Título 9 Car"/>
    <w:rPr>
      <w:rFonts w:ascii="Arial" w:eastAsia="Times New Roman" w:hAnsi="Arial" w:cs="Times New Roman"/>
      <w:i/>
      <w:sz w:val="18"/>
      <w:szCs w:val="20"/>
      <w:lang w:val="en-US" w:eastAsia="es-ES"/>
    </w:rPr>
  </w:style>
  <w:style w:type="paragraph" w:styleId="Prrafodelista">
    <w:name w:val="List Paragraph"/>
    <w:basedOn w:val="Normal"/>
    <w:uiPriority w:val="34"/>
    <w:qFormat/>
    <w:rsid w:val="009D29A3"/>
    <w:pPr>
      <w:ind w:left="720"/>
      <w:contextualSpacing/>
    </w:pPr>
  </w:style>
  <w:style w:type="paragraph" w:customStyle="1" w:styleId="Textoindependiente21">
    <w:name w:val="Texto independiente 21"/>
    <w:basedOn w:val="Normal"/>
    <w:rsid w:val="00AF7115"/>
    <w:pPr>
      <w:widowControl w:val="0"/>
      <w:overflowPunct w:val="0"/>
      <w:autoSpaceDE w:val="0"/>
      <w:autoSpaceDN w:val="0"/>
      <w:adjustRightInd w:val="0"/>
      <w:ind w:firstLine="1440"/>
      <w:jc w:val="both"/>
      <w:textAlignment w:val="baseline"/>
    </w:pPr>
    <w:rPr>
      <w:szCs w:val="20"/>
      <w:lang w:val="es-ES_tradnl"/>
    </w:rPr>
  </w:style>
  <w:style w:type="paragraph" w:styleId="Sangra2detindependiente">
    <w:name w:val="Body Text Indent 2"/>
    <w:basedOn w:val="Normal"/>
    <w:link w:val="Sangra2detindependienteCar"/>
    <w:semiHidden/>
    <w:rsid w:val="00AF7115"/>
    <w:pPr>
      <w:ind w:firstLine="720"/>
      <w:jc w:val="both"/>
    </w:pPr>
    <w:rPr>
      <w:rFonts w:ascii="Arial" w:hAnsi="Arial"/>
      <w:color w:val="FF0000"/>
      <w:lang w:val="es-ES_tradnl"/>
    </w:rPr>
  </w:style>
  <w:style w:type="character" w:customStyle="1" w:styleId="Sangra2detindependienteCar">
    <w:name w:val="Sangría 2 de t. independiente Car"/>
    <w:basedOn w:val="Fuentedeprrafopredeter"/>
    <w:link w:val="Sangra2detindependiente"/>
    <w:semiHidden/>
    <w:rsid w:val="00AF7115"/>
    <w:rPr>
      <w:rFonts w:ascii="Arial" w:eastAsia="Times New Roman" w:hAnsi="Arial"/>
      <w:color w:val="FF0000"/>
      <w:sz w:val="24"/>
      <w:szCs w:val="24"/>
      <w:lang w:val="es-ES_tradnl" w:eastAsia="es-ES"/>
    </w:rPr>
  </w:style>
  <w:style w:type="paragraph" w:styleId="Piedepgina">
    <w:name w:val="footer"/>
    <w:basedOn w:val="Normal"/>
    <w:link w:val="PiedepginaCar"/>
    <w:semiHidden/>
    <w:rsid w:val="00AF7115"/>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PiedepginaCar">
    <w:name w:val="Pie de página Car"/>
    <w:basedOn w:val="Fuentedeprrafopredeter"/>
    <w:link w:val="Piedepgina"/>
    <w:semiHidden/>
    <w:rsid w:val="00AF7115"/>
    <w:rPr>
      <w:rFonts w:ascii="Courier New" w:eastAsia="Times New Roman" w:hAnsi="Courier New"/>
      <w:sz w:val="24"/>
      <w:lang w:val="en-US" w:eastAsia="es-ES"/>
    </w:rPr>
  </w:style>
  <w:style w:type="paragraph" w:styleId="Textoindependiente">
    <w:name w:val="Body Text"/>
    <w:basedOn w:val="Normal"/>
    <w:link w:val="TextoindependienteCar"/>
    <w:semiHidden/>
    <w:rsid w:val="00AF7115"/>
    <w:pPr>
      <w:widowControl w:val="0"/>
      <w:overflowPunct w:val="0"/>
      <w:autoSpaceDE w:val="0"/>
      <w:autoSpaceDN w:val="0"/>
      <w:adjustRightInd w:val="0"/>
      <w:jc w:val="both"/>
      <w:textAlignment w:val="baseline"/>
    </w:pPr>
    <w:rPr>
      <w:szCs w:val="20"/>
      <w:lang w:val="es-ES_tradnl"/>
    </w:rPr>
  </w:style>
  <w:style w:type="character" w:customStyle="1" w:styleId="TextoindependienteCar">
    <w:name w:val="Texto independiente Car"/>
    <w:basedOn w:val="Fuentedeprrafopredeter"/>
    <w:link w:val="Textoindependiente"/>
    <w:semiHidden/>
    <w:rsid w:val="00AF7115"/>
    <w:rPr>
      <w:rFonts w:ascii="Times New Roman" w:eastAsia="Times New Roman" w:hAnsi="Times New Roman"/>
      <w:sz w:val="24"/>
      <w:lang w:val="es-ES_tradnl" w:eastAsia="es-ES"/>
    </w:rPr>
  </w:style>
  <w:style w:type="paragraph" w:styleId="Sangradetextonormal">
    <w:name w:val="Body Text Indent"/>
    <w:basedOn w:val="Normal"/>
    <w:link w:val="SangradetextonormalCar"/>
    <w:semiHidden/>
    <w:rsid w:val="00AF7115"/>
    <w:pPr>
      <w:ind w:firstLine="720"/>
      <w:jc w:val="both"/>
    </w:pPr>
    <w:rPr>
      <w:rFonts w:ascii="Arial" w:hAnsi="Arial" w:cs="Arial"/>
    </w:rPr>
  </w:style>
  <w:style w:type="character" w:customStyle="1" w:styleId="SangradetextonormalCar">
    <w:name w:val="Sangría de texto normal Car"/>
    <w:basedOn w:val="Fuentedeprrafopredeter"/>
    <w:link w:val="Sangradetextonormal"/>
    <w:semiHidden/>
    <w:rsid w:val="00AF7115"/>
    <w:rPr>
      <w:rFonts w:ascii="Arial" w:eastAsia="Times New Roman" w:hAnsi="Arial" w:cs="Arial"/>
      <w:sz w:val="24"/>
      <w:szCs w:val="24"/>
      <w:lang w:val="es-ES" w:eastAsia="es-ES"/>
    </w:rPr>
  </w:style>
  <w:style w:type="paragraph" w:styleId="Encabezado">
    <w:name w:val="header"/>
    <w:basedOn w:val="Normal"/>
    <w:link w:val="EncabezadoCar"/>
    <w:semiHidden/>
    <w:rsid w:val="00AF7115"/>
    <w:pPr>
      <w:widowControl w:val="0"/>
      <w:tabs>
        <w:tab w:val="center" w:pos="4252"/>
        <w:tab w:val="right" w:pos="8504"/>
      </w:tabs>
      <w:overflowPunct w:val="0"/>
      <w:autoSpaceDE w:val="0"/>
      <w:autoSpaceDN w:val="0"/>
      <w:adjustRightInd w:val="0"/>
      <w:textAlignment w:val="baseline"/>
    </w:pPr>
    <w:rPr>
      <w:rFonts w:ascii="Courier New" w:hAnsi="Courier New"/>
      <w:szCs w:val="20"/>
      <w:lang w:val="en-US"/>
    </w:rPr>
  </w:style>
  <w:style w:type="character" w:customStyle="1" w:styleId="EncabezadoCar">
    <w:name w:val="Encabezado Car"/>
    <w:basedOn w:val="Fuentedeprrafopredeter"/>
    <w:link w:val="Encabezado"/>
    <w:semiHidden/>
    <w:rsid w:val="00AF7115"/>
    <w:rPr>
      <w:rFonts w:ascii="Courier New" w:eastAsia="Times New Roman" w:hAnsi="Courier New"/>
      <w:sz w:val="24"/>
      <w:lang w:val="en-US" w:eastAsia="es-ES"/>
    </w:rPr>
  </w:style>
  <w:style w:type="paragraph" w:styleId="ndice2">
    <w:name w:val="index 2"/>
    <w:basedOn w:val="Normal"/>
    <w:next w:val="Normal"/>
    <w:autoRedefine/>
    <w:semiHidden/>
    <w:rsid w:val="00AF7115"/>
    <w:pPr>
      <w:spacing w:line="360" w:lineRule="auto"/>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2543</Words>
  <Characters>13991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“VISTO: que este Tribunal ha examinado el " Resumen de las Fuentes y Usos de Fondos Acumulado al 31/12/2010", el " Estado de I</vt:lpstr>
    </vt:vector>
  </TitlesOfParts>
  <Company>Microsoft</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que este Tribunal ha examinado el " Resumen de las Fuentes y Usos de Fondos Acumulado al 31/12/2010", el " Estado de I</dc:title>
  <dc:creator>Tribunal</dc:creator>
  <cp:lastModifiedBy>Tribunal1</cp:lastModifiedBy>
  <cp:revision>6</cp:revision>
  <cp:lastPrinted>2018-06-25T18:01:00Z</cp:lastPrinted>
  <dcterms:created xsi:type="dcterms:W3CDTF">2018-06-25T18:01:00Z</dcterms:created>
  <dcterms:modified xsi:type="dcterms:W3CDTF">2018-08-28T15:15:00Z</dcterms:modified>
</cp:coreProperties>
</file>