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4B" w:rsidRPr="001A705C" w:rsidRDefault="00641A4B" w:rsidP="001A705C">
      <w:pPr>
        <w:keepNext/>
        <w:widowControl w:val="0"/>
        <w:tabs>
          <w:tab w:val="center" w:pos="4253"/>
        </w:tabs>
        <w:suppressAutoHyphens/>
        <w:spacing w:after="0" w:line="240" w:lineRule="auto"/>
        <w:jc w:val="right"/>
        <w:rPr>
          <w:rFonts w:ascii="Arial" w:hAnsi="Arial" w:cs="Arial"/>
          <w:b/>
          <w:sz w:val="24"/>
          <w:szCs w:val="24"/>
          <w:lang w:val="es-ES_tradnl"/>
        </w:rPr>
      </w:pPr>
      <w:bookmarkStart w:id="0" w:name="_GoBack"/>
      <w:bookmarkEnd w:id="0"/>
      <w:r w:rsidRPr="001A705C">
        <w:rPr>
          <w:rFonts w:ascii="Arial" w:hAnsi="Arial" w:cs="Arial"/>
          <w:b/>
          <w:sz w:val="24"/>
          <w:szCs w:val="24"/>
          <w:lang w:val="es-ES_tradnl"/>
        </w:rPr>
        <w:t xml:space="preserve">RES. </w:t>
      </w:r>
      <w:r w:rsidR="003F1A57" w:rsidRPr="001A705C">
        <w:rPr>
          <w:rFonts w:ascii="Arial" w:hAnsi="Arial" w:cs="Arial"/>
          <w:b/>
          <w:sz w:val="24"/>
          <w:szCs w:val="24"/>
          <w:lang w:val="es-ES_tradnl"/>
        </w:rPr>
        <w:t>2071</w:t>
      </w:r>
      <w:r w:rsidRPr="001A705C">
        <w:rPr>
          <w:rFonts w:ascii="Arial" w:hAnsi="Arial" w:cs="Arial"/>
          <w:b/>
          <w:sz w:val="24"/>
          <w:szCs w:val="24"/>
          <w:lang w:val="es-ES_tradnl"/>
        </w:rPr>
        <w:t>/18</w:t>
      </w:r>
    </w:p>
    <w:p w:rsidR="00641A4B" w:rsidRPr="001A705C" w:rsidRDefault="00641A4B" w:rsidP="001A705C">
      <w:pPr>
        <w:keepNext/>
        <w:widowControl w:val="0"/>
        <w:tabs>
          <w:tab w:val="center" w:pos="4253"/>
        </w:tabs>
        <w:suppressAutoHyphens/>
        <w:spacing w:after="0" w:line="240" w:lineRule="auto"/>
        <w:jc w:val="center"/>
        <w:rPr>
          <w:rFonts w:ascii="Arial" w:hAnsi="Arial" w:cs="Arial"/>
          <w:b/>
          <w:sz w:val="24"/>
          <w:szCs w:val="24"/>
          <w:lang w:val="es-ES_tradnl"/>
        </w:rPr>
      </w:pPr>
    </w:p>
    <w:p w:rsidR="00641A4B" w:rsidRPr="001A705C" w:rsidRDefault="00641A4B" w:rsidP="001A705C">
      <w:pPr>
        <w:keepNext/>
        <w:widowControl w:val="0"/>
        <w:tabs>
          <w:tab w:val="center" w:pos="4253"/>
        </w:tabs>
        <w:suppressAutoHyphens/>
        <w:spacing w:after="0" w:line="240" w:lineRule="auto"/>
        <w:jc w:val="center"/>
        <w:rPr>
          <w:rFonts w:ascii="Arial" w:hAnsi="Arial" w:cs="Arial"/>
          <w:b/>
          <w:sz w:val="24"/>
          <w:szCs w:val="24"/>
          <w:lang w:val="es-ES_tradnl"/>
        </w:rPr>
      </w:pPr>
      <w:r w:rsidRPr="001A705C">
        <w:rPr>
          <w:rFonts w:ascii="Arial" w:hAnsi="Arial" w:cs="Arial"/>
          <w:b/>
          <w:sz w:val="24"/>
          <w:szCs w:val="24"/>
          <w:lang w:val="es-ES_tradnl"/>
        </w:rPr>
        <w:t>RESOLUCION ADOPTADA POR EL</w:t>
      </w:r>
    </w:p>
    <w:p w:rsidR="00641A4B" w:rsidRPr="001A705C" w:rsidRDefault="00641A4B" w:rsidP="001A705C">
      <w:pPr>
        <w:keepNext/>
        <w:widowControl w:val="0"/>
        <w:tabs>
          <w:tab w:val="left" w:pos="-720"/>
        </w:tabs>
        <w:suppressAutoHyphens/>
        <w:spacing w:after="0" w:line="240" w:lineRule="auto"/>
        <w:jc w:val="center"/>
        <w:rPr>
          <w:rFonts w:ascii="Arial" w:hAnsi="Arial" w:cs="Arial"/>
          <w:b/>
          <w:sz w:val="24"/>
          <w:szCs w:val="24"/>
          <w:lang w:val="es-ES_tradnl"/>
        </w:rPr>
      </w:pPr>
    </w:p>
    <w:p w:rsidR="00641A4B" w:rsidRPr="001A705C" w:rsidRDefault="00641A4B" w:rsidP="001A705C">
      <w:pPr>
        <w:keepNext/>
        <w:widowControl w:val="0"/>
        <w:tabs>
          <w:tab w:val="center" w:pos="4253"/>
        </w:tabs>
        <w:suppressAutoHyphens/>
        <w:spacing w:after="0" w:line="240" w:lineRule="auto"/>
        <w:jc w:val="center"/>
        <w:rPr>
          <w:rFonts w:ascii="Arial" w:hAnsi="Arial" w:cs="Arial"/>
          <w:b/>
          <w:sz w:val="24"/>
          <w:szCs w:val="24"/>
          <w:lang w:val="es-ES_tradnl"/>
        </w:rPr>
      </w:pPr>
      <w:r w:rsidRPr="001A705C">
        <w:rPr>
          <w:rFonts w:ascii="Arial" w:hAnsi="Arial" w:cs="Arial"/>
          <w:b/>
          <w:sz w:val="24"/>
          <w:szCs w:val="24"/>
          <w:lang w:val="es-ES_tradnl"/>
        </w:rPr>
        <w:t>TRIBUNAL DE CUENTAS</w:t>
      </w:r>
    </w:p>
    <w:p w:rsidR="00641A4B" w:rsidRPr="001A705C" w:rsidRDefault="00641A4B" w:rsidP="001A705C">
      <w:pPr>
        <w:keepNext/>
        <w:widowControl w:val="0"/>
        <w:tabs>
          <w:tab w:val="left" w:pos="-720"/>
        </w:tabs>
        <w:suppressAutoHyphens/>
        <w:spacing w:after="0" w:line="240" w:lineRule="auto"/>
        <w:jc w:val="center"/>
        <w:rPr>
          <w:rFonts w:ascii="Arial" w:hAnsi="Arial" w:cs="Arial"/>
          <w:b/>
          <w:sz w:val="24"/>
          <w:szCs w:val="24"/>
          <w:lang w:val="es-ES_tradnl"/>
        </w:rPr>
      </w:pPr>
    </w:p>
    <w:p w:rsidR="00641A4B" w:rsidRPr="001A705C" w:rsidRDefault="00641A4B" w:rsidP="001A705C">
      <w:pPr>
        <w:keepNext/>
        <w:widowControl w:val="0"/>
        <w:tabs>
          <w:tab w:val="center" w:pos="4253"/>
        </w:tabs>
        <w:suppressAutoHyphens/>
        <w:spacing w:after="0" w:line="240" w:lineRule="auto"/>
        <w:jc w:val="center"/>
        <w:rPr>
          <w:rFonts w:ascii="Arial" w:hAnsi="Arial" w:cs="Arial"/>
          <w:b/>
          <w:sz w:val="24"/>
          <w:szCs w:val="24"/>
          <w:lang w:val="es-ES_tradnl"/>
        </w:rPr>
      </w:pPr>
      <w:r w:rsidRPr="001A705C">
        <w:rPr>
          <w:rFonts w:ascii="Arial" w:hAnsi="Arial" w:cs="Arial"/>
          <w:b/>
          <w:sz w:val="24"/>
          <w:szCs w:val="24"/>
          <w:lang w:val="es-ES_tradnl"/>
        </w:rPr>
        <w:t>EN SESION DE FECHA 20 DE JUNIO DE 2018</w:t>
      </w:r>
    </w:p>
    <w:p w:rsidR="00641A4B" w:rsidRPr="001A705C" w:rsidRDefault="00641A4B" w:rsidP="001A705C">
      <w:pPr>
        <w:keepNext/>
        <w:widowControl w:val="0"/>
        <w:tabs>
          <w:tab w:val="center" w:pos="4253"/>
        </w:tabs>
        <w:suppressAutoHyphens/>
        <w:spacing w:after="0" w:line="240" w:lineRule="auto"/>
        <w:jc w:val="center"/>
        <w:rPr>
          <w:rFonts w:ascii="Arial" w:hAnsi="Arial" w:cs="Arial"/>
          <w:b/>
          <w:sz w:val="24"/>
          <w:szCs w:val="24"/>
          <w:lang w:val="es-ES_tradnl"/>
        </w:rPr>
      </w:pPr>
    </w:p>
    <w:p w:rsidR="00641A4B" w:rsidRPr="001A705C" w:rsidRDefault="00641A4B" w:rsidP="001A705C">
      <w:pPr>
        <w:keepNext/>
        <w:widowControl w:val="0"/>
        <w:tabs>
          <w:tab w:val="center" w:pos="4253"/>
        </w:tabs>
        <w:suppressAutoHyphens/>
        <w:spacing w:after="0" w:line="240" w:lineRule="auto"/>
        <w:jc w:val="center"/>
        <w:rPr>
          <w:rFonts w:ascii="Arial" w:hAnsi="Arial" w:cs="Arial"/>
          <w:b/>
          <w:sz w:val="24"/>
          <w:szCs w:val="24"/>
          <w:lang w:val="es-ES"/>
        </w:rPr>
      </w:pPr>
      <w:r w:rsidRPr="001A705C">
        <w:rPr>
          <w:rFonts w:ascii="Arial" w:hAnsi="Arial" w:cs="Arial"/>
          <w:b/>
          <w:sz w:val="24"/>
          <w:szCs w:val="24"/>
          <w:lang w:val="es-ES"/>
        </w:rPr>
        <w:t>(E. E. Nº 201</w:t>
      </w:r>
      <w:r w:rsidR="003F1A57" w:rsidRPr="001A705C">
        <w:rPr>
          <w:rFonts w:ascii="Arial" w:hAnsi="Arial" w:cs="Arial"/>
          <w:b/>
          <w:sz w:val="24"/>
          <w:szCs w:val="24"/>
          <w:lang w:val="es-ES"/>
        </w:rPr>
        <w:t>8</w:t>
      </w:r>
      <w:r w:rsidRPr="001A705C">
        <w:rPr>
          <w:rFonts w:ascii="Arial" w:hAnsi="Arial" w:cs="Arial"/>
          <w:b/>
          <w:sz w:val="24"/>
          <w:szCs w:val="24"/>
          <w:lang w:val="es-ES"/>
        </w:rPr>
        <w:t>-17-1-000</w:t>
      </w:r>
      <w:r w:rsidR="003F1A57" w:rsidRPr="001A705C">
        <w:rPr>
          <w:rFonts w:ascii="Arial" w:hAnsi="Arial" w:cs="Arial"/>
          <w:b/>
          <w:sz w:val="24"/>
          <w:szCs w:val="24"/>
          <w:lang w:val="es-ES"/>
        </w:rPr>
        <w:t>1631</w:t>
      </w:r>
      <w:r w:rsidRPr="001A705C">
        <w:rPr>
          <w:rFonts w:ascii="Arial" w:hAnsi="Arial" w:cs="Arial"/>
          <w:b/>
          <w:sz w:val="24"/>
          <w:szCs w:val="24"/>
          <w:lang w:val="es-ES"/>
        </w:rPr>
        <w:t xml:space="preserve">, </w:t>
      </w:r>
      <w:proofErr w:type="spellStart"/>
      <w:r w:rsidRPr="001A705C">
        <w:rPr>
          <w:rFonts w:ascii="Arial" w:hAnsi="Arial" w:cs="Arial"/>
          <w:b/>
          <w:sz w:val="24"/>
          <w:szCs w:val="24"/>
          <w:lang w:val="es-ES"/>
        </w:rPr>
        <w:t>Ent</w:t>
      </w:r>
      <w:proofErr w:type="spellEnd"/>
      <w:r w:rsidRPr="001A705C">
        <w:rPr>
          <w:rFonts w:ascii="Arial" w:hAnsi="Arial" w:cs="Arial"/>
          <w:b/>
          <w:sz w:val="24"/>
          <w:szCs w:val="24"/>
          <w:lang w:val="es-ES"/>
        </w:rPr>
        <w:t xml:space="preserve">. N° </w:t>
      </w:r>
      <w:r w:rsidR="003F1A57" w:rsidRPr="001A705C">
        <w:rPr>
          <w:rFonts w:ascii="Arial" w:hAnsi="Arial" w:cs="Arial"/>
          <w:b/>
          <w:sz w:val="24"/>
          <w:szCs w:val="24"/>
          <w:lang w:val="es-ES"/>
        </w:rPr>
        <w:t>1161</w:t>
      </w:r>
      <w:r w:rsidRPr="001A705C">
        <w:rPr>
          <w:rFonts w:ascii="Arial" w:hAnsi="Arial" w:cs="Arial"/>
          <w:b/>
          <w:sz w:val="24"/>
          <w:szCs w:val="24"/>
          <w:lang w:val="es-ES"/>
        </w:rPr>
        <w:t>/</w:t>
      </w:r>
      <w:r w:rsidR="003F1A57" w:rsidRPr="001A705C">
        <w:rPr>
          <w:rFonts w:ascii="Arial" w:hAnsi="Arial" w:cs="Arial"/>
          <w:b/>
          <w:sz w:val="24"/>
          <w:szCs w:val="24"/>
          <w:lang w:val="es-ES"/>
        </w:rPr>
        <w:t>18</w:t>
      </w:r>
      <w:r w:rsidRPr="001A705C">
        <w:rPr>
          <w:rFonts w:ascii="Arial" w:hAnsi="Arial" w:cs="Arial"/>
          <w:b/>
          <w:sz w:val="24"/>
          <w:szCs w:val="24"/>
          <w:lang w:val="es-ES"/>
        </w:rPr>
        <w:t>)</w:t>
      </w:r>
    </w:p>
    <w:p w:rsidR="00641A4B" w:rsidRPr="001A705C" w:rsidRDefault="00641A4B" w:rsidP="001A705C">
      <w:pPr>
        <w:keepNext/>
        <w:widowControl w:val="0"/>
        <w:tabs>
          <w:tab w:val="center" w:pos="4253"/>
        </w:tabs>
        <w:suppressAutoHyphens/>
        <w:spacing w:after="0" w:line="240" w:lineRule="auto"/>
        <w:jc w:val="center"/>
        <w:rPr>
          <w:rFonts w:ascii="Arial" w:hAnsi="Arial" w:cs="Arial"/>
          <w:b/>
          <w:sz w:val="24"/>
          <w:szCs w:val="24"/>
          <w:lang w:val="es-ES"/>
        </w:rPr>
      </w:pPr>
    </w:p>
    <w:p w:rsidR="004E017A" w:rsidRPr="001A705C" w:rsidRDefault="004E017A" w:rsidP="001A705C">
      <w:pPr>
        <w:keepNext/>
        <w:widowControl w:val="0"/>
        <w:spacing w:after="0" w:line="360" w:lineRule="auto"/>
        <w:jc w:val="right"/>
        <w:rPr>
          <w:rFonts w:ascii="Arial" w:hAnsi="Arial" w:cs="Arial"/>
          <w:sz w:val="24"/>
          <w:szCs w:val="24"/>
          <w:lang w:val="es-ES"/>
        </w:rPr>
      </w:pPr>
    </w:p>
    <w:p w:rsidR="0052632E" w:rsidRPr="001A705C" w:rsidRDefault="004E017A" w:rsidP="001A705C">
      <w:pPr>
        <w:keepNext/>
        <w:widowControl w:val="0"/>
        <w:spacing w:after="0" w:line="360" w:lineRule="auto"/>
        <w:ind w:firstLine="851"/>
        <w:jc w:val="both"/>
        <w:rPr>
          <w:rFonts w:ascii="Arial" w:hAnsi="Arial" w:cs="Arial"/>
          <w:sz w:val="24"/>
          <w:szCs w:val="24"/>
          <w:lang w:val="es-ES"/>
        </w:rPr>
      </w:pPr>
      <w:r w:rsidRPr="001A705C">
        <w:rPr>
          <w:rFonts w:ascii="Arial" w:hAnsi="Arial" w:cs="Arial"/>
          <w:b/>
          <w:sz w:val="24"/>
          <w:szCs w:val="24"/>
          <w:lang w:val="es-ES"/>
        </w:rPr>
        <w:t xml:space="preserve">VISTO: </w:t>
      </w:r>
      <w:r w:rsidRPr="001A705C">
        <w:rPr>
          <w:rFonts w:ascii="Arial" w:hAnsi="Arial" w:cs="Arial"/>
          <w:sz w:val="24"/>
          <w:szCs w:val="24"/>
          <w:lang w:val="es-ES"/>
        </w:rPr>
        <w:t xml:space="preserve">la Rendición de Cuentas y Balance de Ejecución Presupuestal de la Junta Departamental de </w:t>
      </w:r>
      <w:r w:rsidR="00C50CFE" w:rsidRPr="001A705C">
        <w:rPr>
          <w:rFonts w:ascii="Arial" w:hAnsi="Arial" w:cs="Arial"/>
          <w:sz w:val="24"/>
          <w:szCs w:val="24"/>
          <w:lang w:val="es-ES"/>
        </w:rPr>
        <w:t>Florida</w:t>
      </w:r>
      <w:r w:rsidRPr="001A705C">
        <w:rPr>
          <w:rFonts w:ascii="Arial" w:hAnsi="Arial" w:cs="Arial"/>
          <w:sz w:val="24"/>
          <w:szCs w:val="24"/>
          <w:lang w:val="es-ES"/>
        </w:rPr>
        <w:t xml:space="preserve"> correspondiente al </w:t>
      </w:r>
      <w:r w:rsidR="003F1A57" w:rsidRPr="001A705C">
        <w:rPr>
          <w:rFonts w:ascii="Arial" w:hAnsi="Arial" w:cs="Arial"/>
          <w:sz w:val="24"/>
          <w:szCs w:val="24"/>
          <w:lang w:val="es-ES"/>
        </w:rPr>
        <w:t>E</w:t>
      </w:r>
      <w:r w:rsidRPr="001A705C">
        <w:rPr>
          <w:rFonts w:ascii="Arial" w:hAnsi="Arial" w:cs="Arial"/>
          <w:sz w:val="24"/>
          <w:szCs w:val="24"/>
          <w:lang w:val="es-ES"/>
        </w:rPr>
        <w:t>jercicio 201</w:t>
      </w:r>
      <w:r w:rsidR="00080F21" w:rsidRPr="001A705C">
        <w:rPr>
          <w:rFonts w:ascii="Arial" w:hAnsi="Arial" w:cs="Arial"/>
          <w:sz w:val="24"/>
          <w:szCs w:val="24"/>
          <w:lang w:val="es-ES"/>
        </w:rPr>
        <w:t>7</w:t>
      </w:r>
      <w:r w:rsidRPr="001A705C">
        <w:rPr>
          <w:rFonts w:ascii="Arial" w:hAnsi="Arial" w:cs="Arial"/>
          <w:sz w:val="24"/>
          <w:szCs w:val="24"/>
          <w:lang w:val="es-ES"/>
        </w:rPr>
        <w:t>;</w:t>
      </w:r>
    </w:p>
    <w:p w:rsidR="0052632E" w:rsidRPr="001A705C" w:rsidRDefault="004E017A" w:rsidP="001A705C">
      <w:pPr>
        <w:keepNext/>
        <w:widowControl w:val="0"/>
        <w:spacing w:after="0" w:line="360" w:lineRule="auto"/>
        <w:ind w:firstLine="851"/>
        <w:jc w:val="both"/>
        <w:rPr>
          <w:rFonts w:ascii="Arial" w:hAnsi="Arial" w:cs="Arial"/>
          <w:sz w:val="24"/>
          <w:szCs w:val="24"/>
          <w:lang w:val="es-ES"/>
        </w:rPr>
      </w:pPr>
      <w:r w:rsidRPr="001A705C">
        <w:rPr>
          <w:rFonts w:ascii="Arial" w:hAnsi="Arial" w:cs="Arial"/>
          <w:b/>
          <w:sz w:val="24"/>
          <w:szCs w:val="24"/>
          <w:lang w:val="es-ES"/>
        </w:rPr>
        <w:t>RESULTANDO:</w:t>
      </w:r>
      <w:r w:rsidRPr="001A705C">
        <w:rPr>
          <w:rFonts w:ascii="Arial" w:hAnsi="Arial" w:cs="Arial"/>
          <w:sz w:val="24"/>
          <w:szCs w:val="24"/>
          <w:lang w:val="es-ES"/>
        </w:rPr>
        <w:t xml:space="preserve"> que el examen se efectuó de acuerdo con los</w:t>
      </w:r>
      <w:r w:rsidR="00C9376F" w:rsidRPr="001A705C">
        <w:rPr>
          <w:rFonts w:ascii="Arial" w:hAnsi="Arial" w:cs="Arial"/>
          <w:sz w:val="24"/>
          <w:szCs w:val="24"/>
          <w:lang w:val="es-ES"/>
        </w:rPr>
        <w:t xml:space="preserve"> Principios Fundamentales de Auditoría (ISSAI 100 y 200) y las Directrices de Auditoría Financiera </w:t>
      </w:r>
      <w:r w:rsidR="00385933" w:rsidRPr="001A705C">
        <w:rPr>
          <w:rFonts w:ascii="Arial" w:hAnsi="Arial" w:cs="Arial"/>
          <w:sz w:val="24"/>
          <w:szCs w:val="24"/>
          <w:lang w:val="es-ES"/>
        </w:rPr>
        <w:t xml:space="preserve">(ISSAI 1000 a 1810) </w:t>
      </w:r>
      <w:r w:rsidR="00C9376F" w:rsidRPr="001A705C">
        <w:rPr>
          <w:rFonts w:ascii="Arial" w:hAnsi="Arial" w:cs="Arial"/>
          <w:sz w:val="24"/>
          <w:szCs w:val="24"/>
          <w:lang w:val="es-ES"/>
        </w:rPr>
        <w:t>de la Organización Internacional de Entidades Fiscalizadoras Superiores (INTOSAI), habiéndose llevado a cabo los procedimientos considerados necesarios en las circunstancias</w:t>
      </w:r>
      <w:r w:rsidR="0033211D" w:rsidRPr="001A705C">
        <w:rPr>
          <w:rFonts w:ascii="Arial" w:hAnsi="Arial" w:cs="Arial"/>
          <w:sz w:val="24"/>
          <w:szCs w:val="24"/>
          <w:lang w:val="es-ES"/>
        </w:rPr>
        <w:t>;</w:t>
      </w:r>
    </w:p>
    <w:p w:rsidR="0052632E" w:rsidRPr="001A705C" w:rsidRDefault="0033211D" w:rsidP="001A705C">
      <w:pPr>
        <w:keepNext/>
        <w:widowControl w:val="0"/>
        <w:spacing w:after="0" w:line="360" w:lineRule="auto"/>
        <w:ind w:firstLine="851"/>
        <w:jc w:val="both"/>
        <w:rPr>
          <w:rFonts w:ascii="Arial" w:hAnsi="Arial" w:cs="Arial"/>
          <w:sz w:val="24"/>
          <w:szCs w:val="24"/>
          <w:lang w:val="es-ES"/>
        </w:rPr>
      </w:pPr>
      <w:r w:rsidRPr="001A705C">
        <w:rPr>
          <w:rFonts w:ascii="Arial" w:hAnsi="Arial" w:cs="Arial"/>
          <w:b/>
          <w:sz w:val="24"/>
          <w:szCs w:val="24"/>
          <w:lang w:val="es-ES"/>
        </w:rPr>
        <w:t>CONSIDERANDO:</w:t>
      </w:r>
      <w:r w:rsidRPr="001A705C">
        <w:rPr>
          <w:rFonts w:ascii="Arial" w:hAnsi="Arial" w:cs="Arial"/>
          <w:sz w:val="24"/>
          <w:szCs w:val="24"/>
          <w:lang w:val="es-ES"/>
        </w:rPr>
        <w:t xml:space="preserve"> que las conclusiones y evidencias obtenidas son</w:t>
      </w:r>
      <w:r w:rsidR="0052632E" w:rsidRPr="001A705C">
        <w:rPr>
          <w:rFonts w:ascii="Arial" w:hAnsi="Arial" w:cs="Arial"/>
          <w:sz w:val="24"/>
          <w:szCs w:val="24"/>
          <w:lang w:val="es-ES"/>
        </w:rPr>
        <w:t xml:space="preserve"> </w:t>
      </w:r>
      <w:r w:rsidRPr="001A705C">
        <w:rPr>
          <w:rFonts w:ascii="Arial" w:hAnsi="Arial" w:cs="Arial"/>
          <w:sz w:val="24"/>
          <w:szCs w:val="24"/>
          <w:lang w:val="es-ES"/>
        </w:rPr>
        <w:t>las que se expresan en el Informe de Auditoría, que incluye Dictamen e Informe a la Administración;</w:t>
      </w:r>
    </w:p>
    <w:p w:rsidR="0052632E" w:rsidRPr="001A705C" w:rsidRDefault="0033211D" w:rsidP="001A705C">
      <w:pPr>
        <w:keepNext/>
        <w:widowControl w:val="0"/>
        <w:spacing w:after="0" w:line="360" w:lineRule="auto"/>
        <w:ind w:firstLine="851"/>
        <w:jc w:val="both"/>
        <w:rPr>
          <w:rFonts w:ascii="Arial" w:hAnsi="Arial" w:cs="Arial"/>
          <w:sz w:val="24"/>
          <w:szCs w:val="24"/>
          <w:lang w:val="es-ES"/>
        </w:rPr>
      </w:pPr>
      <w:r w:rsidRPr="001A705C">
        <w:rPr>
          <w:rFonts w:ascii="Arial" w:hAnsi="Arial" w:cs="Arial"/>
          <w:b/>
          <w:sz w:val="24"/>
          <w:szCs w:val="24"/>
          <w:lang w:val="es-ES"/>
        </w:rPr>
        <w:t>ATENTO:</w:t>
      </w:r>
      <w:r w:rsidRPr="001A705C">
        <w:rPr>
          <w:rFonts w:ascii="Arial" w:hAnsi="Arial" w:cs="Arial"/>
          <w:sz w:val="24"/>
          <w:szCs w:val="24"/>
          <w:lang w:val="es-ES"/>
        </w:rPr>
        <w:t xml:space="preserve"> a lo dispuesto por el Artículo 211 Literal C) de la Constitución de la República;</w:t>
      </w:r>
    </w:p>
    <w:p w:rsidR="00C50CFE" w:rsidRPr="001A705C" w:rsidRDefault="00CA53DF" w:rsidP="001A705C">
      <w:pPr>
        <w:keepNext/>
        <w:widowControl w:val="0"/>
        <w:spacing w:after="0" w:line="360" w:lineRule="auto"/>
        <w:jc w:val="center"/>
        <w:rPr>
          <w:rFonts w:ascii="Arial" w:hAnsi="Arial" w:cs="Arial"/>
          <w:b/>
          <w:sz w:val="24"/>
          <w:szCs w:val="24"/>
          <w:lang w:val="es-ES"/>
        </w:rPr>
      </w:pPr>
      <w:r w:rsidRPr="001A705C">
        <w:rPr>
          <w:rFonts w:ascii="Arial" w:hAnsi="Arial" w:cs="Arial"/>
          <w:b/>
          <w:sz w:val="24"/>
          <w:szCs w:val="24"/>
          <w:lang w:val="es-ES"/>
        </w:rPr>
        <w:t>EL TRIBUNAL ACUERDA</w:t>
      </w:r>
    </w:p>
    <w:p w:rsidR="00CA53DF" w:rsidRPr="001A705C" w:rsidRDefault="00294C9C" w:rsidP="001A705C">
      <w:pPr>
        <w:keepNext/>
        <w:widowControl w:val="0"/>
        <w:spacing w:after="0" w:line="360" w:lineRule="auto"/>
        <w:jc w:val="both"/>
        <w:rPr>
          <w:rFonts w:ascii="Arial" w:hAnsi="Arial" w:cs="Arial"/>
          <w:sz w:val="24"/>
          <w:szCs w:val="24"/>
          <w:lang w:val="es-ES"/>
        </w:rPr>
      </w:pPr>
      <w:r w:rsidRPr="001A705C">
        <w:rPr>
          <w:rFonts w:ascii="Arial" w:hAnsi="Arial" w:cs="Arial"/>
          <w:b/>
          <w:sz w:val="24"/>
          <w:szCs w:val="24"/>
          <w:lang w:val="es-ES"/>
        </w:rPr>
        <w:t>1)</w:t>
      </w:r>
      <w:r w:rsidRPr="001A705C">
        <w:rPr>
          <w:rFonts w:ascii="Arial" w:hAnsi="Arial" w:cs="Arial"/>
          <w:sz w:val="24"/>
          <w:szCs w:val="24"/>
          <w:lang w:val="es-ES"/>
        </w:rPr>
        <w:t xml:space="preserve"> </w:t>
      </w:r>
      <w:r w:rsidR="00CA53DF" w:rsidRPr="001A705C">
        <w:rPr>
          <w:rFonts w:ascii="Arial" w:hAnsi="Arial" w:cs="Arial"/>
          <w:sz w:val="24"/>
          <w:szCs w:val="24"/>
          <w:lang w:val="es-ES"/>
        </w:rPr>
        <w:t>Expedirse en los términos del Info</w:t>
      </w:r>
      <w:r w:rsidRPr="001A705C">
        <w:rPr>
          <w:rFonts w:ascii="Arial" w:hAnsi="Arial" w:cs="Arial"/>
          <w:sz w:val="24"/>
          <w:szCs w:val="24"/>
          <w:lang w:val="es-ES"/>
        </w:rPr>
        <w:t>rme de Auditoría que se adjunta;</w:t>
      </w:r>
    </w:p>
    <w:p w:rsidR="00CA53DF" w:rsidRPr="001A705C" w:rsidRDefault="00294C9C" w:rsidP="001A705C">
      <w:pPr>
        <w:keepNext/>
        <w:widowControl w:val="0"/>
        <w:spacing w:after="0" w:line="360" w:lineRule="auto"/>
        <w:jc w:val="both"/>
        <w:rPr>
          <w:rFonts w:ascii="Arial" w:hAnsi="Arial" w:cs="Arial"/>
          <w:sz w:val="24"/>
          <w:szCs w:val="24"/>
          <w:lang w:val="es-ES"/>
        </w:rPr>
      </w:pPr>
      <w:r w:rsidRPr="001A705C">
        <w:rPr>
          <w:rFonts w:ascii="Arial" w:hAnsi="Arial" w:cs="Arial"/>
          <w:b/>
          <w:sz w:val="24"/>
          <w:szCs w:val="24"/>
          <w:lang w:val="es-ES"/>
        </w:rPr>
        <w:t>2)</w:t>
      </w:r>
      <w:r w:rsidRPr="001A705C">
        <w:rPr>
          <w:rFonts w:ascii="Arial" w:hAnsi="Arial" w:cs="Arial"/>
          <w:sz w:val="24"/>
          <w:szCs w:val="24"/>
          <w:lang w:val="es-ES"/>
        </w:rPr>
        <w:t xml:space="preserve"> </w:t>
      </w:r>
      <w:r w:rsidR="00CA53DF" w:rsidRPr="001A705C">
        <w:rPr>
          <w:rFonts w:ascii="Arial" w:hAnsi="Arial" w:cs="Arial"/>
          <w:sz w:val="24"/>
          <w:szCs w:val="24"/>
          <w:lang w:val="es-ES"/>
        </w:rPr>
        <w:t xml:space="preserve">Comunicar la presente Resolución a la Intendencia de </w:t>
      </w:r>
      <w:r w:rsidR="00C50CFE" w:rsidRPr="001A705C">
        <w:rPr>
          <w:rFonts w:ascii="Arial" w:hAnsi="Arial" w:cs="Arial"/>
          <w:sz w:val="24"/>
          <w:szCs w:val="24"/>
          <w:lang w:val="es-ES"/>
        </w:rPr>
        <w:t>Florida</w:t>
      </w:r>
      <w:r w:rsidRPr="001A705C">
        <w:rPr>
          <w:rFonts w:ascii="Arial" w:hAnsi="Arial" w:cs="Arial"/>
          <w:sz w:val="24"/>
          <w:szCs w:val="24"/>
          <w:lang w:val="es-ES"/>
        </w:rPr>
        <w:t>;</w:t>
      </w:r>
    </w:p>
    <w:p w:rsidR="00CA53DF" w:rsidRPr="001A705C" w:rsidRDefault="00294C9C" w:rsidP="001A705C">
      <w:pPr>
        <w:keepNext/>
        <w:widowControl w:val="0"/>
        <w:spacing w:after="0" w:line="360" w:lineRule="auto"/>
        <w:jc w:val="both"/>
        <w:rPr>
          <w:rFonts w:ascii="Arial" w:hAnsi="Arial" w:cs="Arial"/>
          <w:sz w:val="24"/>
          <w:szCs w:val="24"/>
          <w:lang w:val="es-ES"/>
        </w:rPr>
      </w:pPr>
      <w:r w:rsidRPr="001A705C">
        <w:rPr>
          <w:rFonts w:ascii="Arial" w:hAnsi="Arial" w:cs="Arial"/>
          <w:b/>
          <w:sz w:val="24"/>
          <w:szCs w:val="24"/>
          <w:lang w:val="es-ES"/>
        </w:rPr>
        <w:t>3)</w:t>
      </w:r>
      <w:r w:rsidRPr="001A705C">
        <w:rPr>
          <w:rFonts w:ascii="Arial" w:hAnsi="Arial" w:cs="Arial"/>
          <w:sz w:val="24"/>
          <w:szCs w:val="24"/>
          <w:lang w:val="es-ES"/>
        </w:rPr>
        <w:t xml:space="preserve"> </w:t>
      </w:r>
      <w:r w:rsidR="00CA53DF" w:rsidRPr="001A705C">
        <w:rPr>
          <w:rFonts w:ascii="Arial" w:hAnsi="Arial" w:cs="Arial"/>
          <w:sz w:val="24"/>
          <w:szCs w:val="24"/>
          <w:lang w:val="es-ES"/>
        </w:rPr>
        <w:t>Dar cuenta a la Asamblea General.</w:t>
      </w:r>
    </w:p>
    <w:p w:rsidR="00CA53DF" w:rsidRPr="001A705C" w:rsidRDefault="00294C9C" w:rsidP="001A705C">
      <w:pPr>
        <w:keepNext/>
        <w:widowControl w:val="0"/>
        <w:spacing w:after="0" w:line="360" w:lineRule="auto"/>
        <w:jc w:val="both"/>
        <w:rPr>
          <w:rFonts w:ascii="Arial" w:hAnsi="Arial" w:cs="Arial"/>
          <w:sz w:val="24"/>
          <w:szCs w:val="24"/>
          <w:lang w:val="es-ES"/>
        </w:rPr>
      </w:pPr>
      <w:r w:rsidRPr="001A705C">
        <w:rPr>
          <w:rFonts w:ascii="Arial" w:hAnsi="Arial" w:cs="Arial"/>
          <w:b/>
          <w:sz w:val="24"/>
          <w:szCs w:val="24"/>
          <w:lang w:val="es-ES"/>
        </w:rPr>
        <w:t>4)</w:t>
      </w:r>
      <w:r w:rsidRPr="001A705C">
        <w:rPr>
          <w:rFonts w:ascii="Arial" w:hAnsi="Arial" w:cs="Arial"/>
          <w:sz w:val="24"/>
          <w:szCs w:val="24"/>
          <w:lang w:val="es-ES"/>
        </w:rPr>
        <w:t xml:space="preserve"> </w:t>
      </w:r>
      <w:r w:rsidR="00CA53DF" w:rsidRPr="001A705C">
        <w:rPr>
          <w:rFonts w:ascii="Arial" w:hAnsi="Arial" w:cs="Arial"/>
          <w:sz w:val="24"/>
          <w:szCs w:val="24"/>
          <w:lang w:val="es-ES"/>
        </w:rPr>
        <w:t>Devuélvase.</w:t>
      </w:r>
    </w:p>
    <w:p w:rsidR="00294C9C" w:rsidRPr="001A705C" w:rsidRDefault="00294C9C" w:rsidP="001A705C">
      <w:pPr>
        <w:keepNext/>
        <w:widowControl w:val="0"/>
        <w:spacing w:after="0" w:line="360" w:lineRule="auto"/>
        <w:jc w:val="both"/>
        <w:rPr>
          <w:rFonts w:ascii="Arial" w:hAnsi="Arial" w:cs="Arial"/>
          <w:sz w:val="24"/>
          <w:szCs w:val="24"/>
          <w:lang w:val="es-ES"/>
        </w:rPr>
      </w:pPr>
    </w:p>
    <w:p w:rsidR="00294C9C" w:rsidRPr="001A705C" w:rsidRDefault="00294C9C" w:rsidP="001A705C">
      <w:pPr>
        <w:keepNext/>
        <w:widowControl w:val="0"/>
        <w:spacing w:after="0" w:line="360" w:lineRule="auto"/>
        <w:jc w:val="both"/>
        <w:rPr>
          <w:rFonts w:ascii="Arial" w:hAnsi="Arial" w:cs="Arial"/>
          <w:sz w:val="24"/>
          <w:szCs w:val="24"/>
          <w:lang w:val="es-ES"/>
        </w:rPr>
      </w:pPr>
      <w:proofErr w:type="spellStart"/>
      <w:proofErr w:type="gramStart"/>
      <w:r w:rsidRPr="001A705C">
        <w:rPr>
          <w:rFonts w:ascii="Arial" w:hAnsi="Arial" w:cs="Arial"/>
          <w:sz w:val="24"/>
          <w:szCs w:val="24"/>
          <w:lang w:val="es-ES"/>
        </w:rPr>
        <w:t>ag</w:t>
      </w:r>
      <w:proofErr w:type="spellEnd"/>
      <w:proofErr w:type="gramEnd"/>
    </w:p>
    <w:p w:rsidR="00CA53DF" w:rsidRPr="001A705C" w:rsidRDefault="00CA53DF" w:rsidP="001A705C">
      <w:pPr>
        <w:keepNext/>
        <w:widowControl w:val="0"/>
        <w:spacing w:after="0" w:line="360" w:lineRule="auto"/>
        <w:jc w:val="both"/>
        <w:rPr>
          <w:rFonts w:ascii="Arial" w:hAnsi="Arial" w:cs="Arial"/>
          <w:sz w:val="24"/>
          <w:szCs w:val="24"/>
          <w:lang w:val="es-ES"/>
        </w:rPr>
      </w:pPr>
    </w:p>
    <w:p w:rsidR="004E017A" w:rsidRPr="001A705C" w:rsidRDefault="004E017A" w:rsidP="001A705C">
      <w:pPr>
        <w:keepNext/>
        <w:widowControl w:val="0"/>
        <w:spacing w:after="0" w:line="360" w:lineRule="auto"/>
        <w:rPr>
          <w:rFonts w:ascii="Arial" w:hAnsi="Arial" w:cs="Arial"/>
          <w:b/>
          <w:sz w:val="24"/>
          <w:szCs w:val="24"/>
          <w:lang w:val="es-ES"/>
        </w:rPr>
      </w:pPr>
    </w:p>
    <w:p w:rsidR="00CA53DF" w:rsidRPr="001A705C" w:rsidRDefault="00CA53DF" w:rsidP="001A705C">
      <w:pPr>
        <w:keepNext/>
        <w:widowControl w:val="0"/>
        <w:spacing w:after="0" w:line="360" w:lineRule="auto"/>
        <w:rPr>
          <w:rFonts w:ascii="Arial" w:hAnsi="Arial" w:cs="Arial"/>
          <w:b/>
          <w:sz w:val="24"/>
          <w:szCs w:val="24"/>
          <w:lang w:val="es-ES"/>
        </w:rPr>
      </w:pPr>
    </w:p>
    <w:p w:rsidR="001A705C" w:rsidRPr="001A705C" w:rsidRDefault="001A705C" w:rsidP="001A705C">
      <w:pPr>
        <w:keepNext/>
        <w:widowControl w:val="0"/>
        <w:jc w:val="center"/>
        <w:rPr>
          <w:rFonts w:ascii="Arial" w:hAnsi="Arial" w:cs="Arial"/>
          <w:b/>
          <w:sz w:val="24"/>
          <w:szCs w:val="24"/>
        </w:rPr>
      </w:pPr>
      <w:r w:rsidRPr="001A705C">
        <w:rPr>
          <w:rFonts w:ascii="Arial" w:hAnsi="Arial" w:cs="Arial"/>
          <w:b/>
          <w:sz w:val="24"/>
          <w:szCs w:val="24"/>
        </w:rPr>
        <w:lastRenderedPageBreak/>
        <w:t>DICTAMEN</w:t>
      </w:r>
    </w:p>
    <w:p w:rsidR="001A705C" w:rsidRPr="001A705C" w:rsidRDefault="001A705C" w:rsidP="001A705C">
      <w:pPr>
        <w:keepNext/>
        <w:widowControl w:val="0"/>
        <w:jc w:val="center"/>
        <w:rPr>
          <w:rFonts w:ascii="Arial" w:hAnsi="Arial" w:cs="Arial"/>
          <w:b/>
          <w:sz w:val="24"/>
          <w:szCs w:val="24"/>
        </w:rPr>
      </w:pPr>
    </w:p>
    <w:p w:rsidR="001A705C" w:rsidRPr="001A705C" w:rsidRDefault="00700DE1" w:rsidP="001A705C">
      <w:pPr>
        <w:keepNext/>
        <w:widowControl w:val="0"/>
        <w:spacing w:line="360" w:lineRule="auto"/>
        <w:jc w:val="both"/>
        <w:rPr>
          <w:rFonts w:ascii="Arial" w:hAnsi="Arial" w:cs="Arial"/>
          <w:b/>
          <w:sz w:val="24"/>
          <w:szCs w:val="24"/>
        </w:rPr>
      </w:pPr>
      <w:r>
        <w:rPr>
          <w:rFonts w:ascii="Arial" w:hAnsi="Arial" w:cs="Arial"/>
          <w:b/>
          <w:sz w:val="24"/>
          <w:szCs w:val="24"/>
        </w:rPr>
        <w:t>Opinión sin salvedades</w:t>
      </w:r>
    </w:p>
    <w:p w:rsidR="001A705C" w:rsidRPr="001A705C" w:rsidRDefault="001A705C" w:rsidP="001A705C">
      <w:pPr>
        <w:keepNext/>
        <w:widowControl w:val="0"/>
        <w:spacing w:line="360" w:lineRule="auto"/>
        <w:jc w:val="both"/>
        <w:rPr>
          <w:rFonts w:ascii="Arial" w:hAnsi="Arial" w:cs="Arial"/>
          <w:sz w:val="24"/>
          <w:szCs w:val="24"/>
          <w:highlight w:val="yellow"/>
        </w:rPr>
      </w:pPr>
      <w:r w:rsidRPr="001A705C">
        <w:rPr>
          <w:rFonts w:ascii="Arial" w:hAnsi="Arial" w:cs="Arial"/>
          <w:sz w:val="24"/>
          <w:szCs w:val="24"/>
        </w:rPr>
        <w:t>El Tribunal de Cuentas ha auditado la Rendición de Cuentas y el Balance de Ejecución Presupuestal de la Junta Departamental de Florida que comprende los estados de ejecución presupuestal con relación a los créditos, de evolución de las obligaciones presupuestales impagas, de fondos indisponibles, y otros estados complementarios por el ejer</w:t>
      </w:r>
      <w:r w:rsidR="001D53FF">
        <w:rPr>
          <w:rFonts w:ascii="Arial" w:hAnsi="Arial" w:cs="Arial"/>
          <w:sz w:val="24"/>
          <w:szCs w:val="24"/>
        </w:rPr>
        <w:t>cicio finalizado el 31/12/2017.</w:t>
      </w:r>
    </w:p>
    <w:p w:rsidR="001A705C" w:rsidRPr="001A705C" w:rsidRDefault="001A705C" w:rsidP="001A705C">
      <w:pPr>
        <w:keepNext/>
        <w:widowControl w:val="0"/>
        <w:spacing w:line="360" w:lineRule="auto"/>
        <w:jc w:val="both"/>
        <w:rPr>
          <w:rFonts w:ascii="Arial" w:hAnsi="Arial" w:cs="Arial"/>
          <w:sz w:val="24"/>
          <w:szCs w:val="24"/>
        </w:rPr>
      </w:pPr>
      <w:r w:rsidRPr="001A705C">
        <w:rPr>
          <w:rFonts w:ascii="Arial" w:hAnsi="Arial" w:cs="Arial"/>
          <w:sz w:val="24"/>
          <w:szCs w:val="24"/>
        </w:rPr>
        <w:t>En opinión del Tribunal de Cuentas, los estados mencionados, presentan razonablemente, en todos sus aspectos significativos, la ejecución presupuestal del ejercicio 2017, la evolución de las obligaciones presupuestales impagas y de fondos indisponibles de acuerdo con las normas establecidas en el TOCAF y la Resolución del Tribunal del 28/02/2004.</w:t>
      </w:r>
    </w:p>
    <w:p w:rsidR="001A705C" w:rsidRPr="001A705C" w:rsidRDefault="001A705C" w:rsidP="001A705C">
      <w:pPr>
        <w:keepNext/>
        <w:widowControl w:val="0"/>
        <w:spacing w:line="360" w:lineRule="auto"/>
        <w:jc w:val="both"/>
        <w:rPr>
          <w:rFonts w:ascii="Arial" w:hAnsi="Arial" w:cs="Arial"/>
          <w:b/>
          <w:sz w:val="24"/>
          <w:szCs w:val="24"/>
        </w:rPr>
      </w:pPr>
      <w:r w:rsidRPr="001A705C">
        <w:rPr>
          <w:rFonts w:ascii="Arial" w:hAnsi="Arial" w:cs="Arial"/>
          <w:b/>
          <w:sz w:val="24"/>
          <w:szCs w:val="24"/>
        </w:rPr>
        <w:t>Opinión respecto al cumplimiento de la normativa legal aplicable</w:t>
      </w:r>
    </w:p>
    <w:p w:rsidR="001A705C" w:rsidRPr="001A705C" w:rsidRDefault="001A705C" w:rsidP="001A705C">
      <w:pPr>
        <w:keepNext/>
        <w:widowControl w:val="0"/>
        <w:spacing w:line="360" w:lineRule="auto"/>
        <w:jc w:val="both"/>
        <w:rPr>
          <w:rFonts w:ascii="Arial" w:hAnsi="Arial" w:cs="Arial"/>
          <w:sz w:val="24"/>
          <w:szCs w:val="24"/>
        </w:rPr>
      </w:pPr>
      <w:r w:rsidRPr="001A705C">
        <w:rPr>
          <w:rFonts w:ascii="Arial" w:hAnsi="Arial" w:cs="Arial"/>
          <w:sz w:val="24"/>
          <w:szCs w:val="24"/>
        </w:rPr>
        <w:t>En el curso de la auditoría se han constatado los siguientes incumplimientos:</w:t>
      </w:r>
    </w:p>
    <w:p w:rsidR="001A705C" w:rsidRPr="001A705C" w:rsidRDefault="001A705C" w:rsidP="001A705C">
      <w:pPr>
        <w:keepNext/>
        <w:widowControl w:val="0"/>
        <w:spacing w:line="360" w:lineRule="auto"/>
        <w:jc w:val="both"/>
        <w:rPr>
          <w:rFonts w:ascii="Arial" w:hAnsi="Arial" w:cs="Arial"/>
          <w:sz w:val="24"/>
          <w:szCs w:val="24"/>
        </w:rPr>
      </w:pPr>
      <w:r w:rsidRPr="001A705C">
        <w:rPr>
          <w:rFonts w:ascii="Arial" w:hAnsi="Arial" w:cs="Arial"/>
          <w:sz w:val="24"/>
          <w:szCs w:val="24"/>
        </w:rPr>
        <w:t>Artículos 86, 273, y 295 de la Constitución de la República y Resolución del Tribunal de Cuentas de 22/12/10, Artículos 14, 15, 23 y 102 Numeral 3) del TOCAF, Artículo 1 del Decreto Nº 342/92, y Artículo 5 del Decreto Nº 66/2011</w:t>
      </w:r>
      <w:r w:rsidR="001D53FF">
        <w:rPr>
          <w:rFonts w:ascii="Arial" w:hAnsi="Arial" w:cs="Arial"/>
          <w:sz w:val="24"/>
          <w:szCs w:val="24"/>
        </w:rPr>
        <w:t>.</w:t>
      </w:r>
    </w:p>
    <w:p w:rsidR="001A705C" w:rsidRPr="001A705C" w:rsidRDefault="001A705C" w:rsidP="001A705C">
      <w:pPr>
        <w:keepNext/>
        <w:widowControl w:val="0"/>
        <w:spacing w:line="360" w:lineRule="auto"/>
        <w:jc w:val="both"/>
        <w:rPr>
          <w:rFonts w:ascii="Arial" w:hAnsi="Arial" w:cs="Arial"/>
          <w:b/>
          <w:bCs/>
          <w:sz w:val="24"/>
          <w:szCs w:val="24"/>
        </w:rPr>
      </w:pPr>
      <w:r w:rsidRPr="001A705C">
        <w:rPr>
          <w:rFonts w:ascii="Arial" w:hAnsi="Arial" w:cs="Arial"/>
          <w:b/>
          <w:bCs/>
          <w:sz w:val="24"/>
          <w:szCs w:val="24"/>
        </w:rPr>
        <w:t>Bases para la Opinión sin salvedades</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Junta Departamental de Florida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1A705C" w:rsidRPr="001A705C" w:rsidRDefault="001A705C" w:rsidP="001A705C">
      <w:pPr>
        <w:keepNext/>
        <w:widowControl w:val="0"/>
        <w:spacing w:line="360" w:lineRule="auto"/>
        <w:jc w:val="both"/>
        <w:rPr>
          <w:rFonts w:ascii="Arial" w:hAnsi="Arial" w:cs="Arial"/>
          <w:b/>
          <w:bCs/>
          <w:sz w:val="24"/>
          <w:szCs w:val="24"/>
        </w:rPr>
      </w:pPr>
      <w:r w:rsidRPr="001A705C">
        <w:rPr>
          <w:rFonts w:ascii="Arial" w:hAnsi="Arial" w:cs="Arial"/>
          <w:b/>
          <w:bCs/>
          <w:sz w:val="24"/>
          <w:szCs w:val="24"/>
        </w:rPr>
        <w:t>Responsabilidad de la Junta Departamental en relación con la Rendición  de Cuentas y Balance de Ejecución Presupuestal</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La Junta Departamental de Florida es responsable por la preparación y presentación razonable de la Rendición de Cuentas y Balance de Ejecución Presupuestal de la Junta Departamental de Florida de acuerdo con el instructivo vigente a la fecha de presentación de la misma y del control interno que la administración de la Junta Departamental consideró necesario para permitir la preparación de la Rendición de Cuentas y Balance de Ejecución Presupuestal libres de errores significativos ya sea debido a fraude o error.</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La Junta Departamental de Florida es responsable de supervisar el proceso de preparación de la Rendición de Cuentas y Balance de Ejecución Presupuestal de la J</w:t>
      </w:r>
      <w:r w:rsidR="001D53FF">
        <w:rPr>
          <w:rFonts w:ascii="Arial" w:hAnsi="Arial" w:cs="Arial"/>
          <w:bCs/>
          <w:sz w:val="24"/>
          <w:szCs w:val="24"/>
        </w:rPr>
        <w:t>unta Departamental de Florida.</w:t>
      </w:r>
    </w:p>
    <w:p w:rsidR="001A705C" w:rsidRPr="001A705C" w:rsidRDefault="001A705C" w:rsidP="001A705C">
      <w:pPr>
        <w:keepNext/>
        <w:widowControl w:val="0"/>
        <w:spacing w:line="360" w:lineRule="auto"/>
        <w:jc w:val="both"/>
        <w:rPr>
          <w:rFonts w:ascii="Arial" w:hAnsi="Arial" w:cs="Arial"/>
          <w:b/>
          <w:bCs/>
          <w:sz w:val="24"/>
          <w:szCs w:val="24"/>
        </w:rPr>
      </w:pPr>
      <w:r w:rsidRPr="001A705C">
        <w:rPr>
          <w:rFonts w:ascii="Arial" w:hAnsi="Arial" w:cs="Arial"/>
          <w:b/>
          <w:bCs/>
          <w:sz w:val="24"/>
          <w:szCs w:val="24"/>
        </w:rPr>
        <w:t>Responsabilidad del Tribunal de Cuentas por la auditoría de los estados financi</w:t>
      </w:r>
      <w:r w:rsidR="00700DE1">
        <w:rPr>
          <w:rFonts w:ascii="Arial" w:hAnsi="Arial" w:cs="Arial"/>
          <w:b/>
          <w:bCs/>
          <w:sz w:val="24"/>
          <w:szCs w:val="24"/>
        </w:rPr>
        <w:t>eros</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Como parte de una auditoría de acuerdo con las ISSAI referidas en la sección Bases para la Opinión, el Tribunal de Cuentas aplica su juicio profesional y mantiene el escepticismo profesional durante el proceso de auditoría. Asimismo:</w:t>
      </w:r>
    </w:p>
    <w:p w:rsidR="001A705C" w:rsidRPr="001A705C" w:rsidRDefault="001A705C" w:rsidP="001A705C">
      <w:pPr>
        <w:pStyle w:val="Prrafodelista"/>
        <w:keepNext/>
        <w:widowControl w:val="0"/>
        <w:numPr>
          <w:ilvl w:val="0"/>
          <w:numId w:val="3"/>
        </w:numPr>
        <w:suppressAutoHyphens/>
        <w:spacing w:after="0" w:line="360" w:lineRule="auto"/>
        <w:ind w:left="0" w:firstLine="360"/>
        <w:jc w:val="both"/>
        <w:rPr>
          <w:rFonts w:ascii="Arial" w:hAnsi="Arial" w:cs="Arial"/>
          <w:bCs/>
          <w:sz w:val="24"/>
          <w:szCs w:val="24"/>
        </w:rPr>
      </w:pPr>
      <w:r w:rsidRPr="001A705C">
        <w:rPr>
          <w:rFonts w:ascii="Arial" w:hAnsi="Arial" w:cs="Arial"/>
          <w:bCs/>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1A705C" w:rsidRPr="001A705C" w:rsidRDefault="001A705C" w:rsidP="001A705C">
      <w:pPr>
        <w:pStyle w:val="Prrafodelista"/>
        <w:keepNext/>
        <w:widowControl w:val="0"/>
        <w:numPr>
          <w:ilvl w:val="0"/>
          <w:numId w:val="3"/>
        </w:numPr>
        <w:suppressAutoHyphens/>
        <w:spacing w:after="0" w:line="360" w:lineRule="auto"/>
        <w:ind w:left="0" w:firstLine="360"/>
        <w:jc w:val="both"/>
        <w:rPr>
          <w:rFonts w:ascii="Arial" w:hAnsi="Arial" w:cs="Arial"/>
          <w:bCs/>
          <w:sz w:val="24"/>
          <w:szCs w:val="24"/>
        </w:rPr>
      </w:pPr>
      <w:r w:rsidRPr="001A705C">
        <w:rPr>
          <w:rFonts w:ascii="Arial" w:hAnsi="Arial" w:cs="Arial"/>
          <w:bCs/>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1A705C" w:rsidRPr="001A705C" w:rsidRDefault="001A705C" w:rsidP="001A705C">
      <w:pPr>
        <w:pStyle w:val="Prrafodelista"/>
        <w:keepNext/>
        <w:widowControl w:val="0"/>
        <w:numPr>
          <w:ilvl w:val="0"/>
          <w:numId w:val="3"/>
        </w:numPr>
        <w:suppressAutoHyphens/>
        <w:spacing w:after="0" w:line="360" w:lineRule="auto"/>
        <w:ind w:left="0" w:firstLine="360"/>
        <w:jc w:val="both"/>
        <w:rPr>
          <w:rFonts w:ascii="Arial" w:hAnsi="Arial" w:cs="Arial"/>
          <w:bCs/>
          <w:sz w:val="24"/>
          <w:szCs w:val="24"/>
        </w:rPr>
      </w:pPr>
      <w:r w:rsidRPr="001A705C">
        <w:rPr>
          <w:rFonts w:ascii="Arial" w:hAnsi="Arial" w:cs="Arial"/>
          <w:bCs/>
          <w:sz w:val="24"/>
          <w:szCs w:val="24"/>
        </w:rPr>
        <w:t>Evalúa la presentación general, la estructura y  contenido de los estados, incluyendo las revelaciones y si los estados representan las transacciones y eventos subyacentes de un modo que se logre una representación fiel de los mismos.</w:t>
      </w:r>
    </w:p>
    <w:p w:rsidR="001A705C" w:rsidRPr="001A705C" w:rsidRDefault="001A705C" w:rsidP="001A705C">
      <w:pPr>
        <w:keepNext/>
        <w:widowControl w:val="0"/>
        <w:spacing w:line="360" w:lineRule="auto"/>
        <w:jc w:val="both"/>
        <w:rPr>
          <w:rFonts w:ascii="Arial" w:hAnsi="Arial" w:cs="Arial"/>
          <w:bCs/>
          <w:sz w:val="24"/>
          <w:szCs w:val="24"/>
          <w:highlight w:val="yellow"/>
        </w:rPr>
      </w:pP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 xml:space="preserve">El Tribunal de Cuentas se comunicó con la Junta Departamental en relación a los hallazgos significativos de auditoría que se identificaron en </w:t>
      </w:r>
      <w:r w:rsidR="00700DE1">
        <w:rPr>
          <w:rFonts w:ascii="Arial" w:hAnsi="Arial" w:cs="Arial"/>
          <w:bCs/>
          <w:sz w:val="24"/>
          <w:szCs w:val="24"/>
        </w:rPr>
        <w:t>el transcurso de la auditoría.</w:t>
      </w:r>
    </w:p>
    <w:p w:rsidR="001A705C" w:rsidRPr="001A705C" w:rsidRDefault="001A705C" w:rsidP="001A705C">
      <w:pPr>
        <w:keepNext/>
        <w:widowControl w:val="0"/>
        <w:spacing w:line="360" w:lineRule="auto"/>
        <w:jc w:val="both"/>
        <w:rPr>
          <w:rFonts w:ascii="Arial" w:hAnsi="Arial" w:cs="Arial"/>
          <w:b/>
          <w:bCs/>
          <w:sz w:val="24"/>
          <w:szCs w:val="24"/>
        </w:rPr>
      </w:pPr>
      <w:r w:rsidRPr="001A705C">
        <w:rPr>
          <w:rFonts w:ascii="Arial" w:hAnsi="Arial" w:cs="Arial"/>
          <w:b/>
          <w:bCs/>
          <w:sz w:val="24"/>
          <w:szCs w:val="24"/>
        </w:rPr>
        <w:t>Informe de cumplimiento de la normativa vigente</w:t>
      </w:r>
    </w:p>
    <w:p w:rsidR="001A705C" w:rsidRPr="001A705C" w:rsidRDefault="001A705C" w:rsidP="001A705C">
      <w:pPr>
        <w:keepNext/>
        <w:widowControl w:val="0"/>
        <w:spacing w:line="360" w:lineRule="auto"/>
        <w:jc w:val="both"/>
        <w:rPr>
          <w:rFonts w:ascii="Arial" w:hAnsi="Arial" w:cs="Arial"/>
          <w:bCs/>
          <w:sz w:val="24"/>
          <w:szCs w:val="24"/>
          <w:highlight w:val="yellow"/>
        </w:rPr>
      </w:pPr>
      <w:r w:rsidRPr="001A705C">
        <w:rPr>
          <w:rFonts w:ascii="Arial" w:hAnsi="Arial" w:cs="Arial"/>
          <w:bCs/>
          <w:sz w:val="24"/>
          <w:szCs w:val="24"/>
        </w:rPr>
        <w:t>Respecto a los incumplimientos mencionados en el párrafo Opinión respecto al cumplimiento de la normativa legal aplicable corresponde señalar lo siguiente:</w:t>
      </w:r>
    </w:p>
    <w:p w:rsidR="001A705C" w:rsidRPr="001A705C" w:rsidRDefault="001A705C" w:rsidP="001A705C">
      <w:pPr>
        <w:keepNext/>
        <w:widowControl w:val="0"/>
        <w:spacing w:line="360" w:lineRule="auto"/>
        <w:jc w:val="both"/>
        <w:rPr>
          <w:rFonts w:ascii="Arial" w:hAnsi="Arial" w:cs="Arial"/>
          <w:b/>
          <w:bCs/>
          <w:sz w:val="24"/>
          <w:szCs w:val="24"/>
        </w:rPr>
      </w:pPr>
      <w:r w:rsidRPr="001A705C">
        <w:rPr>
          <w:rFonts w:ascii="Arial" w:hAnsi="Arial" w:cs="Arial"/>
          <w:b/>
          <w:bCs/>
          <w:sz w:val="24"/>
          <w:szCs w:val="24"/>
        </w:rPr>
        <w:t xml:space="preserve">1) Artículo 295 de la Constitución de la República y Resolución del </w:t>
      </w:r>
      <w:r w:rsidR="00700DE1">
        <w:rPr>
          <w:rFonts w:ascii="Arial" w:hAnsi="Arial" w:cs="Arial"/>
          <w:b/>
          <w:bCs/>
          <w:sz w:val="24"/>
          <w:szCs w:val="24"/>
        </w:rPr>
        <w:t>Tribunal de Cuentas de 22/12/10</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En el Dictamen de este Cuerpo correspondiente a la Modificación Presupuestal para el periodo 2017-2020 de la Junta, se mantuvo la observación a la Resolución de la Junta Departamental de Florida Nº 15/2013 por la que se unifica la normativa que regula la compensación de gastos y pasajes de los señores Ediles. Dicha Resolución fue observada por este Tribunal en sesión del 10/07/2013, en virtud de que la reglamentación aprobada colide con el art. 295 de la Constitución de la República  que dispone que “los miembros de las Juntas Departamentales y Locales serán honorarios”. El monto fijo establecido en la Resolución 15/2013, la no exigencia de rendición de cuentas documentada (se regula como facultativa del Edil y no afecta el derecho a percibir la partida) y su reajuste trimestral por el Índice Medio de Salarios determina que los viáticos a abonar no tengan carácter resarcitorio de los gastos en que incurren los Ediles en el cumplimiento de sus funciones. Asimismo, la Resolución referida no cumple con lo establecido en Resolución del Tribunal de Cuentas de fecha 22/12/2010 (publicada en el Diario Oficial del 31/12/2010)</w:t>
      </w:r>
      <w:r w:rsidR="001D53FF">
        <w:rPr>
          <w:rFonts w:ascii="Arial" w:hAnsi="Arial" w:cs="Arial"/>
          <w:bCs/>
          <w:sz w:val="24"/>
          <w:szCs w:val="24"/>
        </w:rPr>
        <w:t>.</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Respecto de la asistencia a Congresos rige la Resolución 33/2010 en redacción dada por Resolución 48/2012, que fija los viáticos diarios por congresos internacionales en un 75% del monto establecido en la escala de viáticos vigente para funcionarios del Ministerio de Relaciones Exteriores,  y en $ 2.400, reajustable trimestralmente en base al Índice Medio de Salarios,  la asistencia a congresos nacionales, congresos de comisiones, encuentros regionales, reuniones de la Mesa Permanente y Comisiones del Congreso Nacional de Ediles. No se establece ningún tipo de rendición de cuentas por dichos viáticos, lo que colide con el art. 295 de la Constitución de la República y con lo establecido en Resolución del Tribunal de Cuentas de fecha 22/12/2010 (publicada en el Diario Oficial del 31/12/2010)</w:t>
      </w:r>
      <w:r w:rsidR="001D53FF">
        <w:rPr>
          <w:rFonts w:ascii="Arial" w:hAnsi="Arial" w:cs="Arial"/>
          <w:bCs/>
          <w:sz w:val="24"/>
          <w:szCs w:val="24"/>
        </w:rPr>
        <w:t>.</w:t>
      </w:r>
    </w:p>
    <w:p w:rsidR="001A705C" w:rsidRPr="001A705C" w:rsidRDefault="001A705C" w:rsidP="001A705C">
      <w:pPr>
        <w:keepNext/>
        <w:widowControl w:val="0"/>
        <w:spacing w:line="360" w:lineRule="auto"/>
        <w:jc w:val="both"/>
        <w:rPr>
          <w:rFonts w:ascii="Arial" w:hAnsi="Arial" w:cs="Arial"/>
          <w:b/>
          <w:bCs/>
          <w:sz w:val="24"/>
          <w:szCs w:val="24"/>
        </w:rPr>
      </w:pPr>
      <w:r w:rsidRPr="001A705C">
        <w:rPr>
          <w:rFonts w:ascii="Arial" w:hAnsi="Arial" w:cs="Arial"/>
          <w:b/>
          <w:bCs/>
          <w:sz w:val="24"/>
          <w:szCs w:val="24"/>
        </w:rPr>
        <w:t>2) Artículo 273 de la Constitución de la República</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 xml:space="preserve">La partida prevista en el </w:t>
      </w:r>
      <w:proofErr w:type="spellStart"/>
      <w:r w:rsidRPr="001A705C">
        <w:rPr>
          <w:rFonts w:ascii="Arial" w:hAnsi="Arial" w:cs="Arial"/>
          <w:bCs/>
          <w:sz w:val="24"/>
          <w:szCs w:val="24"/>
        </w:rPr>
        <w:t>Planillado</w:t>
      </w:r>
      <w:proofErr w:type="spellEnd"/>
      <w:r w:rsidRPr="001A705C">
        <w:rPr>
          <w:rFonts w:ascii="Arial" w:hAnsi="Arial" w:cs="Arial"/>
          <w:bCs/>
          <w:sz w:val="24"/>
          <w:szCs w:val="24"/>
        </w:rPr>
        <w:t xml:space="preserve"> de la Modificación Presupuestal 2017-2020 como Grupo 5 “Transferencias a Instituciones sin fines de lucro” incluye erogaciones con instituciones del Departamento, como Centro Discapacitados Jacobo </w:t>
      </w:r>
      <w:proofErr w:type="spellStart"/>
      <w:r w:rsidRPr="001A705C">
        <w:rPr>
          <w:rFonts w:ascii="Arial" w:hAnsi="Arial" w:cs="Arial"/>
          <w:bCs/>
          <w:sz w:val="24"/>
          <w:szCs w:val="24"/>
        </w:rPr>
        <w:t>Zibil</w:t>
      </w:r>
      <w:proofErr w:type="spellEnd"/>
      <w:r w:rsidRPr="001A705C">
        <w:rPr>
          <w:rFonts w:ascii="Arial" w:hAnsi="Arial" w:cs="Arial"/>
          <w:bCs/>
          <w:sz w:val="24"/>
          <w:szCs w:val="24"/>
        </w:rPr>
        <w:t>, Hogar de Ancianos de Florida, Fray Marcos, adhesiones a actividades de Centros de Enseñanza, etc., colide con lo dispuesto por el Artículo 273 de la Constitución de la República. Las mencionadas partidas se ejecutaron durante el ejercicio 2017.</w:t>
      </w:r>
    </w:p>
    <w:p w:rsidR="001A705C" w:rsidRPr="001A705C" w:rsidRDefault="001A705C" w:rsidP="001A705C">
      <w:pPr>
        <w:keepNext/>
        <w:widowControl w:val="0"/>
        <w:spacing w:line="360" w:lineRule="auto"/>
        <w:jc w:val="both"/>
        <w:rPr>
          <w:rFonts w:ascii="Arial" w:hAnsi="Arial" w:cs="Arial"/>
          <w:b/>
          <w:bCs/>
          <w:sz w:val="24"/>
          <w:szCs w:val="24"/>
        </w:rPr>
      </w:pPr>
      <w:r w:rsidRPr="001A705C">
        <w:rPr>
          <w:rFonts w:ascii="Arial" w:hAnsi="Arial" w:cs="Arial"/>
          <w:b/>
          <w:bCs/>
          <w:sz w:val="24"/>
          <w:szCs w:val="24"/>
        </w:rPr>
        <w:t>3) Artículo 86 de la Constitución de la República</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La Junta abonó compensaciones a los funcionarios sin norma presupuestal que lo habilite. Dichas partidas fueron establecidas por Resoluciones de Presidencia Nº 735/03/17y Nº 704/02/17, las cuales fueron observadas en su oportunidad por la Contadora Delegada.</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
          <w:bCs/>
          <w:sz w:val="24"/>
          <w:szCs w:val="24"/>
        </w:rPr>
        <w:t>4) Artículo 14 del TOCAF</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Se ejecutaron gastos siendo la fecha de la factura anterior a la fecha en la que fueron ordenados los mismos, contraviniendo lo dispuesto por el referido artículo. Dichos gastos fueron observados por la Contadora Delegada.</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
          <w:bCs/>
          <w:sz w:val="24"/>
          <w:szCs w:val="24"/>
        </w:rPr>
        <w:t>5) Artículo 15 del TOCAF</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Se ejecutaron gastos sin verificar previamente la existencia de disponibilidad presupuestal, los cuales fueron observados en su oportunidad por la Contadora Delegada.</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
          <w:bCs/>
          <w:sz w:val="24"/>
          <w:szCs w:val="24"/>
        </w:rPr>
        <w:t>6) Artículo 23 del TOCAF</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Se realizaron pagos que no contaron con la respectiva orden de pago con las formalidades exigidas por la citada norma, los cuales fueron observados en su oportunidad por la Contadora Delegada.</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
          <w:bCs/>
          <w:sz w:val="24"/>
          <w:szCs w:val="24"/>
        </w:rPr>
        <w:t>7) Artículo 102 Numeral 3) del TOCAF</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Al comprometerse los gastos, en algunos casos no se efectuó la afectación previa de los objetos correspondientes, incumpliendo lo dispuesto por esta norma. Los mismos fueron observados en su oportunidad por la Contadora Delegada.</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
          <w:bCs/>
          <w:sz w:val="24"/>
          <w:szCs w:val="24"/>
        </w:rPr>
        <w:t>8) Artículo 1 del Decreto Nº 342/92</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Se realizaron pagos por parte de la Tesorería de la Junta a un proveedor de servicios que no contaba con los certificados de BPS y DGI vigentes.</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
          <w:bCs/>
          <w:sz w:val="24"/>
          <w:szCs w:val="24"/>
        </w:rPr>
        <w:t>9) Artículo 5 del Decreto Nº 66/2011</w:t>
      </w:r>
    </w:p>
    <w:p w:rsidR="001A705C" w:rsidRPr="001A705C" w:rsidRDefault="001A705C" w:rsidP="001A705C">
      <w:pPr>
        <w:keepNext/>
        <w:widowControl w:val="0"/>
        <w:spacing w:line="360" w:lineRule="auto"/>
        <w:jc w:val="both"/>
        <w:rPr>
          <w:rFonts w:ascii="Arial" w:hAnsi="Arial" w:cs="Arial"/>
          <w:bCs/>
          <w:sz w:val="24"/>
          <w:szCs w:val="24"/>
        </w:rPr>
      </w:pPr>
      <w:r w:rsidRPr="001A705C">
        <w:rPr>
          <w:rFonts w:ascii="Arial" w:hAnsi="Arial" w:cs="Arial"/>
          <w:bCs/>
          <w:sz w:val="24"/>
          <w:szCs w:val="24"/>
        </w:rPr>
        <w:t xml:space="preserve">Durante el ejercicio se realizaron pagos a empresas contribuyentes de la modalidad de </w:t>
      </w:r>
      <w:proofErr w:type="spellStart"/>
      <w:r w:rsidRPr="001A705C">
        <w:rPr>
          <w:rFonts w:ascii="Arial" w:hAnsi="Arial" w:cs="Arial"/>
          <w:bCs/>
          <w:sz w:val="24"/>
          <w:szCs w:val="24"/>
        </w:rPr>
        <w:t>monotributo</w:t>
      </w:r>
      <w:proofErr w:type="spellEnd"/>
      <w:r w:rsidRPr="001A705C">
        <w:rPr>
          <w:rFonts w:ascii="Arial" w:hAnsi="Arial" w:cs="Arial"/>
          <w:bCs/>
          <w:sz w:val="24"/>
          <w:szCs w:val="24"/>
        </w:rPr>
        <w:t>.</w:t>
      </w:r>
    </w:p>
    <w:p w:rsidR="001A705C" w:rsidRPr="001A705C" w:rsidRDefault="001A705C" w:rsidP="001A705C">
      <w:pPr>
        <w:keepNext/>
        <w:widowControl w:val="0"/>
        <w:spacing w:line="360" w:lineRule="auto"/>
        <w:ind w:left="4248" w:firstLine="708"/>
        <w:jc w:val="both"/>
        <w:rPr>
          <w:rFonts w:ascii="Arial" w:hAnsi="Arial" w:cs="Arial"/>
          <w:sz w:val="24"/>
          <w:szCs w:val="24"/>
        </w:rPr>
      </w:pPr>
      <w:r w:rsidRPr="001A705C">
        <w:rPr>
          <w:rFonts w:ascii="Arial" w:hAnsi="Arial" w:cs="Arial"/>
          <w:sz w:val="24"/>
          <w:szCs w:val="24"/>
        </w:rPr>
        <w:t>Montevideo, 8 de junio  de 2018</w:t>
      </w:r>
    </w:p>
    <w:p w:rsidR="001A705C" w:rsidRPr="001A705C" w:rsidRDefault="001A705C" w:rsidP="001A705C">
      <w:pPr>
        <w:keepNext/>
        <w:widowControl w:val="0"/>
        <w:spacing w:line="360" w:lineRule="auto"/>
        <w:jc w:val="both"/>
        <w:rPr>
          <w:rFonts w:ascii="Arial" w:hAnsi="Arial" w:cs="Arial"/>
          <w:color w:val="000000"/>
          <w:sz w:val="24"/>
          <w:szCs w:val="24"/>
          <w:highlight w:val="yellow"/>
        </w:rPr>
      </w:pPr>
      <w:proofErr w:type="spellStart"/>
      <w:proofErr w:type="gramStart"/>
      <w:r w:rsidRPr="001A705C">
        <w:rPr>
          <w:rFonts w:ascii="Arial" w:hAnsi="Arial" w:cs="Arial"/>
          <w:sz w:val="24"/>
          <w:szCs w:val="24"/>
        </w:rPr>
        <w:t>ag</w:t>
      </w:r>
      <w:proofErr w:type="spellEnd"/>
      <w:proofErr w:type="gramEnd"/>
    </w:p>
    <w:p w:rsidR="001A705C" w:rsidRDefault="001A705C"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D53FF" w:rsidRDefault="001D53FF" w:rsidP="001A705C">
      <w:pPr>
        <w:keepNext/>
        <w:widowControl w:val="0"/>
        <w:spacing w:after="0" w:line="360" w:lineRule="auto"/>
        <w:rPr>
          <w:rFonts w:ascii="Arial" w:hAnsi="Arial" w:cs="Arial"/>
          <w:b/>
          <w:sz w:val="24"/>
          <w:szCs w:val="24"/>
          <w:lang w:val="es-ES"/>
        </w:rPr>
      </w:pPr>
    </w:p>
    <w:p w:rsidR="001A705C" w:rsidRPr="001A705C" w:rsidRDefault="001A705C" w:rsidP="001A705C">
      <w:pPr>
        <w:keepNext/>
        <w:widowControl w:val="0"/>
        <w:jc w:val="center"/>
        <w:rPr>
          <w:rFonts w:ascii="Arial" w:hAnsi="Arial" w:cs="Arial"/>
          <w:b/>
          <w:bCs/>
          <w:sz w:val="24"/>
          <w:szCs w:val="24"/>
          <w:lang w:val="es-ES"/>
        </w:rPr>
      </w:pPr>
      <w:r w:rsidRPr="001A705C">
        <w:rPr>
          <w:rFonts w:ascii="Arial" w:hAnsi="Arial" w:cs="Arial"/>
          <w:b/>
          <w:bCs/>
          <w:sz w:val="24"/>
          <w:szCs w:val="24"/>
          <w:lang w:val="es-ES"/>
        </w:rPr>
        <w:t>INFORME A LA ADMINISTRACIÓN</w:t>
      </w:r>
    </w:p>
    <w:p w:rsidR="001A705C" w:rsidRPr="001A705C" w:rsidRDefault="001A705C" w:rsidP="001A705C">
      <w:pPr>
        <w:keepNext/>
        <w:widowControl w:val="0"/>
        <w:rPr>
          <w:rFonts w:ascii="Arial" w:hAnsi="Arial" w:cs="Arial"/>
          <w:sz w:val="24"/>
          <w:szCs w:val="24"/>
          <w:lang w:val="es-ES"/>
        </w:rPr>
      </w:pPr>
    </w:p>
    <w:p w:rsidR="001A705C" w:rsidRPr="001A705C" w:rsidRDefault="001A705C" w:rsidP="001A705C">
      <w:pPr>
        <w:pStyle w:val="Textoindependiente"/>
        <w:keepNext/>
        <w:widowControl w:val="0"/>
        <w:spacing w:line="360" w:lineRule="auto"/>
        <w:rPr>
          <w:rFonts w:cs="Arial"/>
          <w:szCs w:val="24"/>
        </w:rPr>
      </w:pPr>
      <w:r w:rsidRPr="001A705C">
        <w:rPr>
          <w:rFonts w:cs="Arial"/>
          <w:szCs w:val="24"/>
        </w:rPr>
        <w:t>El Tribunal de Cuentas ha examinado la Rendición de Cuentas y Balance de Ejecución Presupuestal de la Junta Departamental de Florida por el ejercicio finalizado al 31/12/2017 y ha emitido su correspondiente Dictamen.</w:t>
      </w:r>
    </w:p>
    <w:p w:rsidR="001A705C" w:rsidRPr="001A705C" w:rsidRDefault="001A705C" w:rsidP="001D53FF">
      <w:pPr>
        <w:keepNext/>
        <w:widowControl w:val="0"/>
        <w:spacing w:line="360" w:lineRule="auto"/>
        <w:jc w:val="both"/>
        <w:rPr>
          <w:rFonts w:ascii="Arial" w:hAnsi="Arial" w:cs="Arial"/>
          <w:sz w:val="24"/>
          <w:szCs w:val="24"/>
        </w:rPr>
      </w:pPr>
      <w:r w:rsidRPr="001A705C">
        <w:rPr>
          <w:rFonts w:ascii="Arial" w:hAnsi="Arial" w:cs="Arial"/>
          <w:sz w:val="24"/>
          <w:szCs w:val="24"/>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1A705C" w:rsidRPr="001A705C" w:rsidRDefault="001A705C" w:rsidP="001D53FF">
      <w:pPr>
        <w:keepNext/>
        <w:widowControl w:val="0"/>
        <w:spacing w:line="360" w:lineRule="auto"/>
        <w:jc w:val="both"/>
        <w:rPr>
          <w:rFonts w:ascii="Arial" w:hAnsi="Arial" w:cs="Arial"/>
          <w:sz w:val="24"/>
          <w:szCs w:val="24"/>
        </w:rPr>
      </w:pPr>
      <w:r w:rsidRPr="001A705C">
        <w:rPr>
          <w:rFonts w:ascii="Arial" w:hAnsi="Arial" w:cs="Arial"/>
          <w:sz w:val="24"/>
          <w:szCs w:val="24"/>
        </w:rPr>
        <w:t xml:space="preserve">También se agregan las principales recomendaciones que </w:t>
      </w:r>
      <w:proofErr w:type="gramStart"/>
      <w:r w:rsidRPr="001A705C">
        <w:rPr>
          <w:rFonts w:ascii="Arial" w:hAnsi="Arial" w:cs="Arial"/>
          <w:sz w:val="24"/>
          <w:szCs w:val="24"/>
        </w:rPr>
        <w:t>deberá</w:t>
      </w:r>
      <w:proofErr w:type="gramEnd"/>
      <w:r w:rsidRPr="001A705C">
        <w:rPr>
          <w:rFonts w:ascii="Arial" w:hAnsi="Arial" w:cs="Arial"/>
          <w:sz w:val="24"/>
          <w:szCs w:val="24"/>
        </w:rPr>
        <w:t xml:space="preserve"> atender el Organismo y una evaluación del cumplimiento de las recomendaciones presentadas en el informe de auditoría del ejercicio anterior.</w:t>
      </w:r>
    </w:p>
    <w:p w:rsidR="001A705C" w:rsidRPr="001A705C" w:rsidRDefault="001D53FF" w:rsidP="001A705C">
      <w:pPr>
        <w:keepNext/>
        <w:widowControl w:val="0"/>
        <w:rPr>
          <w:rFonts w:ascii="Arial" w:hAnsi="Arial" w:cs="Arial"/>
          <w:b/>
          <w:sz w:val="24"/>
          <w:szCs w:val="24"/>
          <w:lang w:val="es-ES"/>
        </w:rPr>
      </w:pPr>
      <w:r>
        <w:rPr>
          <w:rFonts w:ascii="Arial" w:hAnsi="Arial" w:cs="Arial"/>
          <w:b/>
          <w:sz w:val="24"/>
          <w:szCs w:val="24"/>
          <w:lang w:val="es-ES"/>
        </w:rPr>
        <w:t>Presentación de los Estados</w:t>
      </w:r>
    </w:p>
    <w:p w:rsidR="001A705C" w:rsidRPr="001A705C" w:rsidRDefault="001A705C" w:rsidP="001D53FF">
      <w:pPr>
        <w:keepNext/>
        <w:widowControl w:val="0"/>
        <w:spacing w:line="360" w:lineRule="auto"/>
        <w:jc w:val="both"/>
        <w:rPr>
          <w:rFonts w:ascii="Arial" w:hAnsi="Arial" w:cs="Arial"/>
          <w:spacing w:val="-3"/>
          <w:sz w:val="24"/>
          <w:szCs w:val="24"/>
        </w:rPr>
      </w:pPr>
      <w:r w:rsidRPr="001A705C">
        <w:rPr>
          <w:rFonts w:ascii="Arial" w:hAnsi="Arial" w:cs="Arial"/>
          <w:sz w:val="24"/>
          <w:szCs w:val="24"/>
        </w:rPr>
        <w:t>La Rendición de Cuentas y Balance de Ejecución Presupuestal de la Junta Departamental de Florida correspondientes al ejercicio finalizado el 31/12/2017</w:t>
      </w:r>
      <w:r w:rsidRPr="001A705C">
        <w:rPr>
          <w:rFonts w:ascii="Arial" w:hAnsi="Arial" w:cs="Arial"/>
          <w:bCs/>
          <w:sz w:val="24"/>
          <w:szCs w:val="24"/>
          <w:lang w:val="es-ES"/>
        </w:rPr>
        <w:t xml:space="preserve">, fueron remitidos por Oficio ZC No. 3/2018 </w:t>
      </w:r>
      <w:r w:rsidRPr="001A705C">
        <w:rPr>
          <w:rFonts w:ascii="Arial" w:hAnsi="Arial" w:cs="Arial"/>
          <w:spacing w:val="-3"/>
          <w:sz w:val="24"/>
          <w:szCs w:val="24"/>
        </w:rPr>
        <w:t>para su examen a este Tribunal el 01/03/2018.</w:t>
      </w:r>
    </w:p>
    <w:p w:rsidR="001A705C" w:rsidRPr="001A705C" w:rsidRDefault="001A705C" w:rsidP="001D53FF">
      <w:pPr>
        <w:keepNext/>
        <w:widowControl w:val="0"/>
        <w:spacing w:line="360" w:lineRule="auto"/>
        <w:jc w:val="both"/>
        <w:rPr>
          <w:rFonts w:ascii="Arial" w:hAnsi="Arial" w:cs="Arial"/>
          <w:spacing w:val="-3"/>
          <w:sz w:val="24"/>
          <w:szCs w:val="24"/>
          <w:lang w:val="es-ES"/>
        </w:rPr>
      </w:pPr>
      <w:r w:rsidRPr="001A705C">
        <w:rPr>
          <w:rFonts w:ascii="Arial" w:hAnsi="Arial" w:cs="Arial"/>
          <w:spacing w:val="-3"/>
          <w:sz w:val="24"/>
          <w:szCs w:val="24"/>
        </w:rPr>
        <w:t>Dichos estados se presentan de acuerdo a</w:t>
      </w:r>
      <w:r w:rsidRPr="001A705C">
        <w:rPr>
          <w:rFonts w:ascii="Arial" w:hAnsi="Arial" w:cs="Arial"/>
          <w:spacing w:val="-3"/>
          <w:sz w:val="24"/>
          <w:szCs w:val="24"/>
          <w:lang w:val="es-ES"/>
        </w:rPr>
        <w:t xml:space="preserve"> la Resolución del Tribunal del 28/02/2004.</w:t>
      </w:r>
    </w:p>
    <w:p w:rsidR="001A705C" w:rsidRPr="001A705C" w:rsidRDefault="001A705C" w:rsidP="001D53FF">
      <w:pPr>
        <w:keepNext/>
        <w:widowControl w:val="0"/>
        <w:spacing w:line="360" w:lineRule="auto"/>
        <w:jc w:val="both"/>
        <w:rPr>
          <w:rFonts w:ascii="Arial" w:hAnsi="Arial" w:cs="Arial"/>
          <w:color w:val="000000"/>
          <w:sz w:val="24"/>
          <w:szCs w:val="24"/>
          <w:lang w:val="es-ES" w:eastAsia="zh-CN"/>
        </w:rPr>
      </w:pPr>
      <w:r w:rsidRPr="001A705C">
        <w:rPr>
          <w:rFonts w:ascii="Arial" w:hAnsi="Arial" w:cs="Arial"/>
          <w:color w:val="000000"/>
          <w:sz w:val="24"/>
          <w:szCs w:val="24"/>
          <w:lang w:val="es-ES" w:eastAsia="zh-CN"/>
        </w:rPr>
        <w:t xml:space="preserve">En base a los estados incluidos en </w:t>
      </w:r>
      <w:smartTag w:uri="urn:schemas-microsoft-com:office:smarttags" w:element="PersonName">
        <w:smartTagPr>
          <w:attr w:name="ProductID" w:val="la Rendici￳n"/>
        </w:smartTagPr>
        <w:r w:rsidRPr="001A705C">
          <w:rPr>
            <w:rFonts w:ascii="Arial" w:hAnsi="Arial" w:cs="Arial"/>
            <w:color w:val="000000"/>
            <w:sz w:val="24"/>
            <w:szCs w:val="24"/>
            <w:lang w:val="es-ES" w:eastAsia="zh-CN"/>
          </w:rPr>
          <w:t>la Rendición</w:t>
        </w:r>
      </w:smartTag>
      <w:r w:rsidRPr="001A705C">
        <w:rPr>
          <w:rFonts w:ascii="Arial" w:hAnsi="Arial" w:cs="Arial"/>
          <w:color w:val="000000"/>
          <w:sz w:val="24"/>
          <w:szCs w:val="24"/>
          <w:lang w:val="es-ES" w:eastAsia="zh-CN"/>
        </w:rPr>
        <w:t xml:space="preserve"> de Cuentas, se presenta el siguiente resumen de la situación en materia de fondos de </w:t>
      </w:r>
      <w:smartTag w:uri="urn:schemas-microsoft-com:office:smarttags" w:element="PersonName">
        <w:smartTagPr>
          <w:attr w:name="ProductID" w:val="la Junta Departamental"/>
        </w:smartTagPr>
        <w:r w:rsidRPr="001A705C">
          <w:rPr>
            <w:rFonts w:ascii="Arial" w:hAnsi="Arial" w:cs="Arial"/>
            <w:color w:val="000000"/>
            <w:sz w:val="24"/>
            <w:szCs w:val="24"/>
            <w:lang w:val="es-ES" w:eastAsia="zh-CN"/>
          </w:rPr>
          <w:t>la Junta Departamental</w:t>
        </w:r>
      </w:smartTag>
      <w:r w:rsidRPr="001A705C">
        <w:rPr>
          <w:rFonts w:ascii="Arial" w:hAnsi="Arial" w:cs="Arial"/>
          <w:color w:val="000000"/>
          <w:sz w:val="24"/>
          <w:szCs w:val="24"/>
          <w:lang w:val="es-ES" w:eastAsia="zh-CN"/>
        </w:rPr>
        <w:t xml:space="preserve"> con relación a </w:t>
      </w:r>
      <w:smartTag w:uri="urn:schemas-microsoft-com:office:smarttags" w:element="PersonName">
        <w:smartTagPr>
          <w:attr w:name="ProductID" w:val="la Intendencia"/>
        </w:smartTagPr>
        <w:r w:rsidRPr="001A705C">
          <w:rPr>
            <w:rFonts w:ascii="Arial" w:hAnsi="Arial" w:cs="Arial"/>
            <w:color w:val="000000"/>
            <w:sz w:val="24"/>
            <w:szCs w:val="24"/>
            <w:lang w:val="es-ES" w:eastAsia="zh-CN"/>
          </w:rPr>
          <w:t>la Intendencia</w:t>
        </w:r>
      </w:smartTag>
      <w:r w:rsidRPr="001A705C">
        <w:rPr>
          <w:rFonts w:ascii="Arial" w:hAnsi="Arial" w:cs="Arial"/>
          <w:color w:val="000000"/>
          <w:sz w:val="24"/>
          <w:szCs w:val="24"/>
          <w:lang w:val="es-ES" w:eastAsia="zh-CN"/>
        </w:rPr>
        <w:t>, en pesos uruguayos:</w:t>
      </w:r>
    </w:p>
    <w:p w:rsidR="001A705C" w:rsidRDefault="001A705C" w:rsidP="001A705C">
      <w:pPr>
        <w:keepNext/>
        <w:widowControl w:val="0"/>
        <w:suppressAutoHyphens/>
        <w:rPr>
          <w:rFonts w:ascii="Arial" w:hAnsi="Arial" w:cs="Arial"/>
          <w:color w:val="000000"/>
          <w:sz w:val="24"/>
          <w:szCs w:val="24"/>
          <w:lang w:val="es-ES" w:eastAsia="zh-CN"/>
        </w:rPr>
      </w:pPr>
    </w:p>
    <w:p w:rsidR="001D53FF" w:rsidRDefault="001D53FF" w:rsidP="001A705C">
      <w:pPr>
        <w:keepNext/>
        <w:widowControl w:val="0"/>
        <w:suppressAutoHyphens/>
        <w:rPr>
          <w:rFonts w:ascii="Arial" w:hAnsi="Arial" w:cs="Arial"/>
          <w:color w:val="000000"/>
          <w:sz w:val="24"/>
          <w:szCs w:val="24"/>
          <w:lang w:val="es-ES" w:eastAsia="zh-CN"/>
        </w:rPr>
      </w:pPr>
    </w:p>
    <w:p w:rsidR="001D53FF" w:rsidRPr="001A705C" w:rsidRDefault="001D53FF" w:rsidP="001A705C">
      <w:pPr>
        <w:keepNext/>
        <w:widowControl w:val="0"/>
        <w:suppressAutoHyphens/>
        <w:rPr>
          <w:rFonts w:ascii="Arial" w:hAnsi="Arial" w:cs="Arial"/>
          <w:color w:val="000000"/>
          <w:sz w:val="24"/>
          <w:szCs w:val="24"/>
          <w:lang w:val="es-ES" w:eastAsia="zh-CN"/>
        </w:rPr>
      </w:pPr>
    </w:p>
    <w:tbl>
      <w:tblPr>
        <w:tblW w:w="6682" w:type="dxa"/>
        <w:tblInd w:w="914" w:type="dxa"/>
        <w:tblCellMar>
          <w:left w:w="70" w:type="dxa"/>
          <w:right w:w="70" w:type="dxa"/>
        </w:tblCellMar>
        <w:tblLook w:val="04A0" w:firstRow="1" w:lastRow="0" w:firstColumn="1" w:lastColumn="0" w:noHBand="0" w:noVBand="1"/>
      </w:tblPr>
      <w:tblGrid>
        <w:gridCol w:w="4220"/>
        <w:gridCol w:w="1208"/>
        <w:gridCol w:w="1368"/>
      </w:tblGrid>
      <w:tr w:rsidR="001A705C" w:rsidRPr="001A705C" w:rsidTr="00325BE6">
        <w:trPr>
          <w:trHeight w:val="315"/>
        </w:trPr>
        <w:tc>
          <w:tcPr>
            <w:tcW w:w="4220"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rPr>
                <w:rFonts w:ascii="Arial" w:hAnsi="Arial" w:cs="Arial"/>
                <w:color w:val="000000"/>
                <w:sz w:val="24"/>
                <w:szCs w:val="24"/>
                <w:lang w:val="es-ES"/>
              </w:rPr>
            </w:pPr>
            <w:r w:rsidRPr="001A705C">
              <w:rPr>
                <w:rFonts w:ascii="Arial" w:hAnsi="Arial" w:cs="Arial"/>
                <w:color w:val="000000"/>
                <w:sz w:val="24"/>
                <w:szCs w:val="24"/>
                <w:lang w:val="es-ES"/>
              </w:rPr>
              <w:t>Saldo de Caja y Banco (Disponibilidades)</w:t>
            </w:r>
          </w:p>
        </w:tc>
        <w:tc>
          <w:tcPr>
            <w:tcW w:w="1200"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jc w:val="center"/>
              <w:rPr>
                <w:rFonts w:ascii="Arial" w:hAnsi="Arial" w:cs="Arial"/>
                <w:color w:val="000000"/>
                <w:sz w:val="24"/>
                <w:szCs w:val="24"/>
                <w:lang w:val="es-ES"/>
              </w:rPr>
            </w:pPr>
          </w:p>
        </w:tc>
        <w:tc>
          <w:tcPr>
            <w:tcW w:w="1262"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jc w:val="center"/>
              <w:rPr>
                <w:rFonts w:ascii="Arial" w:hAnsi="Arial" w:cs="Arial"/>
                <w:color w:val="000000"/>
                <w:sz w:val="24"/>
                <w:szCs w:val="24"/>
                <w:lang w:val="es-ES"/>
              </w:rPr>
            </w:pPr>
            <w:r w:rsidRPr="001A705C">
              <w:rPr>
                <w:rFonts w:ascii="Arial" w:hAnsi="Arial" w:cs="Arial"/>
                <w:color w:val="000000"/>
                <w:sz w:val="24"/>
                <w:szCs w:val="24"/>
                <w:lang w:val="es-ES"/>
              </w:rPr>
              <w:t>8:214.980</w:t>
            </w:r>
          </w:p>
        </w:tc>
      </w:tr>
      <w:tr w:rsidR="001A705C" w:rsidRPr="001A705C" w:rsidTr="00325BE6">
        <w:trPr>
          <w:trHeight w:val="315"/>
        </w:trPr>
        <w:tc>
          <w:tcPr>
            <w:tcW w:w="4220"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rPr>
                <w:rFonts w:ascii="Arial" w:hAnsi="Arial" w:cs="Arial"/>
                <w:color w:val="000000"/>
                <w:sz w:val="24"/>
                <w:szCs w:val="24"/>
                <w:lang w:val="es-ES"/>
              </w:rPr>
            </w:pPr>
            <w:r w:rsidRPr="001A705C">
              <w:rPr>
                <w:rFonts w:ascii="Arial" w:hAnsi="Arial" w:cs="Arial"/>
                <w:color w:val="000000"/>
                <w:sz w:val="24"/>
                <w:szCs w:val="24"/>
                <w:lang w:val="es-ES"/>
              </w:rPr>
              <w:t>Menos:</w:t>
            </w:r>
          </w:p>
        </w:tc>
        <w:tc>
          <w:tcPr>
            <w:tcW w:w="1200"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jc w:val="center"/>
              <w:rPr>
                <w:rFonts w:ascii="Arial" w:hAnsi="Arial" w:cs="Arial"/>
                <w:color w:val="000000"/>
                <w:sz w:val="24"/>
                <w:szCs w:val="24"/>
                <w:lang w:val="es-ES"/>
              </w:rPr>
            </w:pPr>
          </w:p>
        </w:tc>
        <w:tc>
          <w:tcPr>
            <w:tcW w:w="1262" w:type="dxa"/>
            <w:tcBorders>
              <w:top w:val="nil"/>
              <w:left w:val="nil"/>
              <w:bottom w:val="nil"/>
              <w:right w:val="nil"/>
            </w:tcBorders>
            <w:shd w:val="clear" w:color="auto" w:fill="auto"/>
            <w:noWrap/>
            <w:vAlign w:val="bottom"/>
          </w:tcPr>
          <w:p w:rsidR="001A705C" w:rsidRPr="001A705C" w:rsidRDefault="001A705C" w:rsidP="001A705C">
            <w:pPr>
              <w:keepNext/>
              <w:widowControl w:val="0"/>
              <w:spacing w:line="240" w:lineRule="auto"/>
              <w:jc w:val="center"/>
              <w:rPr>
                <w:rFonts w:ascii="Arial" w:hAnsi="Arial" w:cs="Arial"/>
                <w:color w:val="000000"/>
                <w:sz w:val="24"/>
                <w:szCs w:val="24"/>
                <w:lang w:val="es-ES"/>
              </w:rPr>
            </w:pPr>
          </w:p>
        </w:tc>
      </w:tr>
      <w:tr w:rsidR="001A705C" w:rsidRPr="001A705C" w:rsidTr="00325BE6">
        <w:trPr>
          <w:trHeight w:val="315"/>
        </w:trPr>
        <w:tc>
          <w:tcPr>
            <w:tcW w:w="4220"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rPr>
                <w:rFonts w:ascii="Arial" w:hAnsi="Arial" w:cs="Arial"/>
                <w:color w:val="000000"/>
                <w:sz w:val="24"/>
                <w:szCs w:val="24"/>
                <w:lang w:val="es-ES"/>
              </w:rPr>
            </w:pPr>
            <w:r w:rsidRPr="001A705C">
              <w:rPr>
                <w:rFonts w:ascii="Arial" w:hAnsi="Arial" w:cs="Arial"/>
                <w:color w:val="000000"/>
                <w:sz w:val="24"/>
                <w:szCs w:val="24"/>
                <w:lang w:val="es-ES"/>
              </w:rPr>
              <w:t>Fondos Indisponibles</w:t>
            </w:r>
          </w:p>
        </w:tc>
        <w:tc>
          <w:tcPr>
            <w:tcW w:w="1200"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jc w:val="center"/>
              <w:rPr>
                <w:rFonts w:ascii="Arial" w:hAnsi="Arial" w:cs="Arial"/>
                <w:color w:val="000000"/>
                <w:sz w:val="24"/>
                <w:szCs w:val="24"/>
                <w:lang w:val="es-ES"/>
              </w:rPr>
            </w:pPr>
            <w:r w:rsidRPr="001A705C">
              <w:rPr>
                <w:rFonts w:ascii="Arial" w:hAnsi="Arial" w:cs="Arial"/>
                <w:color w:val="000000"/>
                <w:sz w:val="24"/>
                <w:szCs w:val="24"/>
                <w:lang w:val="es-ES"/>
              </w:rPr>
              <w:t>2:599.786</w:t>
            </w:r>
          </w:p>
        </w:tc>
        <w:tc>
          <w:tcPr>
            <w:tcW w:w="1262"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jc w:val="center"/>
              <w:rPr>
                <w:rFonts w:ascii="Arial" w:hAnsi="Arial" w:cs="Arial"/>
                <w:color w:val="000000"/>
                <w:sz w:val="24"/>
                <w:szCs w:val="24"/>
                <w:lang w:val="es-ES"/>
              </w:rPr>
            </w:pPr>
          </w:p>
        </w:tc>
      </w:tr>
      <w:tr w:rsidR="001A705C" w:rsidRPr="001A705C" w:rsidTr="00325BE6">
        <w:trPr>
          <w:trHeight w:val="315"/>
        </w:trPr>
        <w:tc>
          <w:tcPr>
            <w:tcW w:w="4220"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rPr>
                <w:rFonts w:ascii="Arial" w:hAnsi="Arial" w:cs="Arial"/>
                <w:color w:val="000000"/>
                <w:sz w:val="24"/>
                <w:szCs w:val="24"/>
                <w:lang w:val="es-ES"/>
              </w:rPr>
            </w:pPr>
            <w:r w:rsidRPr="001A705C">
              <w:rPr>
                <w:rFonts w:ascii="Arial" w:hAnsi="Arial" w:cs="Arial"/>
                <w:color w:val="000000"/>
                <w:sz w:val="24"/>
                <w:szCs w:val="24"/>
                <w:lang w:val="es-ES"/>
              </w:rPr>
              <w:t xml:space="preserve">Obligaciones Presupuestales Impagas </w:t>
            </w:r>
          </w:p>
        </w:tc>
        <w:tc>
          <w:tcPr>
            <w:tcW w:w="1200"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jc w:val="center"/>
              <w:rPr>
                <w:rFonts w:ascii="Arial" w:hAnsi="Arial" w:cs="Arial"/>
                <w:color w:val="000000"/>
                <w:sz w:val="24"/>
                <w:szCs w:val="24"/>
                <w:u w:val="single"/>
                <w:lang w:val="es-ES"/>
              </w:rPr>
            </w:pPr>
            <w:r w:rsidRPr="001A705C">
              <w:rPr>
                <w:rFonts w:ascii="Arial" w:hAnsi="Arial" w:cs="Arial"/>
                <w:color w:val="000000"/>
                <w:sz w:val="24"/>
                <w:szCs w:val="24"/>
                <w:u w:val="single"/>
                <w:lang w:val="es-ES"/>
              </w:rPr>
              <w:t>3:442.514</w:t>
            </w:r>
          </w:p>
        </w:tc>
        <w:tc>
          <w:tcPr>
            <w:tcW w:w="1262"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jc w:val="center"/>
              <w:rPr>
                <w:rFonts w:ascii="Arial" w:hAnsi="Arial" w:cs="Arial"/>
                <w:color w:val="000000"/>
                <w:sz w:val="24"/>
                <w:szCs w:val="24"/>
                <w:u w:val="single"/>
                <w:lang w:val="es-ES"/>
              </w:rPr>
            </w:pPr>
            <w:r w:rsidRPr="001A705C">
              <w:rPr>
                <w:rFonts w:ascii="Arial" w:hAnsi="Arial" w:cs="Arial"/>
                <w:color w:val="000000"/>
                <w:sz w:val="24"/>
                <w:szCs w:val="24"/>
                <w:u w:val="single"/>
                <w:lang w:val="es-ES"/>
              </w:rPr>
              <w:t>(6:042,300)</w:t>
            </w:r>
          </w:p>
        </w:tc>
      </w:tr>
      <w:tr w:rsidR="001A705C" w:rsidRPr="001A705C" w:rsidTr="00325BE6">
        <w:trPr>
          <w:trHeight w:val="315"/>
        </w:trPr>
        <w:tc>
          <w:tcPr>
            <w:tcW w:w="4220"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rPr>
                <w:rFonts w:ascii="Arial" w:hAnsi="Arial" w:cs="Arial"/>
                <w:color w:val="000000"/>
                <w:sz w:val="24"/>
                <w:szCs w:val="24"/>
                <w:lang w:val="es-ES"/>
              </w:rPr>
            </w:pPr>
            <w:r w:rsidRPr="001A705C">
              <w:rPr>
                <w:rFonts w:ascii="Arial" w:hAnsi="Arial" w:cs="Arial"/>
                <w:color w:val="000000"/>
                <w:sz w:val="24"/>
                <w:szCs w:val="24"/>
                <w:lang w:val="es-ES"/>
              </w:rPr>
              <w:t xml:space="preserve">Saldo a favor de la Intendencia </w:t>
            </w:r>
          </w:p>
        </w:tc>
        <w:tc>
          <w:tcPr>
            <w:tcW w:w="1200"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jc w:val="center"/>
              <w:rPr>
                <w:rFonts w:ascii="Arial" w:hAnsi="Arial" w:cs="Arial"/>
                <w:color w:val="000000"/>
                <w:sz w:val="24"/>
                <w:szCs w:val="24"/>
                <w:lang w:val="es-ES"/>
              </w:rPr>
            </w:pPr>
          </w:p>
        </w:tc>
        <w:tc>
          <w:tcPr>
            <w:tcW w:w="1262" w:type="dxa"/>
            <w:tcBorders>
              <w:top w:val="nil"/>
              <w:left w:val="nil"/>
              <w:bottom w:val="nil"/>
              <w:right w:val="nil"/>
            </w:tcBorders>
            <w:shd w:val="clear" w:color="auto" w:fill="auto"/>
            <w:noWrap/>
            <w:vAlign w:val="bottom"/>
            <w:hideMark/>
          </w:tcPr>
          <w:p w:rsidR="001A705C" w:rsidRPr="001A705C" w:rsidRDefault="001A705C" w:rsidP="001A705C">
            <w:pPr>
              <w:keepNext/>
              <w:widowControl w:val="0"/>
              <w:spacing w:line="240" w:lineRule="auto"/>
              <w:jc w:val="center"/>
              <w:rPr>
                <w:rFonts w:ascii="Arial" w:hAnsi="Arial" w:cs="Arial"/>
                <w:color w:val="000000"/>
                <w:sz w:val="24"/>
                <w:szCs w:val="24"/>
                <w:lang w:val="es-ES"/>
              </w:rPr>
            </w:pPr>
            <w:r w:rsidRPr="001A705C">
              <w:rPr>
                <w:rFonts w:ascii="Arial" w:hAnsi="Arial" w:cs="Arial"/>
                <w:color w:val="000000"/>
                <w:sz w:val="24"/>
                <w:szCs w:val="24"/>
                <w:lang w:val="es-ES"/>
              </w:rPr>
              <w:t>2:172.680</w:t>
            </w:r>
          </w:p>
        </w:tc>
      </w:tr>
    </w:tbl>
    <w:p w:rsidR="001A705C" w:rsidRPr="001A705C" w:rsidRDefault="001A705C" w:rsidP="001A705C">
      <w:pPr>
        <w:keepNext/>
        <w:widowControl w:val="0"/>
        <w:suppressAutoHyphens/>
        <w:rPr>
          <w:rFonts w:ascii="Arial" w:hAnsi="Arial" w:cs="Arial"/>
          <w:color w:val="000000"/>
          <w:sz w:val="24"/>
          <w:szCs w:val="24"/>
          <w:lang w:val="es-ES" w:eastAsia="zh-CN"/>
        </w:rPr>
      </w:pPr>
    </w:p>
    <w:p w:rsidR="001A705C" w:rsidRPr="001A705C" w:rsidRDefault="001A705C" w:rsidP="001A705C">
      <w:pPr>
        <w:keepNext/>
        <w:widowControl w:val="0"/>
        <w:rPr>
          <w:rFonts w:ascii="Arial" w:hAnsi="Arial" w:cs="Arial"/>
          <w:spacing w:val="-3"/>
          <w:sz w:val="24"/>
          <w:szCs w:val="24"/>
        </w:rPr>
      </w:pPr>
    </w:p>
    <w:p w:rsidR="001A705C" w:rsidRPr="001A705C" w:rsidRDefault="001A705C" w:rsidP="001A705C">
      <w:pPr>
        <w:keepNext/>
        <w:widowControl w:val="0"/>
        <w:rPr>
          <w:rFonts w:ascii="Arial" w:hAnsi="Arial" w:cs="Arial"/>
          <w:b/>
          <w:sz w:val="24"/>
          <w:szCs w:val="24"/>
          <w:lang w:val="es-ES"/>
        </w:rPr>
      </w:pPr>
      <w:r w:rsidRPr="001A705C">
        <w:rPr>
          <w:rFonts w:ascii="Arial" w:hAnsi="Arial" w:cs="Arial"/>
          <w:b/>
          <w:sz w:val="24"/>
          <w:szCs w:val="24"/>
          <w:lang w:val="es-ES"/>
        </w:rPr>
        <w:t>Evaluación del control interno</w:t>
      </w:r>
    </w:p>
    <w:p w:rsidR="001A705C" w:rsidRPr="001A705C" w:rsidRDefault="001A705C" w:rsidP="001A705C">
      <w:pPr>
        <w:pStyle w:val="Textoindependiente"/>
        <w:keepNext/>
        <w:widowControl w:val="0"/>
        <w:spacing w:line="360" w:lineRule="auto"/>
        <w:rPr>
          <w:rFonts w:cs="Arial"/>
          <w:szCs w:val="24"/>
        </w:rPr>
      </w:pPr>
      <w:r w:rsidRPr="001A705C">
        <w:rPr>
          <w:rFonts w:cs="Arial"/>
          <w:bCs/>
          <w:szCs w:val="24"/>
        </w:rPr>
        <w:t xml:space="preserve">El examen de los aspectos de control interno relevantes para la preparación y presentación razonable de </w:t>
      </w:r>
      <w:r w:rsidRPr="001A705C">
        <w:rPr>
          <w:rFonts w:cs="Arial"/>
          <w:szCs w:val="24"/>
        </w:rPr>
        <w:t>la Rendición de Cuentas y Balance de Ejecución Presupuestal permitió constatar la siguiente debilidad:</w:t>
      </w:r>
    </w:p>
    <w:p w:rsidR="001A705C" w:rsidRPr="001A705C" w:rsidRDefault="001A705C" w:rsidP="001A705C">
      <w:pPr>
        <w:keepNext/>
        <w:widowControl w:val="0"/>
        <w:numPr>
          <w:ilvl w:val="0"/>
          <w:numId w:val="4"/>
        </w:numPr>
        <w:suppressAutoHyphens/>
        <w:spacing w:after="0" w:line="360" w:lineRule="auto"/>
        <w:jc w:val="both"/>
        <w:rPr>
          <w:rFonts w:ascii="Arial" w:hAnsi="Arial" w:cs="Arial"/>
          <w:color w:val="000000"/>
          <w:kern w:val="1"/>
          <w:sz w:val="24"/>
          <w:szCs w:val="24"/>
          <w:lang w:val="es-ES" w:eastAsia="zh-CN"/>
        </w:rPr>
      </w:pPr>
      <w:r w:rsidRPr="001A705C">
        <w:rPr>
          <w:rFonts w:ascii="Arial" w:hAnsi="Arial" w:cs="Arial"/>
          <w:color w:val="000000"/>
          <w:kern w:val="1"/>
          <w:sz w:val="24"/>
          <w:szCs w:val="24"/>
          <w:lang w:val="es-ES" w:eastAsia="zh-CN"/>
        </w:rPr>
        <w:t>No se realiza una planificación anual de las compras a efectos de asegurar el cumplimiento de los artículos 33 y 43 del TOCAF.</w:t>
      </w:r>
    </w:p>
    <w:p w:rsidR="001A705C" w:rsidRPr="001A705C" w:rsidRDefault="001A705C" w:rsidP="001A705C">
      <w:pPr>
        <w:keepNext/>
        <w:widowControl w:val="0"/>
        <w:suppressAutoHyphens/>
        <w:rPr>
          <w:rFonts w:ascii="Arial" w:hAnsi="Arial" w:cs="Arial"/>
          <w:b/>
          <w:color w:val="000000"/>
          <w:sz w:val="24"/>
          <w:szCs w:val="24"/>
          <w:lang w:val="es-ES" w:eastAsia="zh-CN"/>
        </w:rPr>
      </w:pPr>
    </w:p>
    <w:p w:rsidR="001A705C" w:rsidRPr="001A705C" w:rsidRDefault="001A705C" w:rsidP="001A705C">
      <w:pPr>
        <w:keepNext/>
        <w:widowControl w:val="0"/>
        <w:suppressAutoHyphens/>
        <w:rPr>
          <w:rFonts w:ascii="Arial" w:hAnsi="Arial" w:cs="Arial"/>
          <w:b/>
          <w:color w:val="000000"/>
          <w:sz w:val="24"/>
          <w:szCs w:val="24"/>
          <w:lang w:val="es-ES" w:eastAsia="zh-CN"/>
        </w:rPr>
      </w:pPr>
      <w:r w:rsidRPr="001A705C">
        <w:rPr>
          <w:rFonts w:ascii="Arial" w:hAnsi="Arial" w:cs="Arial"/>
          <w:b/>
          <w:color w:val="000000"/>
          <w:sz w:val="24"/>
          <w:szCs w:val="24"/>
          <w:lang w:val="es-ES" w:eastAsia="zh-CN"/>
        </w:rPr>
        <w:t>Incumplimiento de disposiciones legales y reglamentarias</w:t>
      </w:r>
    </w:p>
    <w:p w:rsidR="001A705C" w:rsidRPr="001A705C" w:rsidRDefault="001A705C" w:rsidP="001A705C">
      <w:pPr>
        <w:keepNext/>
        <w:widowControl w:val="0"/>
        <w:suppressAutoHyphens/>
        <w:spacing w:line="240" w:lineRule="auto"/>
        <w:rPr>
          <w:rFonts w:ascii="Arial" w:hAnsi="Arial" w:cs="Arial"/>
          <w:sz w:val="24"/>
          <w:szCs w:val="24"/>
          <w:lang w:val="es-ES" w:eastAsia="zh-CN"/>
        </w:rPr>
      </w:pPr>
    </w:p>
    <w:p w:rsidR="001A705C" w:rsidRPr="001A705C" w:rsidRDefault="001A705C" w:rsidP="001A705C">
      <w:pPr>
        <w:keepNext/>
        <w:widowControl w:val="0"/>
        <w:suppressAutoHyphens/>
        <w:rPr>
          <w:rFonts w:ascii="Arial" w:hAnsi="Arial" w:cs="Arial"/>
          <w:b/>
          <w:color w:val="000000"/>
          <w:sz w:val="24"/>
          <w:szCs w:val="24"/>
          <w:lang w:val="es-ES" w:eastAsia="zh-CN"/>
        </w:rPr>
      </w:pPr>
      <w:bookmarkStart w:id="1" w:name="_Toc202245961"/>
      <w:r w:rsidRPr="001A705C">
        <w:rPr>
          <w:rFonts w:ascii="Arial" w:hAnsi="Arial" w:cs="Arial"/>
          <w:b/>
          <w:color w:val="000000"/>
          <w:sz w:val="24"/>
          <w:szCs w:val="24"/>
          <w:lang w:val="es-ES" w:eastAsia="zh-CN"/>
        </w:rPr>
        <w:t>Art. 86 de la Constitución de la República</w:t>
      </w:r>
    </w:p>
    <w:p w:rsidR="001A705C" w:rsidRPr="001A705C" w:rsidRDefault="001A705C" w:rsidP="001D53FF">
      <w:pPr>
        <w:keepNext/>
        <w:widowControl w:val="0"/>
        <w:suppressAutoHyphens/>
        <w:spacing w:line="360" w:lineRule="auto"/>
        <w:jc w:val="both"/>
        <w:rPr>
          <w:rFonts w:ascii="Arial" w:hAnsi="Arial" w:cs="Arial"/>
          <w:color w:val="000000"/>
          <w:sz w:val="24"/>
          <w:szCs w:val="24"/>
          <w:lang w:val="es-ES" w:eastAsia="zh-CN"/>
        </w:rPr>
      </w:pPr>
      <w:r w:rsidRPr="001A705C">
        <w:rPr>
          <w:rFonts w:ascii="Arial" w:hAnsi="Arial" w:cs="Arial"/>
          <w:color w:val="000000"/>
          <w:sz w:val="24"/>
          <w:szCs w:val="24"/>
          <w:lang w:val="es-ES" w:eastAsia="zh-CN"/>
        </w:rPr>
        <w:t>Se abonaron en el presente ejercicio, partidas de carácter compensatorio a tres funcionarios de la Junta. Para dos de ellos, la Resolución</w:t>
      </w:r>
      <w:r w:rsidR="001D53FF">
        <w:rPr>
          <w:rFonts w:ascii="Arial" w:hAnsi="Arial" w:cs="Arial"/>
          <w:color w:val="000000"/>
          <w:sz w:val="24"/>
          <w:szCs w:val="24"/>
          <w:lang w:val="es-ES" w:eastAsia="zh-CN"/>
        </w:rPr>
        <w:t xml:space="preserve"> de Presidencia Nº</w:t>
      </w:r>
      <w:r w:rsidRPr="001A705C">
        <w:rPr>
          <w:rFonts w:ascii="Arial" w:hAnsi="Arial" w:cs="Arial"/>
          <w:color w:val="000000"/>
          <w:sz w:val="24"/>
          <w:szCs w:val="24"/>
          <w:lang w:val="es-ES" w:eastAsia="zh-CN"/>
        </w:rPr>
        <w:t xml:space="preserve">704/02/17 establece que percibirán una compensación del 5% de su sueldo básico, independientemente de su actual compensación. En el otro caso, </w:t>
      </w:r>
      <w:smartTag w:uri="urn:schemas-microsoft-com:office:smarttags" w:element="PersonName">
        <w:smartTagPr>
          <w:attr w:name="ProductID" w:val="la Resolución"/>
        </w:smartTagPr>
        <w:r w:rsidRPr="001A705C">
          <w:rPr>
            <w:rFonts w:ascii="Arial" w:hAnsi="Arial" w:cs="Arial"/>
            <w:color w:val="000000"/>
            <w:sz w:val="24"/>
            <w:szCs w:val="24"/>
            <w:lang w:val="es-ES" w:eastAsia="zh-CN"/>
          </w:rPr>
          <w:t>la Resolución</w:t>
        </w:r>
      </w:smartTag>
      <w:r w:rsidRPr="001A705C">
        <w:rPr>
          <w:rFonts w:ascii="Arial" w:hAnsi="Arial" w:cs="Arial"/>
          <w:color w:val="000000"/>
          <w:sz w:val="24"/>
          <w:szCs w:val="24"/>
          <w:lang w:val="es-ES" w:eastAsia="zh-CN"/>
        </w:rPr>
        <w:t xml:space="preserve"> de Presidencia Nº 735/03/17 establece una partida compensatoria del 45% del sueldo por desempeñarse en </w:t>
      </w:r>
      <w:smartTag w:uri="urn:schemas-microsoft-com:office:smarttags" w:element="PersonName">
        <w:smartTagPr>
          <w:attr w:name="ProductID" w:val="la Secretaría Privada"/>
        </w:smartTagPr>
        <w:r w:rsidRPr="001A705C">
          <w:rPr>
            <w:rFonts w:ascii="Arial" w:hAnsi="Arial" w:cs="Arial"/>
            <w:color w:val="000000"/>
            <w:sz w:val="24"/>
            <w:szCs w:val="24"/>
            <w:lang w:val="es-ES" w:eastAsia="zh-CN"/>
          </w:rPr>
          <w:t>la Secretaría Privada</w:t>
        </w:r>
      </w:smartTag>
      <w:r w:rsidRPr="001A705C">
        <w:rPr>
          <w:rFonts w:ascii="Arial" w:hAnsi="Arial" w:cs="Arial"/>
          <w:color w:val="000000"/>
          <w:sz w:val="24"/>
          <w:szCs w:val="24"/>
          <w:lang w:val="es-ES" w:eastAsia="zh-CN"/>
        </w:rPr>
        <w:t xml:space="preserve"> del Presidente, y mientras ocupe dicha Secretaría.</w:t>
      </w:r>
      <w:bookmarkEnd w:id="1"/>
    </w:p>
    <w:p w:rsidR="001A705C" w:rsidRPr="001A705C" w:rsidRDefault="001A705C" w:rsidP="001A705C">
      <w:pPr>
        <w:keepNext/>
        <w:widowControl w:val="0"/>
        <w:suppressAutoHyphens/>
        <w:rPr>
          <w:rFonts w:ascii="Arial" w:hAnsi="Arial" w:cs="Arial"/>
          <w:color w:val="000000"/>
          <w:sz w:val="24"/>
          <w:szCs w:val="24"/>
          <w:lang w:val="es-ES" w:eastAsia="zh-CN"/>
        </w:rPr>
      </w:pPr>
    </w:p>
    <w:p w:rsidR="001A705C" w:rsidRPr="001A705C" w:rsidRDefault="001A705C" w:rsidP="001A705C">
      <w:pPr>
        <w:keepNext/>
        <w:widowControl w:val="0"/>
        <w:rPr>
          <w:rFonts w:ascii="Arial" w:hAnsi="Arial" w:cs="Arial"/>
          <w:b/>
          <w:sz w:val="24"/>
          <w:szCs w:val="24"/>
          <w:lang w:val="es-ES"/>
        </w:rPr>
      </w:pPr>
      <w:r w:rsidRPr="001A705C">
        <w:rPr>
          <w:rFonts w:ascii="Arial" w:hAnsi="Arial" w:cs="Arial"/>
          <w:b/>
          <w:sz w:val="24"/>
          <w:szCs w:val="24"/>
          <w:lang w:val="es-ES"/>
        </w:rPr>
        <w:t>Recomendaciones</w:t>
      </w:r>
    </w:p>
    <w:p w:rsidR="001A705C" w:rsidRPr="001A705C" w:rsidRDefault="001A705C" w:rsidP="001A705C">
      <w:pPr>
        <w:keepNext/>
        <w:widowControl w:val="0"/>
        <w:rPr>
          <w:rFonts w:ascii="Arial" w:hAnsi="Arial" w:cs="Arial"/>
          <w:b/>
          <w:bCs/>
          <w:sz w:val="24"/>
          <w:szCs w:val="24"/>
          <w:lang w:val="es-ES"/>
        </w:rPr>
      </w:pPr>
      <w:r w:rsidRPr="001A705C">
        <w:rPr>
          <w:rFonts w:ascii="Arial" w:hAnsi="Arial" w:cs="Arial"/>
          <w:b/>
          <w:bCs/>
          <w:sz w:val="24"/>
          <w:szCs w:val="24"/>
          <w:lang w:val="es-ES"/>
        </w:rPr>
        <w:t>1) Recomendaciones de ejercicios anteriores</w:t>
      </w:r>
    </w:p>
    <w:p w:rsidR="001A705C" w:rsidRPr="001A705C" w:rsidRDefault="001A705C" w:rsidP="001A705C">
      <w:pPr>
        <w:keepNext/>
        <w:widowControl w:val="0"/>
        <w:suppressAutoHyphens/>
        <w:rPr>
          <w:rFonts w:ascii="Arial" w:hAnsi="Arial" w:cs="Arial"/>
          <w:b/>
          <w:color w:val="000000"/>
          <w:sz w:val="24"/>
          <w:szCs w:val="24"/>
          <w:lang w:val="es-ES" w:eastAsia="zh-CN"/>
        </w:rPr>
      </w:pPr>
      <w:bookmarkStart w:id="2" w:name="_Toc422915253"/>
      <w:r w:rsidRPr="001A705C">
        <w:rPr>
          <w:rFonts w:ascii="Arial" w:hAnsi="Arial" w:cs="Arial"/>
          <w:b/>
          <w:color w:val="000000"/>
          <w:sz w:val="24"/>
          <w:szCs w:val="24"/>
          <w:lang w:val="es-ES" w:eastAsia="zh-CN"/>
        </w:rPr>
        <w:t>1.1) Cumplidas</w:t>
      </w:r>
      <w:bookmarkEnd w:id="2"/>
    </w:p>
    <w:p w:rsidR="001A705C" w:rsidRPr="001A705C" w:rsidRDefault="001A705C" w:rsidP="001A705C">
      <w:pPr>
        <w:keepNext/>
        <w:widowControl w:val="0"/>
        <w:suppressAutoHyphens/>
        <w:rPr>
          <w:rFonts w:ascii="Arial" w:eastAsia="Arial Unicode MS" w:hAnsi="Arial" w:cs="Arial"/>
          <w:b/>
          <w:bCs/>
          <w:noProof/>
          <w:color w:val="000000"/>
          <w:sz w:val="24"/>
          <w:szCs w:val="24"/>
          <w:lang w:val="es-MX" w:eastAsia="zh-CN"/>
        </w:rPr>
      </w:pPr>
      <w:bookmarkStart w:id="3" w:name="_Toc177977192"/>
      <w:bookmarkStart w:id="4" w:name="_Toc400023302"/>
      <w:bookmarkStart w:id="5" w:name="_Toc383248099"/>
      <w:bookmarkStart w:id="6" w:name="_Toc422915256"/>
      <w:r w:rsidRPr="001A705C">
        <w:rPr>
          <w:rFonts w:ascii="Arial" w:eastAsia="Arial Unicode MS" w:hAnsi="Arial" w:cs="Arial"/>
          <w:b/>
          <w:bCs/>
          <w:noProof/>
          <w:color w:val="000000"/>
          <w:sz w:val="24"/>
          <w:szCs w:val="24"/>
          <w:lang w:val="es-MX" w:eastAsia="zh-CN"/>
        </w:rPr>
        <w:t>Artículos 90 y 154 del TOCAF</w:t>
      </w:r>
      <w:bookmarkEnd w:id="3"/>
      <w:bookmarkEnd w:id="4"/>
    </w:p>
    <w:p w:rsidR="001A705C" w:rsidRPr="001A705C" w:rsidRDefault="001A705C" w:rsidP="001D53FF">
      <w:pPr>
        <w:keepNext/>
        <w:widowControl w:val="0"/>
        <w:suppressAutoHyphens/>
        <w:spacing w:line="360" w:lineRule="auto"/>
        <w:jc w:val="both"/>
        <w:rPr>
          <w:rFonts w:ascii="Arial" w:hAnsi="Arial" w:cs="Arial"/>
          <w:color w:val="000000"/>
          <w:sz w:val="24"/>
          <w:szCs w:val="24"/>
          <w:lang w:val="es-ES" w:eastAsia="zh-CN"/>
        </w:rPr>
      </w:pPr>
      <w:smartTag w:uri="urn:schemas-microsoft-com:office:smarttags" w:element="PersonName">
        <w:smartTagPr>
          <w:attr w:name="ProductID" w:val="la Administraci￳n"/>
        </w:smartTagPr>
        <w:r w:rsidRPr="001A705C">
          <w:rPr>
            <w:rFonts w:ascii="Arial" w:hAnsi="Arial" w:cs="Arial"/>
            <w:color w:val="000000"/>
            <w:sz w:val="24"/>
            <w:szCs w:val="24"/>
            <w:lang w:val="es-ES" w:eastAsia="zh-CN"/>
          </w:rPr>
          <w:t>La Administración</w:t>
        </w:r>
      </w:smartTag>
      <w:r w:rsidRPr="001A705C">
        <w:rPr>
          <w:rFonts w:ascii="Arial" w:hAnsi="Arial" w:cs="Arial"/>
          <w:color w:val="000000"/>
          <w:sz w:val="24"/>
          <w:szCs w:val="24"/>
          <w:lang w:val="es-ES" w:eastAsia="zh-CN"/>
        </w:rPr>
        <w:t xml:space="preserve"> contrató en el presente ejercicio una póliza de seguro de fidelidad nominativa por los casos, montos y forma que establece la reglamentación, respecto a los dos funcionarios que manejan fondos.</w:t>
      </w:r>
    </w:p>
    <w:p w:rsidR="001A705C" w:rsidRPr="001A705C" w:rsidRDefault="001A705C" w:rsidP="001A705C">
      <w:pPr>
        <w:keepNext/>
        <w:widowControl w:val="0"/>
        <w:suppressAutoHyphens/>
        <w:rPr>
          <w:rFonts w:ascii="Arial" w:hAnsi="Arial" w:cs="Arial"/>
          <w:color w:val="000000"/>
          <w:sz w:val="24"/>
          <w:szCs w:val="24"/>
          <w:lang w:val="es-ES" w:eastAsia="zh-CN"/>
        </w:rPr>
      </w:pPr>
    </w:p>
    <w:p w:rsidR="001A705C" w:rsidRPr="001A705C" w:rsidRDefault="001A705C" w:rsidP="001A705C">
      <w:pPr>
        <w:keepNext/>
        <w:widowControl w:val="0"/>
        <w:suppressAutoHyphens/>
        <w:rPr>
          <w:rFonts w:ascii="Arial" w:eastAsia="Arial Unicode MS" w:hAnsi="Arial" w:cs="Arial"/>
          <w:b/>
          <w:bCs/>
          <w:noProof/>
          <w:color w:val="000000"/>
          <w:sz w:val="24"/>
          <w:szCs w:val="24"/>
          <w:lang w:val="es-MX" w:eastAsia="zh-CN"/>
        </w:rPr>
      </w:pPr>
      <w:r w:rsidRPr="001A705C">
        <w:rPr>
          <w:rFonts w:ascii="Arial" w:eastAsia="Arial Unicode MS" w:hAnsi="Arial" w:cs="Arial"/>
          <w:b/>
          <w:bCs/>
          <w:noProof/>
          <w:color w:val="000000"/>
          <w:sz w:val="24"/>
          <w:szCs w:val="24"/>
          <w:lang w:val="es-MX" w:eastAsia="zh-CN"/>
        </w:rPr>
        <w:t xml:space="preserve">1.2) </w:t>
      </w:r>
      <w:bookmarkStart w:id="7" w:name="_Toc267318802"/>
      <w:bookmarkEnd w:id="5"/>
      <w:r w:rsidRPr="001A705C">
        <w:rPr>
          <w:rFonts w:ascii="Arial" w:eastAsia="Arial Unicode MS" w:hAnsi="Arial" w:cs="Arial"/>
          <w:b/>
          <w:bCs/>
          <w:noProof/>
          <w:color w:val="000000"/>
          <w:sz w:val="24"/>
          <w:szCs w:val="24"/>
          <w:lang w:val="es-MX" w:eastAsia="zh-CN"/>
        </w:rPr>
        <w:t>No cumplidas</w:t>
      </w:r>
      <w:bookmarkEnd w:id="6"/>
      <w:bookmarkEnd w:id="7"/>
    </w:p>
    <w:p w:rsidR="001A705C" w:rsidRPr="001A705C" w:rsidRDefault="001A705C" w:rsidP="001A705C">
      <w:pPr>
        <w:pStyle w:val="Ttulo2"/>
        <w:keepNext/>
        <w:widowControl w:val="0"/>
        <w:spacing w:after="0"/>
        <w:rPr>
          <w:rFonts w:cs="Arial"/>
          <w:b w:val="0"/>
          <w:szCs w:val="24"/>
        </w:rPr>
      </w:pPr>
      <w:r w:rsidRPr="001A705C">
        <w:rPr>
          <w:rFonts w:cs="Arial"/>
          <w:b w:val="0"/>
          <w:szCs w:val="24"/>
        </w:rPr>
        <w:t>La Junta Departamental de Florida no ha implementado medidas correctivas respe</w:t>
      </w:r>
      <w:r w:rsidR="00700DE1">
        <w:rPr>
          <w:rFonts w:cs="Arial"/>
          <w:b w:val="0"/>
          <w:szCs w:val="24"/>
        </w:rPr>
        <w:t>cto a los siguientes  aspectos:</w:t>
      </w:r>
    </w:p>
    <w:p w:rsidR="001A705C" w:rsidRPr="001A705C" w:rsidRDefault="001A705C" w:rsidP="001A705C">
      <w:pPr>
        <w:keepNext/>
        <w:widowControl w:val="0"/>
        <w:suppressAutoHyphens/>
        <w:rPr>
          <w:rFonts w:ascii="Arial" w:eastAsia="Arial Unicode MS" w:hAnsi="Arial" w:cs="Arial"/>
          <w:b/>
          <w:bCs/>
          <w:noProof/>
          <w:color w:val="000000"/>
          <w:sz w:val="24"/>
          <w:szCs w:val="24"/>
          <w:lang w:val="es-ES" w:eastAsia="zh-CN"/>
        </w:rPr>
      </w:pPr>
    </w:p>
    <w:p w:rsidR="001A705C" w:rsidRPr="001A705C" w:rsidRDefault="001A705C" w:rsidP="001A705C">
      <w:pPr>
        <w:keepNext/>
        <w:widowControl w:val="0"/>
        <w:suppressAutoHyphens/>
        <w:rPr>
          <w:rFonts w:ascii="Arial" w:eastAsia="Arial Unicode MS" w:hAnsi="Arial" w:cs="Arial"/>
          <w:b/>
          <w:bCs/>
          <w:noProof/>
          <w:color w:val="000000"/>
          <w:sz w:val="24"/>
          <w:szCs w:val="24"/>
          <w:lang w:val="es-MX" w:eastAsia="zh-CN"/>
        </w:rPr>
      </w:pPr>
      <w:bookmarkStart w:id="8" w:name="_Toc267318803"/>
      <w:bookmarkStart w:id="9" w:name="_Toc422915257"/>
      <w:r w:rsidRPr="001A705C">
        <w:rPr>
          <w:rFonts w:ascii="Arial" w:eastAsia="Arial Unicode MS" w:hAnsi="Arial" w:cs="Arial"/>
          <w:b/>
          <w:bCs/>
          <w:noProof/>
          <w:color w:val="000000"/>
          <w:sz w:val="24"/>
          <w:szCs w:val="24"/>
          <w:lang w:val="es-MX" w:eastAsia="zh-CN"/>
        </w:rPr>
        <w:t>1.2.1) Resolución de este Tribunal de fecha 22/12/10</w:t>
      </w:r>
      <w:bookmarkEnd w:id="8"/>
      <w:bookmarkEnd w:id="9"/>
    </w:p>
    <w:p w:rsidR="001A705C" w:rsidRPr="001A705C" w:rsidRDefault="001A705C" w:rsidP="001D53FF">
      <w:pPr>
        <w:keepNext/>
        <w:widowControl w:val="0"/>
        <w:suppressAutoHyphens/>
        <w:spacing w:line="360" w:lineRule="auto"/>
        <w:jc w:val="both"/>
        <w:rPr>
          <w:rFonts w:ascii="Arial" w:hAnsi="Arial" w:cs="Arial"/>
          <w:color w:val="000000"/>
          <w:sz w:val="24"/>
          <w:szCs w:val="24"/>
          <w:lang w:val="es-ES" w:eastAsia="zh-CN"/>
        </w:rPr>
      </w:pPr>
      <w:r w:rsidRPr="001A705C">
        <w:rPr>
          <w:rFonts w:ascii="Arial" w:hAnsi="Arial" w:cs="Arial"/>
          <w:color w:val="000000"/>
          <w:sz w:val="24"/>
          <w:szCs w:val="24"/>
          <w:lang w:val="es-ES" w:eastAsia="zh-CN"/>
        </w:rPr>
        <w:t>A efectos de verificar el cumplimiento de lo preceptuado por el Artículo 295 de la Constitución de la República, en cuanto al carácter honorario de la función de Edil, la Junta Departamental deberá ajustarse a lo dispuesto por la citada Resolución en oportunidad de desembolsar partidas a los Ediles.</w:t>
      </w:r>
    </w:p>
    <w:p w:rsidR="001A705C" w:rsidRPr="001A705C" w:rsidRDefault="001A705C" w:rsidP="00700DE1">
      <w:pPr>
        <w:keepNext/>
        <w:widowControl w:val="0"/>
        <w:suppressAutoHyphens/>
        <w:jc w:val="both"/>
        <w:rPr>
          <w:rFonts w:ascii="Arial" w:eastAsia="Arial Unicode MS" w:hAnsi="Arial" w:cs="Arial"/>
          <w:b/>
          <w:bCs/>
          <w:noProof/>
          <w:color w:val="000000"/>
          <w:sz w:val="24"/>
          <w:szCs w:val="24"/>
          <w:lang w:val="es-MX" w:eastAsia="zh-CN"/>
        </w:rPr>
      </w:pPr>
      <w:bookmarkStart w:id="10" w:name="_Toc267318805"/>
      <w:bookmarkStart w:id="11" w:name="_Toc422915259"/>
      <w:r w:rsidRPr="001A705C">
        <w:rPr>
          <w:rFonts w:ascii="Arial" w:eastAsia="Arial Unicode MS" w:hAnsi="Arial" w:cs="Arial"/>
          <w:b/>
          <w:bCs/>
          <w:noProof/>
          <w:color w:val="000000"/>
          <w:sz w:val="24"/>
          <w:szCs w:val="24"/>
          <w:lang w:val="es-MX" w:eastAsia="zh-CN"/>
        </w:rPr>
        <w:t>1.2.2) Artículos 273 de la Constitución de la República y 19 de la Ley Nº9.515</w:t>
      </w:r>
      <w:bookmarkEnd w:id="10"/>
      <w:bookmarkEnd w:id="11"/>
    </w:p>
    <w:p w:rsidR="001A705C" w:rsidRPr="001A705C" w:rsidRDefault="001A705C" w:rsidP="001D53FF">
      <w:pPr>
        <w:keepNext/>
        <w:widowControl w:val="0"/>
        <w:suppressAutoHyphens/>
        <w:spacing w:line="360" w:lineRule="auto"/>
        <w:jc w:val="both"/>
        <w:rPr>
          <w:rFonts w:ascii="Arial" w:hAnsi="Arial" w:cs="Arial"/>
          <w:color w:val="000000"/>
          <w:sz w:val="24"/>
          <w:szCs w:val="24"/>
          <w:lang w:val="es-ES" w:eastAsia="zh-CN"/>
        </w:rPr>
      </w:pPr>
      <w:r w:rsidRPr="001A705C">
        <w:rPr>
          <w:rFonts w:ascii="Arial" w:hAnsi="Arial" w:cs="Arial"/>
          <w:color w:val="000000"/>
          <w:sz w:val="24"/>
          <w:szCs w:val="24"/>
          <w:lang w:val="es-ES" w:eastAsia="zh-CN"/>
        </w:rPr>
        <w:t>La Junta Departamental debe abstenerse de efectuar donaciones y/o participar de auspicios publicitarios en tanto no son actividades comprendidas dentro de sus competencias, según lo dispuesto en las citadas normas.</w:t>
      </w:r>
      <w:bookmarkStart w:id="12" w:name="_Toc361409357"/>
      <w:bookmarkStart w:id="13" w:name="_Toc422915262"/>
    </w:p>
    <w:p w:rsidR="001A705C" w:rsidRPr="001A705C" w:rsidRDefault="001A705C" w:rsidP="001A705C">
      <w:pPr>
        <w:keepNext/>
        <w:widowControl w:val="0"/>
        <w:suppressAutoHyphens/>
        <w:rPr>
          <w:rFonts w:ascii="Arial" w:eastAsia="Arial Unicode MS" w:hAnsi="Arial" w:cs="Arial"/>
          <w:b/>
          <w:bCs/>
          <w:noProof/>
          <w:color w:val="000000"/>
          <w:sz w:val="24"/>
          <w:szCs w:val="24"/>
          <w:lang w:val="es-MX" w:eastAsia="zh-CN"/>
        </w:rPr>
      </w:pPr>
      <w:r w:rsidRPr="001A705C">
        <w:rPr>
          <w:rFonts w:ascii="Arial" w:eastAsia="Arial Unicode MS" w:hAnsi="Arial" w:cs="Arial"/>
          <w:b/>
          <w:bCs/>
          <w:noProof/>
          <w:color w:val="000000"/>
          <w:sz w:val="24"/>
          <w:szCs w:val="24"/>
          <w:lang w:val="es-ES" w:eastAsia="zh-CN"/>
        </w:rPr>
        <w:t xml:space="preserve">1.2.3) </w:t>
      </w:r>
      <w:r w:rsidRPr="001A705C">
        <w:rPr>
          <w:rFonts w:ascii="Arial" w:eastAsia="Arial Unicode MS" w:hAnsi="Arial" w:cs="Arial"/>
          <w:b/>
          <w:bCs/>
          <w:noProof/>
          <w:color w:val="000000"/>
          <w:sz w:val="24"/>
          <w:szCs w:val="24"/>
          <w:lang w:val="es-MX" w:eastAsia="zh-CN"/>
        </w:rPr>
        <w:t>Artículos 23, 102 y 103 del TOCAF</w:t>
      </w:r>
      <w:bookmarkEnd w:id="12"/>
    </w:p>
    <w:p w:rsidR="001A705C" w:rsidRPr="001A705C" w:rsidRDefault="001A705C" w:rsidP="001D53FF">
      <w:pPr>
        <w:keepNext/>
        <w:widowControl w:val="0"/>
        <w:suppressAutoHyphens/>
        <w:spacing w:line="360" w:lineRule="auto"/>
        <w:jc w:val="both"/>
        <w:rPr>
          <w:rFonts w:ascii="Arial" w:hAnsi="Arial" w:cs="Arial"/>
          <w:color w:val="000000"/>
          <w:sz w:val="24"/>
          <w:szCs w:val="24"/>
          <w:lang w:val="es-ES" w:eastAsia="zh-CN"/>
        </w:rPr>
      </w:pPr>
      <w:r w:rsidRPr="001A705C">
        <w:rPr>
          <w:rFonts w:ascii="Arial" w:hAnsi="Arial" w:cs="Arial"/>
          <w:color w:val="000000"/>
          <w:sz w:val="24"/>
          <w:szCs w:val="24"/>
          <w:lang w:val="es-ES" w:eastAsia="zh-CN"/>
        </w:rPr>
        <w:t>Todos los gastos en los que incurra el Legislativo Departamental deben cumplir con todas sus etapas (afectación previa, compromiso, afectación definitiva y pago), las que deben ser debidamente documentadas.</w:t>
      </w:r>
    </w:p>
    <w:p w:rsidR="001A705C" w:rsidRPr="001A705C" w:rsidRDefault="001A705C" w:rsidP="001D53FF">
      <w:pPr>
        <w:keepNext/>
        <w:widowControl w:val="0"/>
        <w:suppressAutoHyphens/>
        <w:spacing w:line="360" w:lineRule="auto"/>
        <w:jc w:val="both"/>
        <w:rPr>
          <w:rFonts w:ascii="Arial" w:hAnsi="Arial" w:cs="Arial"/>
          <w:color w:val="000000"/>
          <w:sz w:val="24"/>
          <w:szCs w:val="24"/>
          <w:lang w:val="es-ES" w:eastAsia="zh-CN"/>
        </w:rPr>
      </w:pPr>
      <w:r w:rsidRPr="001A705C">
        <w:rPr>
          <w:rFonts w:ascii="Arial" w:hAnsi="Arial" w:cs="Arial"/>
          <w:color w:val="000000"/>
          <w:sz w:val="24"/>
          <w:szCs w:val="24"/>
          <w:lang w:val="es-ES" w:eastAsia="zh-CN"/>
        </w:rPr>
        <w:t xml:space="preserve">A efectos de que no se realicen gastos sin estar previamente autorizados por el Ordenador competente y que los mismos se encuentren dentro de las competencias de </w:t>
      </w:r>
      <w:smartTag w:uri="urn:schemas-microsoft-com:office:smarttags" w:element="PersonName">
        <w:smartTagPr>
          <w:attr w:name="ProductID" w:val="la Junta Departamental"/>
        </w:smartTagPr>
        <w:r w:rsidRPr="001A705C">
          <w:rPr>
            <w:rFonts w:ascii="Arial" w:hAnsi="Arial" w:cs="Arial"/>
            <w:color w:val="000000"/>
            <w:sz w:val="24"/>
            <w:szCs w:val="24"/>
            <w:lang w:val="es-ES" w:eastAsia="zh-CN"/>
          </w:rPr>
          <w:t>la Junta Departamental</w:t>
        </w:r>
      </w:smartTag>
      <w:r w:rsidRPr="001A705C">
        <w:rPr>
          <w:rFonts w:ascii="Arial" w:hAnsi="Arial" w:cs="Arial"/>
          <w:color w:val="000000"/>
          <w:sz w:val="24"/>
          <w:szCs w:val="24"/>
          <w:lang w:val="es-ES" w:eastAsia="zh-CN"/>
        </w:rPr>
        <w:t>, se deberán implementar procedimientos adecuados a los requerimientos de ese Organismo, que permitan controlar el cumplimiento de la normativa vigente</w:t>
      </w:r>
      <w:bookmarkStart w:id="14" w:name="_Toc269741065"/>
      <w:bookmarkStart w:id="15" w:name="_Toc275529746"/>
      <w:bookmarkStart w:id="16" w:name="_Toc400023299"/>
      <w:r w:rsidRPr="001A705C">
        <w:rPr>
          <w:rFonts w:ascii="Arial" w:hAnsi="Arial" w:cs="Arial"/>
          <w:color w:val="000000"/>
          <w:sz w:val="24"/>
          <w:szCs w:val="24"/>
          <w:lang w:val="es-ES" w:eastAsia="zh-CN"/>
        </w:rPr>
        <w:t>.</w:t>
      </w:r>
    </w:p>
    <w:p w:rsidR="001A705C" w:rsidRPr="001A705C" w:rsidRDefault="001A705C" w:rsidP="001A705C">
      <w:pPr>
        <w:keepNext/>
        <w:widowControl w:val="0"/>
        <w:suppressAutoHyphens/>
        <w:rPr>
          <w:rFonts w:ascii="Arial" w:eastAsia="Arial Unicode MS" w:hAnsi="Arial" w:cs="Arial"/>
          <w:b/>
          <w:bCs/>
          <w:noProof/>
          <w:color w:val="000000"/>
          <w:sz w:val="24"/>
          <w:szCs w:val="24"/>
          <w:lang w:val="es-MX" w:eastAsia="zh-CN"/>
        </w:rPr>
      </w:pPr>
      <w:bookmarkStart w:id="17" w:name="_Toc422915264"/>
      <w:bookmarkEnd w:id="13"/>
      <w:bookmarkEnd w:id="14"/>
      <w:bookmarkEnd w:id="15"/>
      <w:bookmarkEnd w:id="16"/>
      <w:r w:rsidRPr="001A705C">
        <w:rPr>
          <w:rFonts w:ascii="Arial" w:eastAsia="Arial Unicode MS" w:hAnsi="Arial" w:cs="Arial"/>
          <w:b/>
          <w:bCs/>
          <w:noProof/>
          <w:color w:val="000000"/>
          <w:sz w:val="24"/>
          <w:szCs w:val="24"/>
          <w:lang w:val="es-MX" w:eastAsia="zh-CN"/>
        </w:rPr>
        <w:t>1.2.4) Decreto Nº 66/2011</w:t>
      </w:r>
      <w:bookmarkEnd w:id="17"/>
    </w:p>
    <w:p w:rsidR="001A705C" w:rsidRPr="001A705C" w:rsidRDefault="001A705C" w:rsidP="001D53FF">
      <w:pPr>
        <w:keepNext/>
        <w:widowControl w:val="0"/>
        <w:suppressAutoHyphens/>
        <w:spacing w:line="360" w:lineRule="auto"/>
        <w:jc w:val="both"/>
        <w:rPr>
          <w:rFonts w:ascii="Arial" w:hAnsi="Arial" w:cs="Arial"/>
          <w:color w:val="000000"/>
          <w:sz w:val="24"/>
          <w:szCs w:val="24"/>
          <w:lang w:val="es-ES" w:eastAsia="zh-CN"/>
        </w:rPr>
      </w:pPr>
      <w:r w:rsidRPr="001A705C">
        <w:rPr>
          <w:rFonts w:ascii="Arial" w:hAnsi="Arial" w:cs="Arial"/>
          <w:color w:val="000000"/>
          <w:sz w:val="24"/>
          <w:szCs w:val="24"/>
          <w:lang w:val="es-ES" w:eastAsia="zh-CN"/>
        </w:rPr>
        <w:t xml:space="preserve">La Junta Departamental deberá abstenerse de contratar gastos y/o servicios con empresas contribuyentes de </w:t>
      </w:r>
      <w:proofErr w:type="spellStart"/>
      <w:r w:rsidRPr="001A705C">
        <w:rPr>
          <w:rFonts w:ascii="Arial" w:hAnsi="Arial" w:cs="Arial"/>
          <w:color w:val="000000"/>
          <w:sz w:val="24"/>
          <w:szCs w:val="24"/>
          <w:lang w:val="es-ES" w:eastAsia="zh-CN"/>
        </w:rPr>
        <w:t>monotributo</w:t>
      </w:r>
      <w:proofErr w:type="spellEnd"/>
      <w:r w:rsidRPr="001A705C">
        <w:rPr>
          <w:rFonts w:ascii="Arial" w:hAnsi="Arial" w:cs="Arial"/>
          <w:color w:val="000000"/>
          <w:sz w:val="24"/>
          <w:szCs w:val="24"/>
          <w:lang w:val="es-ES" w:eastAsia="zh-CN"/>
        </w:rPr>
        <w:t>, a menos que se verifiquen las excepciones establecidas en el Decreto Nº 66/2011.</w:t>
      </w:r>
    </w:p>
    <w:p w:rsidR="001A705C" w:rsidRPr="001A705C" w:rsidRDefault="001A705C" w:rsidP="001A705C">
      <w:pPr>
        <w:keepNext/>
        <w:widowControl w:val="0"/>
        <w:suppressAutoHyphens/>
        <w:rPr>
          <w:rFonts w:ascii="Arial" w:eastAsia="Arial Unicode MS" w:hAnsi="Arial" w:cs="Arial"/>
          <w:b/>
          <w:bCs/>
          <w:noProof/>
          <w:color w:val="000000"/>
          <w:sz w:val="24"/>
          <w:szCs w:val="24"/>
          <w:lang w:val="es-MX" w:eastAsia="zh-CN"/>
        </w:rPr>
      </w:pPr>
      <w:r w:rsidRPr="001A705C">
        <w:rPr>
          <w:rFonts w:ascii="Arial" w:eastAsia="Arial Unicode MS" w:hAnsi="Arial" w:cs="Arial"/>
          <w:b/>
          <w:bCs/>
          <w:noProof/>
          <w:color w:val="000000"/>
          <w:sz w:val="24"/>
          <w:szCs w:val="24"/>
          <w:lang w:val="es-ES" w:eastAsia="zh-CN"/>
        </w:rPr>
        <w:t xml:space="preserve">1.2.5) </w:t>
      </w:r>
      <w:r w:rsidRPr="001A705C">
        <w:rPr>
          <w:rFonts w:ascii="Arial" w:eastAsia="Arial Unicode MS" w:hAnsi="Arial" w:cs="Arial"/>
          <w:b/>
          <w:bCs/>
          <w:noProof/>
          <w:color w:val="000000"/>
          <w:sz w:val="24"/>
          <w:szCs w:val="24"/>
          <w:lang w:val="es-MX" w:eastAsia="zh-CN"/>
        </w:rPr>
        <w:t>Artículos 15 y 102 del TOCAF</w:t>
      </w:r>
    </w:p>
    <w:p w:rsidR="001A705C" w:rsidRPr="001A705C" w:rsidRDefault="001A705C" w:rsidP="001D53FF">
      <w:pPr>
        <w:keepNext/>
        <w:widowControl w:val="0"/>
        <w:suppressAutoHyphens/>
        <w:spacing w:line="360" w:lineRule="auto"/>
        <w:jc w:val="both"/>
        <w:rPr>
          <w:rFonts w:ascii="Arial" w:hAnsi="Arial" w:cs="Arial"/>
          <w:bCs/>
          <w:color w:val="000000"/>
          <w:sz w:val="24"/>
          <w:szCs w:val="24"/>
          <w:lang w:val="es-ES" w:eastAsia="zh-CN"/>
        </w:rPr>
      </w:pPr>
      <w:r w:rsidRPr="001A705C">
        <w:rPr>
          <w:rFonts w:ascii="Arial" w:hAnsi="Arial" w:cs="Arial"/>
          <w:bCs/>
          <w:color w:val="000000"/>
          <w:sz w:val="24"/>
          <w:szCs w:val="24"/>
          <w:lang w:val="es-MX" w:eastAsia="zh-CN"/>
        </w:rPr>
        <w:t xml:space="preserve">En todos los gastos en los que se incurra, se debe tener presente que de acuerdo a lo establecido en el Artículo 102 Numeral 3 del TOCAF, “a </w:t>
      </w:r>
      <w:r w:rsidRPr="001A705C">
        <w:rPr>
          <w:rFonts w:ascii="Arial" w:hAnsi="Arial" w:cs="Arial"/>
          <w:color w:val="000000"/>
          <w:sz w:val="24"/>
          <w:szCs w:val="24"/>
          <w:lang w:val="es-ES" w:eastAsia="zh-CN"/>
        </w:rPr>
        <w:t>las  Contadurías Centrales o dependencias que hagan sus veces les corresponderá” “informar previamente en los actos que generen compromisos con respecto a la disponibilidad del crédito para el objeto del gasto y su monto”.  Asimismo, a</w:t>
      </w:r>
      <w:r w:rsidRPr="001A705C">
        <w:rPr>
          <w:rFonts w:ascii="Arial" w:hAnsi="Arial" w:cs="Arial"/>
          <w:bCs/>
          <w:color w:val="000000"/>
          <w:sz w:val="24"/>
          <w:szCs w:val="24"/>
          <w:lang w:val="es-MX" w:eastAsia="zh-CN"/>
        </w:rPr>
        <w:t xml:space="preserve"> efectos de dar cumplimiento a lo dispuesto en el Artículo 15 del TOCAF, n</w:t>
      </w:r>
      <w:r w:rsidRPr="001A705C">
        <w:rPr>
          <w:rFonts w:ascii="Arial" w:hAnsi="Arial" w:cs="Arial"/>
          <w:bCs/>
          <w:color w:val="000000"/>
          <w:sz w:val="24"/>
          <w:szCs w:val="24"/>
          <w:lang w:val="es-ES" w:eastAsia="zh-CN"/>
        </w:rPr>
        <w:t>o podrán comprometerse gastos de funcionamiento o de inversión sin que exista crédito disponible.</w:t>
      </w:r>
    </w:p>
    <w:p w:rsidR="001A705C" w:rsidRPr="001A705C" w:rsidRDefault="001A705C" w:rsidP="001A705C">
      <w:pPr>
        <w:keepNext/>
        <w:widowControl w:val="0"/>
        <w:suppressAutoHyphens/>
        <w:rPr>
          <w:rFonts w:ascii="Arial" w:eastAsia="Arial Unicode MS" w:hAnsi="Arial" w:cs="Arial"/>
          <w:b/>
          <w:bCs/>
          <w:noProof/>
          <w:color w:val="000000"/>
          <w:sz w:val="24"/>
          <w:szCs w:val="24"/>
          <w:lang w:val="es-MX" w:eastAsia="zh-CN"/>
        </w:rPr>
      </w:pPr>
      <w:r w:rsidRPr="001A705C">
        <w:rPr>
          <w:rFonts w:ascii="Arial" w:eastAsia="Arial Unicode MS" w:hAnsi="Arial" w:cs="Arial"/>
          <w:b/>
          <w:bCs/>
          <w:noProof/>
          <w:color w:val="000000"/>
          <w:sz w:val="24"/>
          <w:szCs w:val="24"/>
          <w:lang w:val="es-MX" w:eastAsia="zh-CN"/>
        </w:rPr>
        <w:t>1.2.6) Decreto Nº 342/92</w:t>
      </w:r>
    </w:p>
    <w:p w:rsidR="001A705C" w:rsidRPr="001A705C" w:rsidRDefault="001A705C" w:rsidP="001D53FF">
      <w:pPr>
        <w:keepNext/>
        <w:widowControl w:val="0"/>
        <w:suppressAutoHyphens/>
        <w:spacing w:line="360" w:lineRule="auto"/>
        <w:jc w:val="both"/>
        <w:rPr>
          <w:rFonts w:ascii="Arial" w:hAnsi="Arial" w:cs="Arial"/>
          <w:color w:val="000000"/>
          <w:sz w:val="24"/>
          <w:szCs w:val="24"/>
          <w:lang w:val="es-ES" w:eastAsia="zh-CN"/>
        </w:rPr>
      </w:pPr>
      <w:smartTag w:uri="urn:schemas-microsoft-com:office:smarttags" w:element="PersonName">
        <w:smartTagPr>
          <w:attr w:name="ProductID" w:val="la Tesorer￭a"/>
        </w:smartTagPr>
        <w:r w:rsidRPr="001A705C">
          <w:rPr>
            <w:rFonts w:ascii="Arial" w:hAnsi="Arial" w:cs="Arial"/>
            <w:color w:val="000000"/>
            <w:sz w:val="24"/>
            <w:szCs w:val="24"/>
            <w:lang w:val="es-ES" w:eastAsia="zh-CN"/>
          </w:rPr>
          <w:t>La Tesorería</w:t>
        </w:r>
      </w:smartTag>
      <w:r w:rsidRPr="001A705C">
        <w:rPr>
          <w:rFonts w:ascii="Arial" w:hAnsi="Arial" w:cs="Arial"/>
          <w:color w:val="000000"/>
          <w:sz w:val="24"/>
          <w:szCs w:val="24"/>
          <w:lang w:val="es-ES" w:eastAsia="zh-CN"/>
        </w:rPr>
        <w:t xml:space="preserve"> de </w:t>
      </w:r>
      <w:smartTag w:uri="urn:schemas-microsoft-com:office:smarttags" w:element="PersonName">
        <w:smartTagPr>
          <w:attr w:name="ProductID" w:val="la Junta"/>
        </w:smartTagPr>
        <w:r w:rsidRPr="001A705C">
          <w:rPr>
            <w:rFonts w:ascii="Arial" w:hAnsi="Arial" w:cs="Arial"/>
            <w:color w:val="000000"/>
            <w:sz w:val="24"/>
            <w:szCs w:val="24"/>
            <w:lang w:val="es-ES" w:eastAsia="zh-CN"/>
          </w:rPr>
          <w:t>la Junta</w:t>
        </w:r>
      </w:smartTag>
      <w:r w:rsidRPr="001A705C">
        <w:rPr>
          <w:rFonts w:ascii="Arial" w:hAnsi="Arial" w:cs="Arial"/>
          <w:color w:val="000000"/>
          <w:sz w:val="24"/>
          <w:szCs w:val="24"/>
          <w:lang w:val="es-ES" w:eastAsia="zh-CN"/>
        </w:rPr>
        <w:t xml:space="preserve"> no podrá realizar pagos a proveedores que no posean los certificados vigentes de BPS y DGI, a excepción de que dichos pagos se efectuaran directamente a los organismos mencionados.</w:t>
      </w:r>
    </w:p>
    <w:p w:rsidR="001A705C" w:rsidRPr="001A705C" w:rsidRDefault="001A705C" w:rsidP="001A705C">
      <w:pPr>
        <w:keepNext/>
        <w:widowControl w:val="0"/>
        <w:rPr>
          <w:rFonts w:ascii="Arial" w:hAnsi="Arial" w:cs="Arial"/>
          <w:b/>
          <w:bCs/>
          <w:sz w:val="24"/>
          <w:szCs w:val="24"/>
          <w:lang w:val="es-ES"/>
        </w:rPr>
      </w:pPr>
      <w:r w:rsidRPr="001A705C">
        <w:rPr>
          <w:rFonts w:ascii="Arial" w:hAnsi="Arial" w:cs="Arial"/>
          <w:b/>
          <w:bCs/>
          <w:sz w:val="24"/>
          <w:szCs w:val="24"/>
          <w:lang w:val="es-ES"/>
        </w:rPr>
        <w:t>2) Recomen</w:t>
      </w:r>
      <w:r w:rsidR="001D53FF">
        <w:rPr>
          <w:rFonts w:ascii="Arial" w:hAnsi="Arial" w:cs="Arial"/>
          <w:b/>
          <w:bCs/>
          <w:sz w:val="24"/>
          <w:szCs w:val="24"/>
          <w:lang w:val="es-ES"/>
        </w:rPr>
        <w:t>daciones del presente ejercicio</w:t>
      </w:r>
    </w:p>
    <w:p w:rsidR="001A705C" w:rsidRDefault="001A705C" w:rsidP="001D53FF">
      <w:pPr>
        <w:keepNext/>
        <w:widowControl w:val="0"/>
        <w:suppressAutoHyphens/>
        <w:spacing w:line="360" w:lineRule="auto"/>
        <w:rPr>
          <w:rFonts w:ascii="Arial" w:hAnsi="Arial" w:cs="Arial"/>
          <w:color w:val="000000"/>
          <w:sz w:val="24"/>
          <w:szCs w:val="24"/>
          <w:lang w:val="es-ES" w:eastAsia="zh-CN"/>
        </w:rPr>
      </w:pPr>
      <w:r w:rsidRPr="001A705C">
        <w:rPr>
          <w:rFonts w:ascii="Arial" w:hAnsi="Arial" w:cs="Arial"/>
          <w:color w:val="000000"/>
          <w:sz w:val="24"/>
          <w:szCs w:val="24"/>
          <w:lang w:val="es-ES" w:eastAsia="zh-CN"/>
        </w:rPr>
        <w:t xml:space="preserve">Se reiteran las recomendaciones </w:t>
      </w:r>
      <w:r w:rsidRPr="001A705C">
        <w:rPr>
          <w:rFonts w:ascii="Arial" w:hAnsi="Arial" w:cs="Arial"/>
          <w:sz w:val="24"/>
          <w:szCs w:val="24"/>
          <w:lang w:val="es-ES"/>
        </w:rPr>
        <w:t xml:space="preserve">no cumplidas de ejercicios anteriores, a la que se agrega </w:t>
      </w:r>
      <w:r w:rsidR="001D53FF">
        <w:rPr>
          <w:rFonts w:ascii="Arial" w:hAnsi="Arial" w:cs="Arial"/>
          <w:color w:val="000000"/>
          <w:sz w:val="24"/>
          <w:szCs w:val="24"/>
          <w:lang w:val="es-ES" w:eastAsia="zh-CN"/>
        </w:rPr>
        <w:t xml:space="preserve"> la siguiente:</w:t>
      </w:r>
    </w:p>
    <w:p w:rsidR="00700DE1" w:rsidRPr="001A705C" w:rsidRDefault="00700DE1" w:rsidP="001D53FF">
      <w:pPr>
        <w:keepNext/>
        <w:widowControl w:val="0"/>
        <w:suppressAutoHyphens/>
        <w:spacing w:line="360" w:lineRule="auto"/>
        <w:rPr>
          <w:rFonts w:ascii="Arial" w:hAnsi="Arial" w:cs="Arial"/>
          <w:color w:val="000000"/>
          <w:sz w:val="24"/>
          <w:szCs w:val="24"/>
          <w:lang w:val="es-ES" w:eastAsia="zh-CN"/>
        </w:rPr>
      </w:pPr>
    </w:p>
    <w:p w:rsidR="001A705C" w:rsidRPr="001A705C" w:rsidRDefault="001A705C" w:rsidP="001A705C">
      <w:pPr>
        <w:keepNext/>
        <w:widowControl w:val="0"/>
        <w:suppressAutoHyphens/>
        <w:rPr>
          <w:rFonts w:ascii="Arial" w:eastAsia="Arial Unicode MS" w:hAnsi="Arial" w:cs="Arial"/>
          <w:b/>
          <w:bCs/>
          <w:noProof/>
          <w:color w:val="000000"/>
          <w:sz w:val="24"/>
          <w:szCs w:val="24"/>
          <w:lang w:val="es-MX" w:eastAsia="zh-CN"/>
        </w:rPr>
      </w:pPr>
      <w:r w:rsidRPr="001A705C">
        <w:rPr>
          <w:rFonts w:ascii="Arial" w:eastAsia="Arial Unicode MS" w:hAnsi="Arial" w:cs="Arial"/>
          <w:b/>
          <w:bCs/>
          <w:noProof/>
          <w:color w:val="000000"/>
          <w:sz w:val="24"/>
          <w:szCs w:val="24"/>
          <w:lang w:val="es-MX" w:eastAsia="zh-CN"/>
        </w:rPr>
        <w:t>Partidas abonadas a funcionarios</w:t>
      </w:r>
    </w:p>
    <w:p w:rsidR="001A705C" w:rsidRPr="001A705C" w:rsidRDefault="001A705C" w:rsidP="001D53FF">
      <w:pPr>
        <w:keepNext/>
        <w:widowControl w:val="0"/>
        <w:suppressAutoHyphens/>
        <w:spacing w:line="360" w:lineRule="auto"/>
        <w:rPr>
          <w:rFonts w:ascii="Arial" w:hAnsi="Arial" w:cs="Arial"/>
          <w:snapToGrid w:val="0"/>
          <w:sz w:val="24"/>
          <w:szCs w:val="24"/>
          <w:lang w:val="es-ES"/>
        </w:rPr>
      </w:pPr>
      <w:r w:rsidRPr="001A705C">
        <w:rPr>
          <w:rFonts w:ascii="Arial" w:hAnsi="Arial" w:cs="Arial"/>
          <w:color w:val="000000"/>
          <w:sz w:val="24"/>
          <w:szCs w:val="24"/>
          <w:lang w:val="es-ES" w:eastAsia="zh-CN"/>
        </w:rPr>
        <w:t xml:space="preserve">La totalidad de las partidas abonadas a los funcionarios de </w:t>
      </w:r>
      <w:smartTag w:uri="urn:schemas-microsoft-com:office:smarttags" w:element="PersonName">
        <w:smartTagPr>
          <w:attr w:name="ProductID" w:val="la Junta"/>
        </w:smartTagPr>
        <w:r w:rsidRPr="001A705C">
          <w:rPr>
            <w:rFonts w:ascii="Arial" w:hAnsi="Arial" w:cs="Arial"/>
            <w:color w:val="000000"/>
            <w:sz w:val="24"/>
            <w:szCs w:val="24"/>
            <w:lang w:val="es-ES" w:eastAsia="zh-CN"/>
          </w:rPr>
          <w:t>la Junta</w:t>
        </w:r>
      </w:smartTag>
      <w:r w:rsidRPr="001A705C">
        <w:rPr>
          <w:rFonts w:ascii="Arial" w:hAnsi="Arial" w:cs="Arial"/>
          <w:color w:val="000000"/>
          <w:sz w:val="24"/>
          <w:szCs w:val="24"/>
          <w:lang w:val="es-ES" w:eastAsia="zh-CN"/>
        </w:rPr>
        <w:t xml:space="preserve"> deberán estar establecidas en una norma de carácter presupuestal.</w:t>
      </w:r>
    </w:p>
    <w:p w:rsidR="001A705C" w:rsidRPr="001A705C" w:rsidRDefault="001A705C" w:rsidP="001A705C">
      <w:pPr>
        <w:keepNext/>
        <w:widowControl w:val="0"/>
        <w:jc w:val="right"/>
        <w:rPr>
          <w:rFonts w:ascii="Arial" w:hAnsi="Arial" w:cs="Arial"/>
          <w:snapToGrid w:val="0"/>
          <w:sz w:val="24"/>
          <w:szCs w:val="24"/>
          <w:lang w:val="es-ES"/>
        </w:rPr>
      </w:pPr>
      <w:r w:rsidRPr="001A705C">
        <w:rPr>
          <w:rFonts w:ascii="Arial" w:hAnsi="Arial" w:cs="Arial"/>
          <w:snapToGrid w:val="0"/>
          <w:sz w:val="24"/>
          <w:szCs w:val="24"/>
          <w:lang w:val="es-ES"/>
        </w:rPr>
        <w:t>Montevideo, 8 de junio de 2018</w:t>
      </w:r>
    </w:p>
    <w:p w:rsidR="001A705C" w:rsidRPr="001A705C" w:rsidRDefault="001A705C" w:rsidP="001A705C">
      <w:pPr>
        <w:keepNext/>
        <w:widowControl w:val="0"/>
        <w:rPr>
          <w:rFonts w:ascii="Arial" w:hAnsi="Arial" w:cs="Arial"/>
          <w:sz w:val="24"/>
          <w:szCs w:val="24"/>
          <w:highlight w:val="yellow"/>
          <w:lang w:val="es-ES"/>
        </w:rPr>
      </w:pPr>
      <w:proofErr w:type="spellStart"/>
      <w:proofErr w:type="gramStart"/>
      <w:r w:rsidRPr="001A705C">
        <w:rPr>
          <w:rFonts w:ascii="Arial" w:hAnsi="Arial" w:cs="Arial"/>
          <w:snapToGrid w:val="0"/>
          <w:sz w:val="24"/>
          <w:szCs w:val="24"/>
          <w:lang w:val="es-ES"/>
        </w:rPr>
        <w:t>ag</w:t>
      </w:r>
      <w:proofErr w:type="spellEnd"/>
      <w:proofErr w:type="gramEnd"/>
    </w:p>
    <w:sectPr w:rsidR="001A705C" w:rsidRPr="001A705C" w:rsidSect="00641A4B">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748"/>
    <w:multiLevelType w:val="hybridMultilevel"/>
    <w:tmpl w:val="FA925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695426"/>
    <w:multiLevelType w:val="hybridMultilevel"/>
    <w:tmpl w:val="B98A5228"/>
    <w:lvl w:ilvl="0" w:tplc="1E1A3590">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
    <w:nsid w:val="258D5D6C"/>
    <w:multiLevelType w:val="hybridMultilevel"/>
    <w:tmpl w:val="6F34B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4A84019"/>
    <w:multiLevelType w:val="hybridMultilevel"/>
    <w:tmpl w:val="D562B6CA"/>
    <w:lvl w:ilvl="0" w:tplc="DF3CAEE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7A"/>
    <w:rsid w:val="00080F21"/>
    <w:rsid w:val="00144E53"/>
    <w:rsid w:val="001A705C"/>
    <w:rsid w:val="001D53FF"/>
    <w:rsid w:val="002066AF"/>
    <w:rsid w:val="00294C9C"/>
    <w:rsid w:val="002F69C6"/>
    <w:rsid w:val="0033211D"/>
    <w:rsid w:val="00385933"/>
    <w:rsid w:val="003B337B"/>
    <w:rsid w:val="003F1A57"/>
    <w:rsid w:val="00414A4C"/>
    <w:rsid w:val="004E017A"/>
    <w:rsid w:val="0052632E"/>
    <w:rsid w:val="005D6B7A"/>
    <w:rsid w:val="00641A4B"/>
    <w:rsid w:val="006650A9"/>
    <w:rsid w:val="00690999"/>
    <w:rsid w:val="006A71A6"/>
    <w:rsid w:val="006C362A"/>
    <w:rsid w:val="00700DE1"/>
    <w:rsid w:val="009734D5"/>
    <w:rsid w:val="00AE072A"/>
    <w:rsid w:val="00C17C0F"/>
    <w:rsid w:val="00C50CFE"/>
    <w:rsid w:val="00C9376F"/>
    <w:rsid w:val="00CA53DF"/>
    <w:rsid w:val="00CF09E9"/>
    <w:rsid w:val="00E20400"/>
    <w:rsid w:val="00FA10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Textoindependiente"/>
    <w:link w:val="Ttulo2Car"/>
    <w:qFormat/>
    <w:rsid w:val="001A705C"/>
    <w:pPr>
      <w:spacing w:after="170" w:line="360" w:lineRule="auto"/>
      <w:outlineLvl w:val="1"/>
    </w:pPr>
    <w:rPr>
      <w:rFonts w:ascii="Arial" w:eastAsia="Times New Roman" w:hAnsi="Arial" w:cs="Times New Roman"/>
      <w:b/>
      <w:kern w:val="18"/>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character" w:customStyle="1" w:styleId="Ttulo2Car">
    <w:name w:val="Título 2 Car"/>
    <w:basedOn w:val="Fuentedeprrafopredeter"/>
    <w:link w:val="Ttulo2"/>
    <w:rsid w:val="001A705C"/>
    <w:rPr>
      <w:rFonts w:ascii="Arial" w:eastAsia="Times New Roman" w:hAnsi="Arial" w:cs="Times New Roman"/>
      <w:b/>
      <w:kern w:val="18"/>
      <w:sz w:val="24"/>
      <w:szCs w:val="20"/>
      <w:lang w:val="es-ES" w:eastAsia="es-ES"/>
    </w:rPr>
  </w:style>
  <w:style w:type="paragraph" w:styleId="Textoindependiente">
    <w:name w:val="Body Text"/>
    <w:basedOn w:val="Normal"/>
    <w:link w:val="TextoindependienteCar"/>
    <w:semiHidden/>
    <w:rsid w:val="001A705C"/>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1A705C"/>
    <w:rPr>
      <w:rFonts w:ascii="Arial" w:eastAsia="Times New Roman" w:hAnsi="Arial" w:cs="Times New Roman"/>
      <w:kern w:val="18"/>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Textoindependiente"/>
    <w:link w:val="Ttulo2Car"/>
    <w:qFormat/>
    <w:rsid w:val="001A705C"/>
    <w:pPr>
      <w:spacing w:after="170" w:line="360" w:lineRule="auto"/>
      <w:outlineLvl w:val="1"/>
    </w:pPr>
    <w:rPr>
      <w:rFonts w:ascii="Arial" w:eastAsia="Times New Roman" w:hAnsi="Arial" w:cs="Times New Roman"/>
      <w:b/>
      <w:kern w:val="18"/>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character" w:customStyle="1" w:styleId="Ttulo2Car">
    <w:name w:val="Título 2 Car"/>
    <w:basedOn w:val="Fuentedeprrafopredeter"/>
    <w:link w:val="Ttulo2"/>
    <w:rsid w:val="001A705C"/>
    <w:rPr>
      <w:rFonts w:ascii="Arial" w:eastAsia="Times New Roman" w:hAnsi="Arial" w:cs="Times New Roman"/>
      <w:b/>
      <w:kern w:val="18"/>
      <w:sz w:val="24"/>
      <w:szCs w:val="20"/>
      <w:lang w:val="es-ES" w:eastAsia="es-ES"/>
    </w:rPr>
  </w:style>
  <w:style w:type="paragraph" w:styleId="Textoindependiente">
    <w:name w:val="Body Text"/>
    <w:basedOn w:val="Normal"/>
    <w:link w:val="TextoindependienteCar"/>
    <w:semiHidden/>
    <w:rsid w:val="001A705C"/>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1A705C"/>
    <w:rPr>
      <w:rFonts w:ascii="Arial" w:eastAsia="Times New Roman" w:hAnsi="Arial" w:cs="Times New Roman"/>
      <w:kern w:val="18"/>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2460</Words>
  <Characters>13534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12495209</dc:creator>
  <cp:lastModifiedBy>Tribunal1</cp:lastModifiedBy>
  <cp:revision>8</cp:revision>
  <dcterms:created xsi:type="dcterms:W3CDTF">2018-06-27T15:09:00Z</dcterms:created>
  <dcterms:modified xsi:type="dcterms:W3CDTF">2018-08-27T18:12:00Z</dcterms:modified>
</cp:coreProperties>
</file>