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B8" w:rsidRPr="00786EEB" w:rsidRDefault="005564B8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2194/18</w:t>
      </w:r>
    </w:p>
    <w:p w:rsidR="005564B8" w:rsidRDefault="005564B8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5564B8" w:rsidRPr="00762B34" w:rsidRDefault="005564B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5564B8" w:rsidRPr="00762B34" w:rsidRDefault="005564B8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5564B8" w:rsidRPr="00762B34" w:rsidRDefault="005564B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5564B8" w:rsidRPr="00762B34" w:rsidRDefault="005564B8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5564B8" w:rsidRPr="00762B34" w:rsidRDefault="005564B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4 DE JULIO </w:t>
      </w:r>
      <w:r>
        <w:rPr>
          <w:rFonts w:ascii="Helvetica" w:hAnsi="Helvetica"/>
          <w:b/>
          <w:lang w:val="es-ES_tradnl"/>
        </w:rPr>
        <w:t>DE 2018</w:t>
      </w:r>
    </w:p>
    <w:p w:rsidR="005564B8" w:rsidRPr="00762B34" w:rsidRDefault="005564B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5564B8" w:rsidRPr="00762B34" w:rsidRDefault="005564B8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2018-17-1-0004156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 xml:space="preserve">. N° </w:t>
      </w:r>
      <w:r>
        <w:rPr>
          <w:rFonts w:cs="Arial"/>
          <w:b/>
          <w:lang w:val="en-US"/>
        </w:rPr>
        <w:t>3183/18</w:t>
      </w:r>
      <w:r w:rsidRPr="00762B34">
        <w:rPr>
          <w:rFonts w:cs="Arial"/>
          <w:b/>
          <w:lang w:val="en-US"/>
        </w:rPr>
        <w:t>)</w:t>
      </w:r>
    </w:p>
    <w:p w:rsidR="005564B8" w:rsidRDefault="005564B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5564B8" w:rsidRDefault="004A02CD" w:rsidP="005564B8">
      <w:pPr>
        <w:spacing w:line="360" w:lineRule="auto"/>
        <w:ind w:firstLine="851"/>
        <w:jc w:val="both"/>
      </w:pPr>
      <w:r>
        <w:rPr>
          <w:b/>
          <w:bCs/>
        </w:rPr>
        <w:t>VISTO:</w:t>
      </w:r>
      <w:r>
        <w:t xml:space="preserve"> estas actuaciones remitidas por el </w:t>
      </w:r>
      <w:r>
        <w:rPr>
          <w:rFonts w:cs="Arial"/>
          <w:lang w:val="es-MX"/>
        </w:rPr>
        <w:t>Ministerio de Transporte y Obras Públicas (MTOP)</w:t>
      </w:r>
      <w:r>
        <w:t xml:space="preserve">, relacionadas con el convenio </w:t>
      </w:r>
      <w:r w:rsidR="00FC67CC">
        <w:t>celebrado</w:t>
      </w:r>
      <w:r>
        <w:t xml:space="preserve"> con MEVI</w:t>
      </w:r>
      <w:r w:rsidR="005564B8">
        <w:t xml:space="preserve">R “Dr. Alberto </w:t>
      </w:r>
      <w:proofErr w:type="spellStart"/>
      <w:r w:rsidR="005564B8">
        <w:t>Gallinal</w:t>
      </w:r>
      <w:proofErr w:type="spellEnd"/>
      <w:r w:rsidR="005564B8">
        <w:t xml:space="preserve"> Heber”;</w:t>
      </w:r>
    </w:p>
    <w:p w:rsidR="005564B8" w:rsidRDefault="004A02CD" w:rsidP="005564B8">
      <w:pPr>
        <w:spacing w:line="360" w:lineRule="auto"/>
        <w:ind w:firstLine="851"/>
        <w:jc w:val="both"/>
        <w:rPr>
          <w:rFonts w:cs="Arial"/>
          <w:bCs/>
        </w:rPr>
      </w:pPr>
      <w:r>
        <w:rPr>
          <w:b/>
          <w:bCs/>
        </w:rPr>
        <w:t xml:space="preserve">RESULTANDO: 1) </w:t>
      </w:r>
      <w:r>
        <w:t xml:space="preserve">que </w:t>
      </w:r>
      <w:r w:rsidR="00BD6E05">
        <w:t>a efectos de solucionar</w:t>
      </w:r>
      <w:r w:rsidR="00730F70">
        <w:t xml:space="preserve"> </w:t>
      </w:r>
      <w:r w:rsidR="00BD6E05">
        <w:t>e</w:t>
      </w:r>
      <w:r w:rsidR="00730F70">
        <w:t xml:space="preserve">l problema </w:t>
      </w:r>
      <w:r w:rsidR="00EA4EC2">
        <w:t>habitacional</w:t>
      </w:r>
      <w:r w:rsidR="00835F39">
        <w:t xml:space="preserve"> d</w:t>
      </w:r>
      <w:r w:rsidR="00730F70">
        <w:t>el persona</w:t>
      </w:r>
      <w:r w:rsidR="004F6833">
        <w:t>l</w:t>
      </w:r>
      <w:r w:rsidR="00730F70">
        <w:t xml:space="preserve"> de la </w:t>
      </w:r>
      <w:r w:rsidR="00EA4EC2">
        <w:t>Dirección</w:t>
      </w:r>
      <w:r w:rsidR="00730F70">
        <w:t xml:space="preserve"> </w:t>
      </w:r>
      <w:r w:rsidR="00EA4EC2">
        <w:t>Nacional</w:t>
      </w:r>
      <w:r w:rsidR="00730F70">
        <w:t xml:space="preserve"> de </w:t>
      </w:r>
      <w:r w:rsidR="00EA4EC2">
        <w:t>Hidrografía</w:t>
      </w:r>
      <w:r w:rsidR="00730F70">
        <w:t xml:space="preserve">  que brinda el </w:t>
      </w:r>
      <w:r w:rsidR="00EA4EC2">
        <w:t>servicio</w:t>
      </w:r>
      <w:r w:rsidR="00730F70">
        <w:t xml:space="preserve"> de </w:t>
      </w:r>
      <w:r w:rsidR="00EA4EC2">
        <w:t>cruce</w:t>
      </w:r>
      <w:r w:rsidR="00730F70">
        <w:t xml:space="preserve"> de balsa en </w:t>
      </w:r>
      <w:r w:rsidR="00EA4EC2">
        <w:t>el puerto “</w:t>
      </w:r>
      <w:r w:rsidR="00730F70">
        <w:t>La Char</w:t>
      </w:r>
      <w:r w:rsidR="00EA4EC2">
        <w:t>queada”</w:t>
      </w:r>
      <w:r w:rsidR="00BD6E05">
        <w:t>,</w:t>
      </w:r>
      <w:r w:rsidR="00EA4EC2">
        <w:t xml:space="preserve"> ubicado en el </w:t>
      </w:r>
      <w:r w:rsidR="00730F70">
        <w:t xml:space="preserve"> </w:t>
      </w:r>
      <w:r w:rsidR="00EA4EC2">
        <w:t>Departamento</w:t>
      </w:r>
      <w:r w:rsidR="00730F70">
        <w:t xml:space="preserve"> de Treinta </w:t>
      </w:r>
      <w:r w:rsidR="004F6833">
        <w:t>y</w:t>
      </w:r>
      <w:r w:rsidR="00730F70">
        <w:t xml:space="preserve"> </w:t>
      </w:r>
      <w:r w:rsidR="004F6833">
        <w:t>T</w:t>
      </w:r>
      <w:r w:rsidR="00730F70">
        <w:t>res</w:t>
      </w:r>
      <w:r w:rsidR="00BD6E05">
        <w:t>,</w:t>
      </w:r>
      <w:r w:rsidR="00730F70">
        <w:t xml:space="preserve"> </w:t>
      </w:r>
      <w:r w:rsidR="00AE07BC">
        <w:t xml:space="preserve">el 24/5/18 </w:t>
      </w:r>
      <w:r w:rsidR="00BD6E05">
        <w:t>se celebró el Convenio referido</w:t>
      </w:r>
      <w:r w:rsidR="005564B8">
        <w:rPr>
          <w:rFonts w:cs="Arial"/>
          <w:bCs/>
        </w:rPr>
        <w:t>;</w:t>
      </w:r>
    </w:p>
    <w:p w:rsidR="005564B8" w:rsidRDefault="00835F39" w:rsidP="005564B8">
      <w:pPr>
        <w:spacing w:line="360" w:lineRule="auto"/>
        <w:ind w:firstLine="2835"/>
        <w:jc w:val="both"/>
        <w:rPr>
          <w:rFonts w:cs="Arial"/>
          <w:bCs/>
        </w:rPr>
      </w:pPr>
      <w:r w:rsidRPr="00835F39">
        <w:rPr>
          <w:rFonts w:cs="Arial"/>
          <w:b/>
          <w:bCs/>
        </w:rPr>
        <w:t>2)</w:t>
      </w:r>
      <w:r>
        <w:rPr>
          <w:rFonts w:cs="Arial"/>
          <w:bCs/>
        </w:rPr>
        <w:t xml:space="preserve"> que por el mismo </w:t>
      </w:r>
      <w:r w:rsidR="004A02CD">
        <w:rPr>
          <w:rFonts w:cs="Arial"/>
          <w:bCs/>
        </w:rPr>
        <w:t>MEVIR</w:t>
      </w:r>
      <w:r w:rsidR="00AE07BC">
        <w:rPr>
          <w:rFonts w:cs="Arial"/>
          <w:bCs/>
        </w:rPr>
        <w:t xml:space="preserve"> se obliga a </w:t>
      </w:r>
      <w:r w:rsidR="00EA4EC2">
        <w:rPr>
          <w:rFonts w:cs="Arial"/>
          <w:bCs/>
        </w:rPr>
        <w:t>construir</w:t>
      </w:r>
      <w:r w:rsidR="00AE07BC">
        <w:rPr>
          <w:rFonts w:cs="Arial"/>
          <w:bCs/>
        </w:rPr>
        <w:t xml:space="preserve"> para el MTOP una vivienda nu</w:t>
      </w:r>
      <w:r>
        <w:rPr>
          <w:rFonts w:cs="Arial"/>
          <w:bCs/>
        </w:rPr>
        <w:t>eva de 3 dormitorios, que se</w:t>
      </w:r>
      <w:r w:rsidR="00AE07BC">
        <w:rPr>
          <w:rFonts w:cs="Arial"/>
          <w:bCs/>
        </w:rPr>
        <w:t xml:space="preserve"> describe en un </w:t>
      </w:r>
      <w:r w:rsidR="00EA4EC2">
        <w:rPr>
          <w:rFonts w:cs="Arial"/>
          <w:bCs/>
        </w:rPr>
        <w:t>plano</w:t>
      </w:r>
      <w:r w:rsidR="00AE07BC">
        <w:rPr>
          <w:rFonts w:cs="Arial"/>
          <w:bCs/>
        </w:rPr>
        <w:t xml:space="preserve">, memoria </w:t>
      </w:r>
      <w:r w:rsidR="00EA4EC2">
        <w:rPr>
          <w:rFonts w:cs="Arial"/>
          <w:bCs/>
        </w:rPr>
        <w:t>constructiva</w:t>
      </w:r>
      <w:r w:rsidR="00AE07BC">
        <w:rPr>
          <w:rFonts w:cs="Arial"/>
          <w:bCs/>
        </w:rPr>
        <w:t xml:space="preserve"> y </w:t>
      </w:r>
      <w:r w:rsidR="00EA4EC2">
        <w:rPr>
          <w:rFonts w:cs="Arial"/>
          <w:bCs/>
        </w:rPr>
        <w:t>presupuesto</w:t>
      </w:r>
      <w:r w:rsidR="00AE07BC">
        <w:rPr>
          <w:rFonts w:cs="Arial"/>
          <w:bCs/>
        </w:rPr>
        <w:t xml:space="preserve"> que se anexa</w:t>
      </w:r>
      <w:r>
        <w:rPr>
          <w:rFonts w:cs="Arial"/>
          <w:bCs/>
        </w:rPr>
        <w:t>n y</w:t>
      </w:r>
      <w:r w:rsidR="00AE07BC">
        <w:rPr>
          <w:rFonts w:cs="Arial"/>
          <w:bCs/>
        </w:rPr>
        <w:t xml:space="preserve"> que forma</w:t>
      </w:r>
      <w:r>
        <w:rPr>
          <w:rFonts w:cs="Arial"/>
          <w:bCs/>
        </w:rPr>
        <w:t xml:space="preserve">n parte del acuerdo, </w:t>
      </w:r>
      <w:r w:rsidR="00AE07BC">
        <w:rPr>
          <w:rFonts w:cs="Arial"/>
          <w:bCs/>
        </w:rPr>
        <w:t>en</w:t>
      </w:r>
      <w:r w:rsidR="00EA4EC2">
        <w:rPr>
          <w:rFonts w:cs="Arial"/>
          <w:bCs/>
        </w:rPr>
        <w:t xml:space="preserve"> </w:t>
      </w:r>
      <w:r>
        <w:rPr>
          <w:rFonts w:cs="Arial"/>
          <w:bCs/>
        </w:rPr>
        <w:t xml:space="preserve">el </w:t>
      </w:r>
      <w:r w:rsidR="00AE07BC">
        <w:rPr>
          <w:rFonts w:cs="Arial"/>
          <w:bCs/>
        </w:rPr>
        <w:t xml:space="preserve">solar de terreno sin </w:t>
      </w:r>
      <w:r w:rsidR="00EA4EC2">
        <w:rPr>
          <w:rFonts w:cs="Arial"/>
          <w:bCs/>
        </w:rPr>
        <w:t>construcciones</w:t>
      </w:r>
      <w:r w:rsidR="00AE07BC">
        <w:rPr>
          <w:rFonts w:cs="Arial"/>
          <w:bCs/>
        </w:rPr>
        <w:t xml:space="preserve"> sito en la Localidad </w:t>
      </w:r>
      <w:r w:rsidR="00EA4EC2">
        <w:rPr>
          <w:rFonts w:cs="Arial"/>
          <w:bCs/>
        </w:rPr>
        <w:t>Catastral</w:t>
      </w:r>
      <w:r w:rsidR="00AE07BC">
        <w:rPr>
          <w:rFonts w:cs="Arial"/>
          <w:bCs/>
        </w:rPr>
        <w:t xml:space="preserve"> General </w:t>
      </w:r>
      <w:r w:rsidR="00EA4EC2">
        <w:rPr>
          <w:rFonts w:cs="Arial"/>
          <w:bCs/>
        </w:rPr>
        <w:t>E</w:t>
      </w:r>
      <w:r w:rsidR="00AE07BC">
        <w:rPr>
          <w:rFonts w:cs="Arial"/>
          <w:bCs/>
        </w:rPr>
        <w:t xml:space="preserve">nrique </w:t>
      </w:r>
      <w:r w:rsidR="00EA4EC2">
        <w:rPr>
          <w:rFonts w:cs="Arial"/>
          <w:bCs/>
        </w:rPr>
        <w:t>Martínez</w:t>
      </w:r>
      <w:r w:rsidR="00AE07BC">
        <w:rPr>
          <w:rFonts w:cs="Arial"/>
          <w:bCs/>
        </w:rPr>
        <w:t xml:space="preserve">, </w:t>
      </w:r>
      <w:r w:rsidR="00EA4EC2">
        <w:rPr>
          <w:rFonts w:cs="Arial"/>
          <w:bCs/>
        </w:rPr>
        <w:t>Departamento</w:t>
      </w:r>
      <w:r w:rsidR="00AE07BC">
        <w:rPr>
          <w:rFonts w:cs="Arial"/>
          <w:bCs/>
        </w:rPr>
        <w:t xml:space="preserve"> de Treinta y Tres, </w:t>
      </w:r>
      <w:r w:rsidR="00EA4EC2">
        <w:rPr>
          <w:rFonts w:cs="Arial"/>
          <w:bCs/>
        </w:rPr>
        <w:t>empadronado</w:t>
      </w:r>
      <w:r w:rsidR="00AE07BC">
        <w:rPr>
          <w:rFonts w:cs="Arial"/>
          <w:bCs/>
        </w:rPr>
        <w:t xml:space="preserve"> con el Nro. 1013, con un</w:t>
      </w:r>
      <w:r w:rsidR="00EA4EC2">
        <w:rPr>
          <w:rFonts w:cs="Arial"/>
          <w:bCs/>
        </w:rPr>
        <w:t>a</w:t>
      </w:r>
      <w:r w:rsidR="00AE07BC">
        <w:rPr>
          <w:rFonts w:cs="Arial"/>
          <w:bCs/>
        </w:rPr>
        <w:t xml:space="preserve"> superficie de 679 </w:t>
      </w:r>
      <w:r w:rsidR="00EA4EC2">
        <w:rPr>
          <w:rFonts w:cs="Arial"/>
          <w:bCs/>
        </w:rPr>
        <w:t>metros</w:t>
      </w:r>
      <w:r w:rsidR="00AE07BC">
        <w:rPr>
          <w:rFonts w:cs="Arial"/>
          <w:bCs/>
        </w:rPr>
        <w:t xml:space="preserve"> cuadrados</w:t>
      </w:r>
      <w:r w:rsidR="004F6833">
        <w:rPr>
          <w:rFonts w:cs="Arial"/>
          <w:bCs/>
        </w:rPr>
        <w:t>;</w:t>
      </w:r>
    </w:p>
    <w:p w:rsidR="005564B8" w:rsidRDefault="004763A1" w:rsidP="005564B8">
      <w:pPr>
        <w:spacing w:line="360" w:lineRule="auto"/>
        <w:ind w:firstLine="2835"/>
        <w:jc w:val="both"/>
        <w:rPr>
          <w:rFonts w:cs="Arial"/>
          <w:bCs/>
        </w:rPr>
      </w:pPr>
      <w:r>
        <w:rPr>
          <w:rFonts w:cs="Arial"/>
          <w:b/>
        </w:rPr>
        <w:t>3</w:t>
      </w:r>
      <w:r w:rsidR="004A02CD">
        <w:rPr>
          <w:rFonts w:cs="Arial"/>
          <w:b/>
        </w:rPr>
        <w:t>)</w:t>
      </w:r>
      <w:r w:rsidR="004A02CD">
        <w:rPr>
          <w:rFonts w:cs="Arial"/>
          <w:bCs/>
        </w:rPr>
        <w:t xml:space="preserve"> que </w:t>
      </w:r>
      <w:r w:rsidR="00AE07BC">
        <w:rPr>
          <w:rFonts w:cs="Arial"/>
          <w:bCs/>
        </w:rPr>
        <w:t xml:space="preserve">el precio de las </w:t>
      </w:r>
      <w:r w:rsidR="00EA4EC2">
        <w:rPr>
          <w:rFonts w:cs="Arial"/>
          <w:bCs/>
        </w:rPr>
        <w:t>obras</w:t>
      </w:r>
      <w:r w:rsidR="00835F39">
        <w:rPr>
          <w:rFonts w:cs="Arial"/>
          <w:bCs/>
        </w:rPr>
        <w:t xml:space="preserve"> descriptas </w:t>
      </w:r>
      <w:r w:rsidR="00AE07BC">
        <w:rPr>
          <w:rFonts w:cs="Arial"/>
          <w:bCs/>
        </w:rPr>
        <w:t>asciende a</w:t>
      </w:r>
      <w:r w:rsidR="00835F39">
        <w:rPr>
          <w:rFonts w:cs="Arial"/>
          <w:bCs/>
        </w:rPr>
        <w:t xml:space="preserve"> la suma </w:t>
      </w:r>
      <w:r w:rsidR="00AE07BC">
        <w:rPr>
          <w:rFonts w:cs="Arial"/>
          <w:bCs/>
        </w:rPr>
        <w:t xml:space="preserve"> 2.100 UR</w:t>
      </w:r>
      <w:r w:rsidR="00835F39">
        <w:rPr>
          <w:rFonts w:cs="Arial"/>
          <w:bCs/>
        </w:rPr>
        <w:t>,</w:t>
      </w:r>
      <w:r w:rsidR="00AE07BC">
        <w:rPr>
          <w:rFonts w:cs="Arial"/>
          <w:bCs/>
        </w:rPr>
        <w:t xml:space="preserve"> que el MTOP se obliga a pagar a MEVIR de la siguiente forma: </w:t>
      </w:r>
      <w:r w:rsidR="00AE07BC" w:rsidRPr="005564B8">
        <w:rPr>
          <w:rFonts w:cs="Arial"/>
          <w:b/>
          <w:bCs/>
        </w:rPr>
        <w:t>a)</w:t>
      </w:r>
      <w:r w:rsidR="00AE07BC">
        <w:rPr>
          <w:rFonts w:cs="Arial"/>
          <w:bCs/>
        </w:rPr>
        <w:t xml:space="preserve"> 630 UR –equivalente al 30%</w:t>
      </w:r>
      <w:r w:rsidR="004F6833">
        <w:rPr>
          <w:rFonts w:cs="Arial"/>
          <w:bCs/>
        </w:rPr>
        <w:t xml:space="preserve"> del presupuesto- que se abonará</w:t>
      </w:r>
      <w:r w:rsidR="00AE07BC">
        <w:rPr>
          <w:rFonts w:cs="Arial"/>
          <w:bCs/>
        </w:rPr>
        <w:t xml:space="preserve"> una vez que esté</w:t>
      </w:r>
      <w:r w:rsidR="00EA4EC2">
        <w:rPr>
          <w:rFonts w:cs="Arial"/>
          <w:bCs/>
        </w:rPr>
        <w:t xml:space="preserve"> aprobado</w:t>
      </w:r>
      <w:r w:rsidR="00AE07BC">
        <w:rPr>
          <w:rFonts w:cs="Arial"/>
          <w:bCs/>
        </w:rPr>
        <w:t xml:space="preserve"> por el Poder </w:t>
      </w:r>
      <w:r w:rsidR="004F6833">
        <w:rPr>
          <w:rFonts w:cs="Arial"/>
          <w:bCs/>
        </w:rPr>
        <w:t>E</w:t>
      </w:r>
      <w:r w:rsidR="00AE07BC">
        <w:rPr>
          <w:rFonts w:cs="Arial"/>
          <w:bCs/>
        </w:rPr>
        <w:t xml:space="preserve">jecutivo, </w:t>
      </w:r>
      <w:r w:rsidR="00AE07BC" w:rsidRPr="005564B8">
        <w:rPr>
          <w:rFonts w:cs="Arial"/>
          <w:b/>
          <w:bCs/>
        </w:rPr>
        <w:t>b)</w:t>
      </w:r>
      <w:r w:rsidR="00AE07BC">
        <w:rPr>
          <w:rFonts w:cs="Arial"/>
          <w:bCs/>
        </w:rPr>
        <w:t xml:space="preserve"> 1.050 UR equivalente al 50% del </w:t>
      </w:r>
      <w:r w:rsidR="00EA4EC2">
        <w:rPr>
          <w:rFonts w:cs="Arial"/>
          <w:bCs/>
        </w:rPr>
        <w:t>presupuesto</w:t>
      </w:r>
      <w:r w:rsidR="00AE07BC">
        <w:rPr>
          <w:rFonts w:cs="Arial"/>
          <w:bCs/>
        </w:rPr>
        <w:t xml:space="preserve">, </w:t>
      </w:r>
      <w:r w:rsidR="00EA4EC2">
        <w:rPr>
          <w:rFonts w:cs="Arial"/>
          <w:bCs/>
        </w:rPr>
        <w:t>pagaderas</w:t>
      </w:r>
      <w:r w:rsidR="00AE07BC">
        <w:rPr>
          <w:rFonts w:cs="Arial"/>
          <w:bCs/>
        </w:rPr>
        <w:t xml:space="preserve"> una vez alcanzado el 50% del avance de las obras proyectadas, </w:t>
      </w:r>
      <w:r w:rsidR="00AE07BC" w:rsidRPr="005564B8">
        <w:rPr>
          <w:rFonts w:cs="Arial"/>
          <w:b/>
          <w:bCs/>
        </w:rPr>
        <w:t>c)</w:t>
      </w:r>
      <w:r w:rsidR="00AE07BC">
        <w:rPr>
          <w:rFonts w:cs="Arial"/>
          <w:bCs/>
        </w:rPr>
        <w:t xml:space="preserve"> el</w:t>
      </w:r>
      <w:r w:rsidR="005564B8">
        <w:rPr>
          <w:rFonts w:cs="Arial"/>
          <w:bCs/>
        </w:rPr>
        <w:t xml:space="preserve"> saldo o sea la suma de 420 UR -</w:t>
      </w:r>
      <w:r w:rsidR="00AE07BC">
        <w:rPr>
          <w:rFonts w:cs="Arial"/>
          <w:bCs/>
        </w:rPr>
        <w:t xml:space="preserve">equivalente al 20% del presupuesto- será abonado conjuntamente con la finalización y entrega de la obra proyectada. La ocupación de la vivienda cuya construcción se proyecta, </w:t>
      </w:r>
      <w:r w:rsidR="00AE07BC">
        <w:rPr>
          <w:rFonts w:cs="Arial"/>
          <w:bCs/>
        </w:rPr>
        <w:lastRenderedPageBreak/>
        <w:t xml:space="preserve">será </w:t>
      </w:r>
      <w:r w:rsidR="00EA4EC2">
        <w:rPr>
          <w:rFonts w:cs="Arial"/>
          <w:bCs/>
        </w:rPr>
        <w:t>entregada</w:t>
      </w:r>
      <w:r w:rsidR="00AE07BC">
        <w:rPr>
          <w:rFonts w:cs="Arial"/>
          <w:bCs/>
        </w:rPr>
        <w:t xml:space="preserve"> al MTOP, luego de que éste abone a MEVIR la totalidad del precio pactado en el convenio;</w:t>
      </w:r>
    </w:p>
    <w:p w:rsidR="00C90BC5" w:rsidRDefault="004763A1" w:rsidP="005564B8">
      <w:pPr>
        <w:spacing w:line="360" w:lineRule="auto"/>
        <w:ind w:firstLine="2835"/>
        <w:jc w:val="both"/>
        <w:rPr>
          <w:rFonts w:cs="Arial"/>
          <w:bCs/>
        </w:rPr>
      </w:pPr>
      <w:r>
        <w:rPr>
          <w:rFonts w:cs="Arial"/>
          <w:b/>
          <w:bCs/>
        </w:rPr>
        <w:t>4</w:t>
      </w:r>
      <w:r w:rsidR="00AE07BC" w:rsidRPr="00EA4EC2">
        <w:rPr>
          <w:rFonts w:cs="Arial"/>
          <w:b/>
          <w:bCs/>
        </w:rPr>
        <w:t>)</w:t>
      </w:r>
      <w:r w:rsidR="00AE07BC">
        <w:rPr>
          <w:rFonts w:cs="Arial"/>
          <w:bCs/>
        </w:rPr>
        <w:t xml:space="preserve"> que se </w:t>
      </w:r>
      <w:r w:rsidR="00EA4EC2">
        <w:rPr>
          <w:rFonts w:cs="Arial"/>
          <w:bCs/>
        </w:rPr>
        <w:t>establece</w:t>
      </w:r>
      <w:r w:rsidR="00835F39">
        <w:rPr>
          <w:rFonts w:cs="Arial"/>
          <w:bCs/>
        </w:rPr>
        <w:t xml:space="preserve"> el</w:t>
      </w:r>
      <w:r w:rsidR="00AE07BC">
        <w:rPr>
          <w:rFonts w:cs="Arial"/>
          <w:bCs/>
        </w:rPr>
        <w:t xml:space="preserve"> plazo</w:t>
      </w:r>
      <w:r w:rsidR="00F440B0">
        <w:rPr>
          <w:rFonts w:cs="Arial"/>
          <w:bCs/>
        </w:rPr>
        <w:t xml:space="preserve"> para </w:t>
      </w:r>
      <w:r w:rsidR="00C90BC5">
        <w:rPr>
          <w:rFonts w:cs="Arial"/>
          <w:bCs/>
        </w:rPr>
        <w:t xml:space="preserve">la realización de las obras </w:t>
      </w:r>
      <w:r w:rsidR="00835F39">
        <w:rPr>
          <w:rFonts w:cs="Arial"/>
          <w:bCs/>
        </w:rPr>
        <w:t>en</w:t>
      </w:r>
      <w:r w:rsidR="00F440B0">
        <w:rPr>
          <w:rFonts w:cs="Arial"/>
          <w:bCs/>
        </w:rPr>
        <w:t xml:space="preserve"> 90 </w:t>
      </w:r>
      <w:r w:rsidR="00EA4EC2">
        <w:rPr>
          <w:rFonts w:cs="Arial"/>
          <w:bCs/>
        </w:rPr>
        <w:t>días</w:t>
      </w:r>
      <w:r w:rsidR="00F440B0">
        <w:rPr>
          <w:rFonts w:cs="Arial"/>
          <w:bCs/>
        </w:rPr>
        <w:t xml:space="preserve"> hábiles</w:t>
      </w:r>
      <w:r w:rsidR="00835F39">
        <w:rPr>
          <w:rFonts w:cs="Arial"/>
          <w:bCs/>
        </w:rPr>
        <w:t xml:space="preserve"> y se supedita la vigencia del convenio</w:t>
      </w:r>
      <w:r w:rsidR="00C90BC5">
        <w:rPr>
          <w:rFonts w:cs="Arial"/>
          <w:bCs/>
        </w:rPr>
        <w:t xml:space="preserve"> a la previa intervención del Tribunal de Cuentas y la posterior </w:t>
      </w:r>
      <w:r w:rsidR="00EA4EC2">
        <w:rPr>
          <w:rFonts w:cs="Arial"/>
          <w:bCs/>
        </w:rPr>
        <w:t>aprobación</w:t>
      </w:r>
      <w:r w:rsidR="00C90BC5">
        <w:rPr>
          <w:rFonts w:cs="Arial"/>
          <w:bCs/>
        </w:rPr>
        <w:t xml:space="preserve"> del Poder </w:t>
      </w:r>
      <w:r w:rsidR="004F6833">
        <w:rPr>
          <w:rFonts w:cs="Arial"/>
          <w:bCs/>
        </w:rPr>
        <w:t>E</w:t>
      </w:r>
      <w:r w:rsidR="00C90BC5">
        <w:rPr>
          <w:rFonts w:cs="Arial"/>
          <w:bCs/>
        </w:rPr>
        <w:t>jecutivo;</w:t>
      </w:r>
    </w:p>
    <w:p w:rsidR="005564B8" w:rsidRDefault="004A02CD" w:rsidP="005564B8">
      <w:pPr>
        <w:tabs>
          <w:tab w:val="left" w:pos="1701"/>
          <w:tab w:val="left" w:pos="1843"/>
        </w:tabs>
        <w:spacing w:line="360" w:lineRule="auto"/>
        <w:ind w:firstLine="851"/>
        <w:jc w:val="both"/>
      </w:pPr>
      <w:r>
        <w:rPr>
          <w:b/>
          <w:bCs/>
        </w:rPr>
        <w:t>CONSIDERANDO: 1</w:t>
      </w:r>
      <w:r w:rsidR="00333594" w:rsidRPr="005564B8">
        <w:rPr>
          <w:b/>
        </w:rPr>
        <w:t>)</w:t>
      </w:r>
      <w:r w:rsidR="00603872">
        <w:rPr>
          <w:b/>
          <w:bCs/>
        </w:rPr>
        <w:t xml:space="preserve"> </w:t>
      </w:r>
      <w:r w:rsidR="00603872">
        <w:t>que el Decreto 90/997 de</w:t>
      </w:r>
      <w:r w:rsidR="00EA4EC2">
        <w:t>l</w:t>
      </w:r>
      <w:r w:rsidR="00603872">
        <w:t xml:space="preserve"> </w:t>
      </w:r>
      <w:r w:rsidR="00333594">
        <w:t>04</w:t>
      </w:r>
      <w:r w:rsidR="00603872">
        <w:t>/</w:t>
      </w:r>
      <w:r w:rsidR="00333594">
        <w:t>04</w:t>
      </w:r>
      <w:r w:rsidR="00603872">
        <w:t>/97, prevé que la Dirección Nacional de Hidrografía</w:t>
      </w:r>
      <w:r w:rsidR="00333594">
        <w:t xml:space="preserve"> del Ministerio de Transporte y Obras Públicas</w:t>
      </w:r>
      <w:r w:rsidR="00603872">
        <w:t xml:space="preserve"> es responsable del mantenimiento y desarrollo de los puertos que se encuentran bajo su jurisdicción</w:t>
      </w:r>
      <w:r w:rsidR="00EA4EC2">
        <w:t xml:space="preserve"> y</w:t>
      </w:r>
      <w:r w:rsidR="00603872">
        <w:t xml:space="preserve"> de las vías navegables a efectos de cumplir con las necesidades del transporte fluvial y marítimo, proyecta</w:t>
      </w:r>
      <w:r w:rsidR="00EA4EC2">
        <w:t>ndo y controlando</w:t>
      </w:r>
      <w:r w:rsidR="00603872">
        <w:t xml:space="preserve"> el desarrollo de los puertos y obras costeras,</w:t>
      </w:r>
      <w:r w:rsidR="00EA4EC2">
        <w:t xml:space="preserve"> su</w:t>
      </w:r>
      <w:r w:rsidR="00603872">
        <w:t xml:space="preserve"> operación y mantenimiento</w:t>
      </w:r>
      <w:r w:rsidR="00333594">
        <w:t xml:space="preserve">, gerenciando </w:t>
      </w:r>
      <w:r w:rsidR="00EA4EC2">
        <w:t xml:space="preserve">a tales efectos </w:t>
      </w:r>
      <w:r w:rsidR="00333594">
        <w:t>sus recursos humanos y materiales</w:t>
      </w:r>
      <w:r w:rsidR="00EA4EC2">
        <w:t>;</w:t>
      </w:r>
    </w:p>
    <w:p w:rsidR="005564B8" w:rsidRDefault="00333594" w:rsidP="005564B8">
      <w:pPr>
        <w:tabs>
          <w:tab w:val="left" w:pos="1701"/>
          <w:tab w:val="left" w:pos="1843"/>
        </w:tabs>
        <w:spacing w:line="360" w:lineRule="auto"/>
        <w:ind w:firstLine="3119"/>
        <w:jc w:val="both"/>
      </w:pPr>
      <w:r>
        <w:rPr>
          <w:b/>
          <w:bCs/>
        </w:rPr>
        <w:t>2</w:t>
      </w:r>
      <w:r w:rsidR="004A02CD">
        <w:rPr>
          <w:b/>
          <w:bCs/>
        </w:rPr>
        <w:t>)</w:t>
      </w:r>
      <w:r w:rsidR="004A02CD">
        <w:t xml:space="preserve"> que </w:t>
      </w:r>
      <w:r w:rsidR="00CE6FC2">
        <w:t>el A</w:t>
      </w:r>
      <w:r w:rsidR="004A02CD">
        <w:t>rtículo 474 de la Ley Nº 13.640 prevé que le compete a MEVIR la construcción de viviendas higiénicas que sustituyan la habitaciones insalubres existentes en el medio rural y aledaños de las poblaciones urbanas del interior, teniendo además la facultad de celebrar convenios u otras formas de cooperación desarrollar su cometido</w:t>
      </w:r>
      <w:r w:rsidR="005564B8">
        <w:t>s (A</w:t>
      </w:r>
      <w:r w:rsidR="00835F39">
        <w:t>rtículo</w:t>
      </w:r>
      <w:r w:rsidR="004A02CD">
        <w:t xml:space="preserve"> 2 Ley Nº 16.690 de 22.12.94);</w:t>
      </w:r>
    </w:p>
    <w:p w:rsidR="005564B8" w:rsidRDefault="00333594" w:rsidP="005564B8">
      <w:pPr>
        <w:tabs>
          <w:tab w:val="left" w:pos="1701"/>
          <w:tab w:val="left" w:pos="1843"/>
        </w:tabs>
        <w:spacing w:line="360" w:lineRule="auto"/>
        <w:ind w:firstLine="3119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>3</w:t>
      </w:r>
      <w:r w:rsidR="004A02CD">
        <w:rPr>
          <w:rFonts w:cs="Arial"/>
          <w:b/>
          <w:bCs/>
          <w:lang w:val="es-MX"/>
        </w:rPr>
        <w:t>)</w:t>
      </w:r>
      <w:r w:rsidR="004A02CD">
        <w:rPr>
          <w:rFonts w:cs="Arial"/>
          <w:lang w:val="es-MX"/>
        </w:rPr>
        <w:t xml:space="preserve"> que en virtud de lo expuesto, </w:t>
      </w:r>
      <w:r>
        <w:rPr>
          <w:rFonts w:cs="Arial"/>
          <w:lang w:val="es-MX"/>
        </w:rPr>
        <w:t>las partes</w:t>
      </w:r>
      <w:r w:rsidR="00835F39">
        <w:rPr>
          <w:rFonts w:cs="Arial"/>
          <w:lang w:val="es-MX"/>
        </w:rPr>
        <w:t xml:space="preserve"> están legalmente facultadas</w:t>
      </w:r>
      <w:r w:rsidR="004A02CD">
        <w:rPr>
          <w:rFonts w:cs="Arial"/>
          <w:lang w:val="es-MX"/>
        </w:rPr>
        <w:t xml:space="preserve"> para celebrar el convenio remitido en esta instancia;</w:t>
      </w:r>
    </w:p>
    <w:p w:rsidR="004A02CD" w:rsidRDefault="00333594" w:rsidP="005564B8">
      <w:pPr>
        <w:tabs>
          <w:tab w:val="left" w:pos="1701"/>
          <w:tab w:val="left" w:pos="1843"/>
        </w:tabs>
        <w:spacing w:line="360" w:lineRule="auto"/>
        <w:ind w:firstLine="3119"/>
        <w:jc w:val="both"/>
        <w:rPr>
          <w:rFonts w:cs="Arial"/>
          <w:lang w:val="es-MX"/>
        </w:rPr>
      </w:pPr>
      <w:r w:rsidRPr="005564B8">
        <w:rPr>
          <w:rFonts w:cs="Arial"/>
          <w:b/>
          <w:lang w:val="es-MX"/>
        </w:rPr>
        <w:t>4</w:t>
      </w:r>
      <w:r w:rsidR="004A02CD" w:rsidRPr="005564B8">
        <w:rPr>
          <w:rFonts w:cs="Arial"/>
          <w:b/>
          <w:bCs/>
          <w:lang w:val="es-MX"/>
        </w:rPr>
        <w:t>)</w:t>
      </w:r>
      <w:r w:rsidR="004A02CD">
        <w:rPr>
          <w:rFonts w:cs="Arial"/>
          <w:lang w:val="es-MX"/>
        </w:rPr>
        <w:t xml:space="preserve"> que el procedimiento directo seguido para la selección del co-contratante, atendiendo a la naturaleza jurídica de las partes del convenio</w:t>
      </w:r>
      <w:r>
        <w:rPr>
          <w:rFonts w:cs="Arial"/>
          <w:lang w:val="es-MX"/>
        </w:rPr>
        <w:t>,</w:t>
      </w:r>
      <w:r w:rsidR="00835F39">
        <w:rPr>
          <w:rFonts w:cs="Arial"/>
          <w:lang w:val="es-MX"/>
        </w:rPr>
        <w:t xml:space="preserve"> encuadra en la causal de excepción establecida en </w:t>
      </w:r>
      <w:r w:rsidR="005564B8">
        <w:rPr>
          <w:rFonts w:cs="Arial"/>
          <w:lang w:val="es-MX"/>
        </w:rPr>
        <w:t>el L</w:t>
      </w:r>
      <w:r w:rsidR="004A02CD">
        <w:rPr>
          <w:rFonts w:cs="Arial"/>
          <w:lang w:val="es-MX"/>
        </w:rPr>
        <w:t xml:space="preserve">iteral </w:t>
      </w:r>
      <w:r>
        <w:rPr>
          <w:rFonts w:cs="Arial"/>
          <w:lang w:val="es-MX"/>
        </w:rPr>
        <w:t>C</w:t>
      </w:r>
      <w:r w:rsidR="004A02CD">
        <w:rPr>
          <w:rFonts w:cs="Arial"/>
          <w:lang w:val="es-MX"/>
        </w:rPr>
        <w:t xml:space="preserve">) </w:t>
      </w:r>
      <w:r w:rsidR="005564B8">
        <w:rPr>
          <w:rFonts w:cs="Arial"/>
          <w:lang w:val="es-MX"/>
        </w:rPr>
        <w:t xml:space="preserve"> N</w:t>
      </w:r>
      <w:r>
        <w:rPr>
          <w:rFonts w:cs="Arial"/>
          <w:lang w:val="es-MX"/>
        </w:rPr>
        <w:t xml:space="preserve">umeral 1) </w:t>
      </w:r>
      <w:r w:rsidR="005564B8">
        <w:rPr>
          <w:rFonts w:cs="Arial"/>
          <w:lang w:val="es-MX"/>
        </w:rPr>
        <w:t>del A</w:t>
      </w:r>
      <w:r w:rsidR="004A02CD">
        <w:rPr>
          <w:rFonts w:cs="Arial"/>
          <w:lang w:val="es-MX"/>
        </w:rPr>
        <w:t>rtículo 33 del TOCAF;</w:t>
      </w:r>
    </w:p>
    <w:p w:rsidR="004A02CD" w:rsidRPr="004F6833" w:rsidRDefault="004A02CD" w:rsidP="004A02CD">
      <w:pPr>
        <w:spacing w:line="360" w:lineRule="auto"/>
        <w:ind w:firstLine="708"/>
        <w:jc w:val="center"/>
        <w:rPr>
          <w:b/>
          <w:bCs/>
          <w:lang w:val="es-MX"/>
        </w:rPr>
      </w:pPr>
    </w:p>
    <w:p w:rsidR="005564B8" w:rsidRDefault="005564B8" w:rsidP="004A02CD">
      <w:pPr>
        <w:spacing w:line="360" w:lineRule="auto"/>
        <w:ind w:firstLine="708"/>
        <w:jc w:val="center"/>
        <w:rPr>
          <w:b/>
          <w:bCs/>
        </w:rPr>
      </w:pPr>
    </w:p>
    <w:p w:rsidR="005564B8" w:rsidRDefault="005564B8" w:rsidP="004A02CD">
      <w:pPr>
        <w:spacing w:line="360" w:lineRule="auto"/>
        <w:ind w:firstLine="708"/>
        <w:jc w:val="center"/>
        <w:rPr>
          <w:b/>
          <w:bCs/>
        </w:rPr>
      </w:pPr>
    </w:p>
    <w:p w:rsidR="004A02CD" w:rsidRDefault="004A02CD" w:rsidP="004A02CD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lastRenderedPageBreak/>
        <w:t xml:space="preserve">EL TRIBUNAL </w:t>
      </w:r>
      <w:r w:rsidR="005564B8">
        <w:rPr>
          <w:b/>
          <w:bCs/>
        </w:rPr>
        <w:t>ACUERDA</w:t>
      </w:r>
    </w:p>
    <w:p w:rsidR="004A02CD" w:rsidRDefault="004A02CD" w:rsidP="005564B8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t>No formular observa</w:t>
      </w:r>
      <w:r w:rsidR="00835F39">
        <w:t xml:space="preserve">ciones al convenio </w:t>
      </w:r>
      <w:bookmarkStart w:id="0" w:name="_GoBack"/>
      <w:bookmarkEnd w:id="0"/>
      <w:r w:rsidR="00835F39">
        <w:t>celebrado</w:t>
      </w:r>
      <w:r w:rsidR="00CE6FC2">
        <w:t xml:space="preserve"> por</w:t>
      </w:r>
      <w:r>
        <w:t xml:space="preserve"> el</w:t>
      </w:r>
      <w:r>
        <w:rPr>
          <w:rFonts w:cs="Arial"/>
          <w:lang w:val="es-MX"/>
        </w:rPr>
        <w:t xml:space="preserve"> </w:t>
      </w:r>
      <w:r w:rsidR="00333594">
        <w:rPr>
          <w:rFonts w:cs="Arial"/>
          <w:lang w:val="es-MX"/>
        </w:rPr>
        <w:t xml:space="preserve">Ministerio de Transporte y Obras Públicas </w:t>
      </w:r>
      <w:r>
        <w:rPr>
          <w:rFonts w:cs="Arial"/>
          <w:lang w:val="es-MX"/>
        </w:rPr>
        <w:t xml:space="preserve"> y MEVIR</w:t>
      </w:r>
      <w:r>
        <w:t xml:space="preserve">; </w:t>
      </w:r>
    </w:p>
    <w:p w:rsidR="004A02CD" w:rsidRDefault="004A02CD" w:rsidP="005564B8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cs="Arial"/>
        </w:rPr>
      </w:pPr>
      <w:r>
        <w:rPr>
          <w:rFonts w:cs="Arial"/>
        </w:rPr>
        <w:t>Una ve</w:t>
      </w:r>
      <w:r w:rsidR="00CE6FC2">
        <w:rPr>
          <w:rFonts w:cs="Arial"/>
        </w:rPr>
        <w:t>z dictada la Resolución por el O</w:t>
      </w:r>
      <w:r>
        <w:rPr>
          <w:rFonts w:cs="Arial"/>
        </w:rPr>
        <w:t xml:space="preserve">rdenador competente, se comete </w:t>
      </w:r>
      <w:r>
        <w:rPr>
          <w:rFonts w:cs="Arial"/>
          <w:lang w:val="es-MX"/>
        </w:rPr>
        <w:t>a la Contadora Auditora destacada ante el</w:t>
      </w:r>
      <w:r>
        <w:rPr>
          <w:rFonts w:cs="Arial"/>
          <w:color w:val="000000"/>
          <w:szCs w:val="23"/>
        </w:rPr>
        <w:t xml:space="preserve"> </w:t>
      </w:r>
      <w:r w:rsidR="00333594">
        <w:rPr>
          <w:rFonts w:cs="Arial"/>
          <w:lang w:val="es-MX"/>
        </w:rPr>
        <w:t>Ministerio de Transporte y Obras Públicas</w:t>
      </w:r>
      <w:r>
        <w:rPr>
          <w:rFonts w:cs="Arial"/>
          <w:color w:val="000000"/>
          <w:szCs w:val="23"/>
        </w:rPr>
        <w:t>,</w:t>
      </w:r>
      <w:r>
        <w:rPr>
          <w:rFonts w:cs="Arial"/>
          <w:lang w:val="es-MX"/>
        </w:rPr>
        <w:t xml:space="preserve"> la intervención del gasto equivalente de hasta </w:t>
      </w:r>
      <w:r w:rsidR="00333594">
        <w:rPr>
          <w:rFonts w:cs="Arial"/>
          <w:lang w:val="es-MX"/>
        </w:rPr>
        <w:t>2.</w:t>
      </w:r>
      <w:r w:rsidR="009E6B52">
        <w:rPr>
          <w:rFonts w:cs="Arial"/>
          <w:lang w:val="es-MX"/>
        </w:rPr>
        <w:t>1</w:t>
      </w:r>
      <w:r w:rsidR="00333594">
        <w:rPr>
          <w:rFonts w:cs="Arial"/>
          <w:lang w:val="es-MX"/>
        </w:rPr>
        <w:t>00</w:t>
      </w:r>
      <w:r>
        <w:rPr>
          <w:rFonts w:cs="Arial"/>
          <w:bCs/>
        </w:rPr>
        <w:t xml:space="preserve"> Unidades Reajustables</w:t>
      </w:r>
      <w:r>
        <w:rPr>
          <w:rFonts w:cs="Arial"/>
        </w:rPr>
        <w:t>, previo contro</w:t>
      </w:r>
      <w:r w:rsidR="00CE6FC2">
        <w:rPr>
          <w:rFonts w:cs="Arial"/>
        </w:rPr>
        <w:t>l de su imputación con cargo a G</w:t>
      </w:r>
      <w:r>
        <w:rPr>
          <w:rFonts w:cs="Arial"/>
        </w:rPr>
        <w:t>rupo adecuado con disponibilidad suficiente</w:t>
      </w:r>
      <w:r>
        <w:t xml:space="preserve"> </w:t>
      </w:r>
      <w:r>
        <w:rPr>
          <w:rFonts w:cs="Arial"/>
        </w:rPr>
        <w:t xml:space="preserve">y de la verificación de que las condiciones establecidas en la resolución definitiva coincidan con los antecedentes remitidos a este Tribunal; </w:t>
      </w:r>
    </w:p>
    <w:p w:rsidR="004A02CD" w:rsidRDefault="004A02CD" w:rsidP="005564B8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cs="Arial"/>
          <w:lang w:val="es-MX"/>
        </w:rPr>
      </w:pPr>
      <w:r>
        <w:rPr>
          <w:rFonts w:cs="Arial"/>
          <w:lang w:val="es-MX"/>
        </w:rPr>
        <w:t>Comunicar a la Conta</w:t>
      </w:r>
      <w:r w:rsidR="00333594">
        <w:rPr>
          <w:rFonts w:cs="Arial"/>
          <w:lang w:val="es-MX"/>
        </w:rPr>
        <w:t>dora Auditora destacada ante el MTOP</w:t>
      </w:r>
      <w:r>
        <w:rPr>
          <w:rFonts w:cs="Arial"/>
          <w:lang w:val="es-MX"/>
        </w:rPr>
        <w:t>;</w:t>
      </w:r>
    </w:p>
    <w:p w:rsidR="004A02CD" w:rsidRPr="005564B8" w:rsidRDefault="004A02CD" w:rsidP="005564B8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cs="Arial"/>
          <w:lang w:val="es-MX"/>
        </w:rPr>
      </w:pPr>
      <w:r>
        <w:t>Devolver las actuaciones.</w:t>
      </w:r>
    </w:p>
    <w:p w:rsidR="005564B8" w:rsidRDefault="005564B8" w:rsidP="005564B8">
      <w:pPr>
        <w:spacing w:line="360" w:lineRule="auto"/>
        <w:jc w:val="both"/>
      </w:pPr>
    </w:p>
    <w:p w:rsidR="005564B8" w:rsidRDefault="005564B8" w:rsidP="005564B8">
      <w:pPr>
        <w:spacing w:line="360" w:lineRule="auto"/>
        <w:jc w:val="both"/>
      </w:pPr>
    </w:p>
    <w:p w:rsidR="005564B8" w:rsidRDefault="005564B8" w:rsidP="005564B8">
      <w:pPr>
        <w:spacing w:line="360" w:lineRule="auto"/>
        <w:jc w:val="both"/>
      </w:pPr>
    </w:p>
    <w:p w:rsidR="005564B8" w:rsidRDefault="005564B8" w:rsidP="005564B8">
      <w:pPr>
        <w:spacing w:line="360" w:lineRule="auto"/>
        <w:ind w:hanging="567"/>
        <w:jc w:val="both"/>
        <w:rPr>
          <w:rFonts w:cs="Arial"/>
          <w:lang w:val="es-MX"/>
        </w:rPr>
      </w:pPr>
      <w:proofErr w:type="gramStart"/>
      <w:r>
        <w:t>dc</w:t>
      </w:r>
      <w:proofErr w:type="gramEnd"/>
    </w:p>
    <w:sectPr w:rsidR="005564B8" w:rsidSect="005564B8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D3829"/>
    <w:multiLevelType w:val="hybridMultilevel"/>
    <w:tmpl w:val="EAE29056"/>
    <w:lvl w:ilvl="0" w:tplc="722EC70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CD"/>
    <w:rsid w:val="0018737C"/>
    <w:rsid w:val="00333594"/>
    <w:rsid w:val="004763A1"/>
    <w:rsid w:val="004A02CD"/>
    <w:rsid w:val="004F6833"/>
    <w:rsid w:val="005564B8"/>
    <w:rsid w:val="00593565"/>
    <w:rsid w:val="00603872"/>
    <w:rsid w:val="006E115E"/>
    <w:rsid w:val="00730F70"/>
    <w:rsid w:val="00835F39"/>
    <w:rsid w:val="009E6B52"/>
    <w:rsid w:val="00AE07BC"/>
    <w:rsid w:val="00BC2211"/>
    <w:rsid w:val="00BD6E05"/>
    <w:rsid w:val="00C90BC5"/>
    <w:rsid w:val="00CE6FC2"/>
    <w:rsid w:val="00D41E02"/>
    <w:rsid w:val="00EA4EC2"/>
    <w:rsid w:val="00F440B0"/>
    <w:rsid w:val="00FC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C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A02CD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A02CD"/>
    <w:rPr>
      <w:rFonts w:ascii="Times New Roman" w:eastAsia="Times New Roman" w:hAnsi="Times New Roman" w:cs="Times New Roman"/>
      <w:b/>
      <w:bCs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semiHidden/>
    <w:rsid w:val="004A02CD"/>
    <w:pPr>
      <w:spacing w:line="360" w:lineRule="auto"/>
      <w:jc w:val="both"/>
    </w:pPr>
    <w:rPr>
      <w:rFonts w:cs="Arial"/>
      <w:bCs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A02CD"/>
    <w:rPr>
      <w:rFonts w:ascii="Arial" w:eastAsia="Times New Roman" w:hAnsi="Arial" w:cs="Arial"/>
      <w:bCs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C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A02CD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A02CD"/>
    <w:rPr>
      <w:rFonts w:ascii="Times New Roman" w:eastAsia="Times New Roman" w:hAnsi="Times New Roman" w:cs="Times New Roman"/>
      <w:b/>
      <w:bCs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semiHidden/>
    <w:rsid w:val="004A02CD"/>
    <w:pPr>
      <w:spacing w:line="360" w:lineRule="auto"/>
      <w:jc w:val="both"/>
    </w:pPr>
    <w:rPr>
      <w:rFonts w:cs="Arial"/>
      <w:bCs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A02CD"/>
    <w:rPr>
      <w:rFonts w:ascii="Arial" w:eastAsia="Times New Roman" w:hAnsi="Arial" w:cs="Arial"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2</cp:revision>
  <cp:lastPrinted>2018-07-09T18:02:00Z</cp:lastPrinted>
  <dcterms:created xsi:type="dcterms:W3CDTF">2018-07-09T18:03:00Z</dcterms:created>
  <dcterms:modified xsi:type="dcterms:W3CDTF">2018-07-09T18:03:00Z</dcterms:modified>
</cp:coreProperties>
</file>