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B7" w:rsidRPr="00786EEB" w:rsidRDefault="00FE74B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2193/18</w:t>
      </w:r>
    </w:p>
    <w:p w:rsidR="00FE74B7" w:rsidRDefault="00FE74B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FE74B7" w:rsidRPr="00762B34" w:rsidRDefault="00FE74B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FE74B7" w:rsidRPr="00762B34" w:rsidRDefault="00FE74B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E74B7" w:rsidRPr="00762B34" w:rsidRDefault="00FE74B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FE74B7" w:rsidRPr="00762B34" w:rsidRDefault="00FE74B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E74B7" w:rsidRPr="00762B34" w:rsidRDefault="00FE74B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4 DE JULIO </w:t>
      </w:r>
      <w:r>
        <w:rPr>
          <w:rFonts w:ascii="Helvetica" w:hAnsi="Helvetica"/>
          <w:b/>
          <w:lang w:val="es-ES_tradnl"/>
        </w:rPr>
        <w:t>DE 2018</w:t>
      </w:r>
    </w:p>
    <w:p w:rsidR="00FE74B7" w:rsidRPr="00762B34" w:rsidRDefault="00FE74B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E74B7" w:rsidRPr="002C186D" w:rsidRDefault="00FE74B7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2C186D">
        <w:rPr>
          <w:rFonts w:cs="Arial"/>
          <w:b/>
          <w:lang w:val="es-UY"/>
        </w:rPr>
        <w:t xml:space="preserve">(E. E. Nº 2018-17-1-0004146, </w:t>
      </w:r>
      <w:proofErr w:type="spellStart"/>
      <w:r w:rsidRPr="002C186D">
        <w:rPr>
          <w:rFonts w:cs="Arial"/>
          <w:b/>
          <w:lang w:val="es-UY"/>
        </w:rPr>
        <w:t>Ent</w:t>
      </w:r>
      <w:proofErr w:type="spellEnd"/>
      <w:r w:rsidRPr="002C186D">
        <w:rPr>
          <w:rFonts w:cs="Arial"/>
          <w:b/>
          <w:lang w:val="es-UY"/>
        </w:rPr>
        <w:t>. N° 3194/18)</w:t>
      </w:r>
    </w:p>
    <w:p w:rsidR="00FE74B7" w:rsidRPr="002C186D" w:rsidRDefault="00FE74B7">
      <w:pPr>
        <w:rPr>
          <w:lang w:val="es-UY"/>
        </w:rPr>
      </w:pPr>
    </w:p>
    <w:p w:rsidR="00FE74B7" w:rsidRDefault="00D01B53" w:rsidP="00FE74B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estas actuaciones remitidas por el</w:t>
      </w:r>
      <w:r w:rsidR="00306313" w:rsidRPr="00306313">
        <w:t xml:space="preserve"> </w:t>
      </w:r>
      <w:r w:rsidR="00306313" w:rsidRPr="00306313">
        <w:rPr>
          <w:rFonts w:cs="Arial"/>
        </w:rPr>
        <w:t xml:space="preserve">Ministerio de </w:t>
      </w:r>
      <w:r w:rsidR="00DB4B96">
        <w:rPr>
          <w:rFonts w:cs="Arial"/>
        </w:rPr>
        <w:t>Desarrollo Social</w:t>
      </w:r>
      <w:r w:rsidR="00306313" w:rsidRPr="00306313">
        <w:rPr>
          <w:rFonts w:cs="Arial"/>
        </w:rPr>
        <w:t xml:space="preserve"> (M</w:t>
      </w:r>
      <w:r w:rsidR="00DB4B96">
        <w:rPr>
          <w:rFonts w:cs="Arial"/>
        </w:rPr>
        <w:t>IDES</w:t>
      </w:r>
      <w:r w:rsidR="00306313" w:rsidRPr="00306313">
        <w:rPr>
          <w:rFonts w:cs="Arial"/>
        </w:rPr>
        <w:t>)</w:t>
      </w:r>
      <w:r>
        <w:rPr>
          <w:rFonts w:cs="Arial"/>
        </w:rPr>
        <w:t xml:space="preserve">,  relacionadas con el </w:t>
      </w:r>
      <w:r w:rsidR="00306313">
        <w:rPr>
          <w:rFonts w:cs="Arial"/>
        </w:rPr>
        <w:t>convenio</w:t>
      </w:r>
      <w:r w:rsidR="00DB4B96">
        <w:rPr>
          <w:rFonts w:cs="Arial"/>
        </w:rPr>
        <w:t xml:space="preserve"> de cooperación </w:t>
      </w:r>
      <w:r w:rsidR="00924468">
        <w:rPr>
          <w:rFonts w:cs="Arial"/>
        </w:rPr>
        <w:t>a celebrar</w:t>
      </w:r>
      <w:r w:rsidR="00862532">
        <w:rPr>
          <w:rFonts w:cs="Arial"/>
        </w:rPr>
        <w:t xml:space="preserve"> con </w:t>
      </w:r>
      <w:r w:rsidR="00DB4B96">
        <w:rPr>
          <w:rFonts w:cs="Arial"/>
        </w:rPr>
        <w:t>el Instituto Nacional de Estadística (INE)</w:t>
      </w:r>
      <w:r w:rsidR="00FE74B7">
        <w:rPr>
          <w:rFonts w:cs="Arial"/>
        </w:rPr>
        <w:t>;</w:t>
      </w:r>
    </w:p>
    <w:p w:rsidR="00156D37" w:rsidRDefault="00D01B53" w:rsidP="00156D37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>que</w:t>
      </w:r>
      <w:r w:rsidR="00F63063">
        <w:t xml:space="preserve"> </w:t>
      </w:r>
      <w:r w:rsidR="00924468">
        <w:t xml:space="preserve">para el </w:t>
      </w:r>
      <w:r w:rsidR="00C713B9">
        <w:t>cumplimiento</w:t>
      </w:r>
      <w:r w:rsidR="00F63063">
        <w:t xml:space="preserve"> los co</w:t>
      </w:r>
      <w:r w:rsidR="00A6352C">
        <w:t>metidos del MIDES vinculados con</w:t>
      </w:r>
      <w:r w:rsidR="00F63063">
        <w:t xml:space="preserve"> </w:t>
      </w:r>
      <w:r w:rsidR="00A6352C">
        <w:t>la</w:t>
      </w:r>
      <w:r w:rsidR="00862532">
        <w:t xml:space="preserve"> formula</w:t>
      </w:r>
      <w:r w:rsidR="00A6352C">
        <w:t>ción</w:t>
      </w:r>
      <w:r w:rsidR="00862532">
        <w:t>, ejecu</w:t>
      </w:r>
      <w:r w:rsidR="00A6352C">
        <w:t>ción</w:t>
      </w:r>
      <w:r w:rsidR="00862532">
        <w:t>, supervis</w:t>
      </w:r>
      <w:r w:rsidR="00A6352C">
        <w:t>ión</w:t>
      </w:r>
      <w:r w:rsidR="00862532">
        <w:t>, coordina</w:t>
      </w:r>
      <w:r w:rsidR="00A6352C">
        <w:t>ción</w:t>
      </w:r>
      <w:r w:rsidR="00862532">
        <w:t>, programa</w:t>
      </w:r>
      <w:r w:rsidR="00FE74B7">
        <w:softHyphen/>
      </w:r>
      <w:r w:rsidR="00A6352C">
        <w:t>ción,</w:t>
      </w:r>
      <w:r w:rsidR="00862532">
        <w:t xml:space="preserve"> seguimiento y evalua</w:t>
      </w:r>
      <w:r w:rsidR="00A6352C">
        <w:t>ción</w:t>
      </w:r>
      <w:r w:rsidR="00156D37">
        <w:t xml:space="preserve"> -</w:t>
      </w:r>
      <w:r w:rsidR="00862532">
        <w:t>a través del Instituto Nacional de la Juventud (INJU)-</w:t>
      </w:r>
      <w:r w:rsidR="00A6352C">
        <w:t xml:space="preserve"> de las políticas, estrategias y planes en la áreas de la juventud, la En</w:t>
      </w:r>
      <w:r w:rsidR="00FE74B7">
        <w:softHyphen/>
      </w:r>
      <w:r w:rsidR="00A6352C">
        <w:t>cuesta Nacional de Adolescencia y Juventud (ENAJ) se ha consolidado como</w:t>
      </w:r>
      <w:r w:rsidR="00924468">
        <w:t xml:space="preserve"> una</w:t>
      </w:r>
      <w:r w:rsidR="00A6352C">
        <w:t xml:space="preserve"> fuente de información privilegiada para </w:t>
      </w:r>
      <w:r w:rsidR="00924468">
        <w:t xml:space="preserve">implementación de </w:t>
      </w:r>
      <w:r w:rsidR="00A6352C">
        <w:t>las políticas pú</w:t>
      </w:r>
      <w:r w:rsidR="00FE74B7">
        <w:softHyphen/>
      </w:r>
      <w:r w:rsidR="00A6352C">
        <w:t>blicas dirigidas a esos grupos;</w:t>
      </w:r>
    </w:p>
    <w:p w:rsidR="00156D37" w:rsidRDefault="00F63063" w:rsidP="00156D37">
      <w:pPr>
        <w:spacing w:line="360" w:lineRule="auto"/>
        <w:ind w:firstLine="2835"/>
        <w:jc w:val="both"/>
      </w:pPr>
      <w:r>
        <w:rPr>
          <w:b/>
        </w:rPr>
        <w:t xml:space="preserve">2) </w:t>
      </w:r>
      <w:r w:rsidR="00924468">
        <w:t xml:space="preserve">que </w:t>
      </w:r>
      <w:r w:rsidR="00156D37">
        <w:t>el A</w:t>
      </w:r>
      <w:r w:rsidR="00CD32F5">
        <w:t>rtículo segundo d</w:t>
      </w:r>
      <w:r>
        <w:t>el pr</w:t>
      </w:r>
      <w:r w:rsidR="00CD32F5">
        <w:t>oyecto de</w:t>
      </w:r>
      <w:r>
        <w:t xml:space="preserve"> convenio</w:t>
      </w:r>
      <w:r w:rsidR="00CD32F5">
        <w:t xml:space="preserve"> remitido,</w:t>
      </w:r>
      <w:r>
        <w:t xml:space="preserve"> </w:t>
      </w:r>
      <w:r w:rsidR="00924468">
        <w:t>establece que el</w:t>
      </w:r>
      <w:r>
        <w:t xml:space="preserve"> objeto </w:t>
      </w:r>
      <w:r w:rsidR="00CD32F5">
        <w:t xml:space="preserve">consiste en </w:t>
      </w:r>
      <w:r w:rsidR="00924468">
        <w:t>establecer la cooperación entre</w:t>
      </w:r>
      <w:r w:rsidR="00CD32F5">
        <w:t xml:space="preserve"> ambas partes a los efectos de la realización de la Cuarta Encuesta Nacional de Juventud (ENAJ) y 1ra. Onda del Panel Nacional de Adolescencia y Juventud;</w:t>
      </w:r>
    </w:p>
    <w:p w:rsidR="00156D37" w:rsidRDefault="00D05E73" w:rsidP="00156D37">
      <w:pPr>
        <w:spacing w:line="360" w:lineRule="auto"/>
        <w:ind w:firstLine="2835"/>
        <w:jc w:val="both"/>
      </w:pPr>
      <w:r>
        <w:rPr>
          <w:b/>
        </w:rPr>
        <w:t>3)</w:t>
      </w:r>
      <w:r w:rsidR="00924468">
        <w:t xml:space="preserve"> que</w:t>
      </w:r>
      <w:r w:rsidR="005F59C3">
        <w:t xml:space="preserve"> el</w:t>
      </w:r>
      <w:r>
        <w:t xml:space="preserve"> INE se obliga a brindar asesoramiento técnico y a realizar tareas de planificación, coordinación general y ejecución del relevamiento de la encuesta, lo cual comprende: </w:t>
      </w:r>
      <w:r w:rsidRPr="00156D37">
        <w:rPr>
          <w:b/>
        </w:rPr>
        <w:t>a)</w:t>
      </w:r>
      <w:r>
        <w:t xml:space="preserve"> designar dos delegados que formarán parte de la Comis</w:t>
      </w:r>
      <w:r w:rsidR="002C186D">
        <w:t>ión de Coordinación y suscribir</w:t>
      </w:r>
      <w:r>
        <w:t xml:space="preserve">, a través de éstos, los documentos y actas que sean necesarios durante el desarrollo del convenio; </w:t>
      </w:r>
      <w:r w:rsidRPr="00156D37">
        <w:rPr>
          <w:b/>
        </w:rPr>
        <w:t xml:space="preserve">b) </w:t>
      </w:r>
      <w:r>
        <w:t xml:space="preserve">desarrollar las tareas de planificación y ejecución de la ENAJ, </w:t>
      </w:r>
      <w:r w:rsidRPr="00156D37">
        <w:rPr>
          <w:b/>
        </w:rPr>
        <w:t>c)</w:t>
      </w:r>
      <w:r>
        <w:t xml:space="preserve">elaborar el formulario en soporte digital, </w:t>
      </w:r>
      <w:r w:rsidRPr="00156D37">
        <w:rPr>
          <w:b/>
        </w:rPr>
        <w:t>d)</w:t>
      </w:r>
      <w:r>
        <w:t xml:space="preserve"> diseñar y seleccionar la muestra, </w:t>
      </w:r>
      <w:r w:rsidRPr="00156D37">
        <w:rPr>
          <w:b/>
        </w:rPr>
        <w:t>e)</w:t>
      </w:r>
      <w:r>
        <w:t xml:space="preserve"> realizar la selección y contratación del personal que realizará el </w:t>
      </w:r>
      <w:r>
        <w:lastRenderedPageBreak/>
        <w:t>relevamiento,</w:t>
      </w:r>
      <w:r w:rsidRPr="00D05E73">
        <w:t xml:space="preserve"> </w:t>
      </w:r>
      <w:r w:rsidR="00716A4E" w:rsidRPr="00156D37">
        <w:rPr>
          <w:b/>
        </w:rPr>
        <w:t>f</w:t>
      </w:r>
      <w:r w:rsidRPr="00156D37">
        <w:rPr>
          <w:b/>
        </w:rPr>
        <w:t>)</w:t>
      </w:r>
      <w:r>
        <w:t xml:space="preserve"> planificar y supervisar el trabajo de campo,</w:t>
      </w:r>
      <w:r w:rsidRPr="00156D37">
        <w:rPr>
          <w:b/>
        </w:rPr>
        <w:t xml:space="preserve"> </w:t>
      </w:r>
      <w:r w:rsidR="00716A4E" w:rsidRPr="00156D37">
        <w:rPr>
          <w:b/>
        </w:rPr>
        <w:t>g</w:t>
      </w:r>
      <w:r w:rsidRPr="00156D37">
        <w:rPr>
          <w:b/>
        </w:rPr>
        <w:t xml:space="preserve">) </w:t>
      </w:r>
      <w:r>
        <w:t xml:space="preserve">implementar el test del formulario y la prueba de campo correspondiente, </w:t>
      </w:r>
      <w:r w:rsidR="00716A4E" w:rsidRPr="00156D37">
        <w:rPr>
          <w:b/>
        </w:rPr>
        <w:t>h</w:t>
      </w:r>
      <w:r w:rsidRPr="00156D37">
        <w:rPr>
          <w:b/>
        </w:rPr>
        <w:t>)</w:t>
      </w:r>
      <w:r>
        <w:t xml:space="preserve"> validación de las encuestas,</w:t>
      </w:r>
      <w:r w:rsidRPr="00156D37">
        <w:rPr>
          <w:b/>
        </w:rPr>
        <w:t xml:space="preserve"> </w:t>
      </w:r>
      <w:r w:rsidR="00716A4E" w:rsidRPr="00156D37">
        <w:rPr>
          <w:b/>
        </w:rPr>
        <w:t>i</w:t>
      </w:r>
      <w:r w:rsidRPr="00156D37">
        <w:rPr>
          <w:b/>
        </w:rPr>
        <w:t xml:space="preserve">) </w:t>
      </w:r>
      <w:r>
        <w:t xml:space="preserve">elaborar el informe metodológico y ficha técnica de las encuestas, </w:t>
      </w:r>
      <w:r w:rsidR="00716A4E" w:rsidRPr="00156D37">
        <w:rPr>
          <w:b/>
        </w:rPr>
        <w:t>j</w:t>
      </w:r>
      <w:r w:rsidRPr="00156D37">
        <w:rPr>
          <w:b/>
        </w:rPr>
        <w:t>)</w:t>
      </w:r>
      <w:r>
        <w:t xml:space="preserve"> cálculo de los ponderadores,</w:t>
      </w:r>
      <w:r w:rsidR="00716A4E">
        <w:t xml:space="preserve"> y</w:t>
      </w:r>
      <w:r w:rsidRPr="00156D37">
        <w:rPr>
          <w:b/>
        </w:rPr>
        <w:t xml:space="preserve"> </w:t>
      </w:r>
      <w:r w:rsidR="00716A4E" w:rsidRPr="00156D37">
        <w:rPr>
          <w:b/>
        </w:rPr>
        <w:t xml:space="preserve">k) </w:t>
      </w:r>
      <w:r w:rsidRPr="00156D37">
        <w:rPr>
          <w:b/>
        </w:rPr>
        <w:t xml:space="preserve"> </w:t>
      </w:r>
      <w:r>
        <w:t>entregar los</w:t>
      </w:r>
      <w:r w:rsidR="00716A4E">
        <w:t xml:space="preserve"> </w:t>
      </w:r>
      <w:proofErr w:type="spellStart"/>
      <w:r>
        <w:t>microdatos</w:t>
      </w:r>
      <w:proofErr w:type="spellEnd"/>
      <w:r w:rsidR="00716A4E">
        <w:t xml:space="preserve"> de la encuesta y los Informes asociados en un plazo de 90 días a partir de la finalización del trabajo de campo;</w:t>
      </w:r>
    </w:p>
    <w:p w:rsidR="004266A9" w:rsidRDefault="00716A4E" w:rsidP="00156D37">
      <w:pPr>
        <w:spacing w:line="360" w:lineRule="auto"/>
        <w:ind w:firstLine="2835"/>
        <w:jc w:val="both"/>
      </w:pPr>
      <w:r>
        <w:rPr>
          <w:b/>
        </w:rPr>
        <w:t>4</w:t>
      </w:r>
      <w:r w:rsidR="00095533">
        <w:rPr>
          <w:b/>
        </w:rPr>
        <w:t xml:space="preserve">) </w:t>
      </w:r>
      <w:r w:rsidR="00095533">
        <w:t xml:space="preserve">que </w:t>
      </w:r>
      <w:r w:rsidR="005F59C3">
        <w:t xml:space="preserve">por su parte, </w:t>
      </w:r>
      <w:r w:rsidR="00095533">
        <w:t>el MIDES</w:t>
      </w:r>
      <w:r>
        <w:t>/INJU</w:t>
      </w:r>
      <w:r w:rsidR="00095533">
        <w:t xml:space="preserve"> se obliga: </w:t>
      </w:r>
      <w:r w:rsidR="00095533" w:rsidRPr="00156D37">
        <w:rPr>
          <w:b/>
        </w:rPr>
        <w:t>a)</w:t>
      </w:r>
      <w:r w:rsidR="00095533">
        <w:t xml:space="preserve"> </w:t>
      </w:r>
      <w:r w:rsidR="005F59C3">
        <w:t xml:space="preserve">a </w:t>
      </w:r>
      <w:r>
        <w:t xml:space="preserve">realizar la coordinación general de la ENAJ junto al INE, </w:t>
      </w:r>
      <w:r w:rsidRPr="00156D37">
        <w:rPr>
          <w:b/>
        </w:rPr>
        <w:t>b)</w:t>
      </w:r>
      <w:r>
        <w:t xml:space="preserve"> </w:t>
      </w:r>
      <w:r w:rsidR="005F59C3">
        <w:t xml:space="preserve">a </w:t>
      </w:r>
      <w:r>
        <w:t xml:space="preserve">elaborar y revisar el formulario de la encuesta en conjunto con los socios que se consideren convenientes, y </w:t>
      </w:r>
      <w:r w:rsidRPr="00156D37">
        <w:rPr>
          <w:b/>
        </w:rPr>
        <w:t>c)</w:t>
      </w:r>
      <w:r>
        <w:t xml:space="preserve"> </w:t>
      </w:r>
      <w:r w:rsidR="005F59C3">
        <w:t xml:space="preserve">a </w:t>
      </w:r>
      <w:r>
        <w:t>financiar las actividades a las que se obliga el INE;</w:t>
      </w:r>
    </w:p>
    <w:p w:rsidR="004266A9" w:rsidRDefault="00820956" w:rsidP="004266A9">
      <w:pPr>
        <w:spacing w:line="360" w:lineRule="auto"/>
        <w:ind w:firstLine="2835"/>
        <w:jc w:val="both"/>
      </w:pPr>
      <w:r>
        <w:rPr>
          <w:b/>
        </w:rPr>
        <w:t xml:space="preserve">5) </w:t>
      </w:r>
      <w:r w:rsidR="00924468">
        <w:t>que asimismo, a esos efectos el MIDES se compromete a</w:t>
      </w:r>
      <w:r w:rsidR="00B7206C">
        <w:t xml:space="preserve"> </w:t>
      </w:r>
      <w:r w:rsidR="00095533">
        <w:t xml:space="preserve">transferir al INE </w:t>
      </w:r>
      <w:r w:rsidR="00924468">
        <w:t xml:space="preserve">la suma de </w:t>
      </w:r>
      <w:r w:rsidR="00095533">
        <w:t>$ 1</w:t>
      </w:r>
      <w:r w:rsidR="00B7206C">
        <w:t>0</w:t>
      </w:r>
      <w:r w:rsidR="004266A9">
        <w:t>:</w:t>
      </w:r>
      <w:r w:rsidR="00B7206C">
        <w:t>217</w:t>
      </w:r>
      <w:r w:rsidR="00095533">
        <w:t>.</w:t>
      </w:r>
      <w:r w:rsidR="00B7206C">
        <w:t>5</w:t>
      </w:r>
      <w:r w:rsidR="00095533">
        <w:t xml:space="preserve">00 (pesos uruguayos </w:t>
      </w:r>
      <w:r w:rsidR="00B7206C">
        <w:t xml:space="preserve">diez millones doscientos diecisiete mil </w:t>
      </w:r>
      <w:r w:rsidR="00095533">
        <w:t>quin</w:t>
      </w:r>
      <w:r w:rsidR="00B7206C">
        <w:t>ientos</w:t>
      </w:r>
      <w:r w:rsidR="00095533">
        <w:t xml:space="preserve">) de la siguiente forma: </w:t>
      </w:r>
      <w:r w:rsidR="00B7206C" w:rsidRPr="004266A9">
        <w:rPr>
          <w:b/>
        </w:rPr>
        <w:t>a)</w:t>
      </w:r>
      <w:r w:rsidR="00B7206C">
        <w:t xml:space="preserve"> 30% del monto acordado,</w:t>
      </w:r>
      <w:r w:rsidR="00095533">
        <w:t xml:space="preserve"> </w:t>
      </w:r>
      <w:r w:rsidR="005B22E0">
        <w:t>pagader</w:t>
      </w:r>
      <w:r w:rsidR="00B7206C">
        <w:t>o</w:t>
      </w:r>
      <w:r w:rsidR="005B22E0">
        <w:t xml:space="preserve"> dentro de los 30 días </w:t>
      </w:r>
      <w:r w:rsidR="00B7206C">
        <w:t>siguientes</w:t>
      </w:r>
      <w:r w:rsidR="005B22E0">
        <w:t xml:space="preserve"> </w:t>
      </w:r>
      <w:r w:rsidR="00B7206C">
        <w:t>a</w:t>
      </w:r>
      <w:r w:rsidR="005B22E0">
        <w:t xml:space="preserve"> la firma de este convenio</w:t>
      </w:r>
      <w:r w:rsidR="00B7206C">
        <w:t xml:space="preserve">, </w:t>
      </w:r>
      <w:r w:rsidR="00B7206C" w:rsidRPr="004266A9">
        <w:rPr>
          <w:b/>
        </w:rPr>
        <w:t>b)</w:t>
      </w:r>
      <w:r w:rsidR="00B7206C">
        <w:t xml:space="preserve"> 55% del monto acordado pagadero al 20 de julio de 2018</w:t>
      </w:r>
      <w:r w:rsidR="005F59C3">
        <w:t>,</w:t>
      </w:r>
      <w:r w:rsidR="00B7206C">
        <w:t xml:space="preserve"> </w:t>
      </w:r>
      <w:r w:rsidR="005B22E0">
        <w:t xml:space="preserve"> y</w:t>
      </w:r>
      <w:r w:rsidR="00B7206C">
        <w:t xml:space="preserve"> </w:t>
      </w:r>
      <w:r w:rsidR="00B7206C" w:rsidRPr="004266A9">
        <w:rPr>
          <w:b/>
        </w:rPr>
        <w:t>c)</w:t>
      </w:r>
      <w:r w:rsidR="00CD5878">
        <w:t xml:space="preserve">15% del monto acordado con la entrega del Informe metodológico de la encuesta y los </w:t>
      </w:r>
      <w:proofErr w:type="spellStart"/>
      <w:r w:rsidR="00CD5878">
        <w:t>microdatos</w:t>
      </w:r>
      <w:proofErr w:type="spellEnd"/>
      <w:r w:rsidR="00CD5878">
        <w:t xml:space="preserve"> correspondientes. La segunda y tercera partida</w:t>
      </w:r>
      <w:r w:rsidR="005F59C3">
        <w:t>s</w:t>
      </w:r>
      <w:r w:rsidR="00CD5878">
        <w:t xml:space="preserve"> se </w:t>
      </w:r>
      <w:r w:rsidR="005F59C3">
        <w:t>abonarán</w:t>
      </w:r>
      <w:r w:rsidR="00CD5878">
        <w:t xml:space="preserve"> previa presentación de los informes de re</w:t>
      </w:r>
      <w:r w:rsidR="005F59C3">
        <w:t>n</w:t>
      </w:r>
      <w:r w:rsidR="00CD5878">
        <w:t>dición de cuentas;</w:t>
      </w:r>
    </w:p>
    <w:p w:rsidR="004266A9" w:rsidRDefault="005B22E0" w:rsidP="004266A9">
      <w:pPr>
        <w:spacing w:line="360" w:lineRule="auto"/>
        <w:ind w:firstLine="2835"/>
        <w:jc w:val="both"/>
      </w:pPr>
      <w:r>
        <w:rPr>
          <w:b/>
        </w:rPr>
        <w:t>6)</w:t>
      </w:r>
      <w:r w:rsidR="00FE3132">
        <w:rPr>
          <w:b/>
        </w:rPr>
        <w:t xml:space="preserve"> </w:t>
      </w:r>
      <w:r w:rsidR="00FE3132">
        <w:t xml:space="preserve">que el plazo de vigencia </w:t>
      </w:r>
      <w:r w:rsidR="005F59C3">
        <w:t xml:space="preserve">del vínculo </w:t>
      </w:r>
      <w:r w:rsidR="00FE3132">
        <w:t xml:space="preserve">será </w:t>
      </w:r>
      <w:r w:rsidR="00CD5878">
        <w:t xml:space="preserve">de un año </w:t>
      </w:r>
      <w:r w:rsidR="00FE3132">
        <w:t xml:space="preserve">desde su </w:t>
      </w:r>
      <w:r w:rsidR="00CD5878">
        <w:t>suscripción</w:t>
      </w:r>
      <w:r w:rsidR="005F59C3">
        <w:t>, dejándose constancia que las partes podrán solicitar la participación de otros organismos públicos o privados, para diseñar, ejecutar trabajos de campo y analizar resultados de las encuestas;</w:t>
      </w:r>
    </w:p>
    <w:p w:rsidR="004266A9" w:rsidRDefault="00CD5878" w:rsidP="004266A9">
      <w:pPr>
        <w:spacing w:line="360" w:lineRule="auto"/>
        <w:ind w:firstLine="2835"/>
        <w:jc w:val="both"/>
      </w:pPr>
      <w:r>
        <w:rPr>
          <w:b/>
        </w:rPr>
        <w:t xml:space="preserve">7) </w:t>
      </w:r>
      <w:r w:rsidR="00E11EAD">
        <w:t>que se adjunta proyecto de resolución por el que la Ministra de Desarrollo Social, en ejercicio de atribuciones delegadas, dispone autorizar</w:t>
      </w:r>
      <w:r w:rsidR="00D95903">
        <w:t>, previa intervención del Tribunal de Cuentas de la República, la suscripción del Convenio referido;</w:t>
      </w:r>
    </w:p>
    <w:p w:rsidR="006C766F" w:rsidRDefault="00CD5878" w:rsidP="004266A9">
      <w:pPr>
        <w:spacing w:line="360" w:lineRule="auto"/>
        <w:ind w:firstLine="2835"/>
        <w:jc w:val="both"/>
      </w:pPr>
      <w:r>
        <w:rPr>
          <w:b/>
        </w:rPr>
        <w:t>8</w:t>
      </w:r>
      <w:r w:rsidR="00D95903">
        <w:rPr>
          <w:b/>
        </w:rPr>
        <w:t xml:space="preserve">) </w:t>
      </w:r>
      <w:r w:rsidR="00D95903">
        <w:t>que se acompaña documento de afectación N</w:t>
      </w:r>
      <w:r>
        <w:t>°</w:t>
      </w:r>
      <w:r w:rsidR="00D95903">
        <w:t>00</w:t>
      </w:r>
      <w:r>
        <w:t xml:space="preserve">0265 por el </w:t>
      </w:r>
      <w:r w:rsidR="00D95903">
        <w:t xml:space="preserve">que se imputa la suma de $ </w:t>
      </w:r>
      <w:r>
        <w:t>10</w:t>
      </w:r>
      <w:r w:rsidR="004266A9">
        <w:t>:</w:t>
      </w:r>
      <w:r>
        <w:t>217</w:t>
      </w:r>
      <w:r w:rsidR="00D95903">
        <w:t>.</w:t>
      </w:r>
      <w:r>
        <w:t>5</w:t>
      </w:r>
      <w:r w:rsidR="00D95903">
        <w:t>00</w:t>
      </w:r>
      <w:r w:rsidR="006C766F">
        <w:t xml:space="preserve"> al Prog</w:t>
      </w:r>
      <w:r w:rsidR="005F59C3">
        <w:t>rama</w:t>
      </w:r>
      <w:r w:rsidR="006C766F">
        <w:t xml:space="preserve"> 401, Proy</w:t>
      </w:r>
      <w:r w:rsidR="005F59C3">
        <w:t>ecto</w:t>
      </w:r>
      <w:r w:rsidR="006C766F">
        <w:t xml:space="preserve"> 1</w:t>
      </w:r>
      <w:r>
        <w:t>04</w:t>
      </w:r>
      <w:r w:rsidR="006C766F">
        <w:t>, Obj</w:t>
      </w:r>
      <w:r w:rsidR="005F59C3">
        <w:t>eto del</w:t>
      </w:r>
      <w:r w:rsidR="006C766F">
        <w:t xml:space="preserve"> Gas</w:t>
      </w:r>
      <w:r w:rsidR="005F59C3">
        <w:t>to</w:t>
      </w:r>
      <w:r w:rsidR="006C766F">
        <w:t xml:space="preserve"> 519, Financiamiento 1.1 Rentas Generales;</w:t>
      </w:r>
    </w:p>
    <w:p w:rsidR="004266A9" w:rsidRDefault="00D01B53" w:rsidP="004266A9">
      <w:pPr>
        <w:spacing w:line="360" w:lineRule="auto"/>
        <w:ind w:firstLine="851"/>
        <w:jc w:val="both"/>
      </w:pPr>
      <w:r>
        <w:rPr>
          <w:b/>
          <w:bCs/>
        </w:rPr>
        <w:lastRenderedPageBreak/>
        <w:t>CONSIDERANDO:</w:t>
      </w:r>
      <w:r>
        <w:rPr>
          <w:b/>
        </w:rPr>
        <w:t xml:space="preserve"> </w:t>
      </w:r>
      <w:r w:rsidR="00120352">
        <w:rPr>
          <w:rFonts w:cs="Arial"/>
          <w:b/>
          <w:lang w:val="es-MX"/>
        </w:rPr>
        <w:t>1</w:t>
      </w:r>
      <w:r w:rsidR="00120352" w:rsidRPr="0099797B">
        <w:rPr>
          <w:rFonts w:cs="Arial"/>
          <w:b/>
          <w:lang w:val="es-MX"/>
        </w:rPr>
        <w:t>)</w:t>
      </w:r>
      <w:r w:rsidR="00120352">
        <w:rPr>
          <w:rFonts w:cs="Arial"/>
          <w:lang w:val="es-MX"/>
        </w:rPr>
        <w:t xml:space="preserve"> que</w:t>
      </w:r>
      <w:r w:rsidR="00120352">
        <w:t xml:space="preserve"> </w:t>
      </w:r>
      <w:r w:rsidR="004266A9">
        <w:t>conforme con lo dispuesto por el L</w:t>
      </w:r>
      <w:r w:rsidR="003F645A">
        <w:t>iteral B) del</w:t>
      </w:r>
      <w:r w:rsidR="004266A9">
        <w:t xml:space="preserve"> A</w:t>
      </w:r>
      <w:r w:rsidR="005F59C3">
        <w:t>rtículo 9 de la Ley N° 17.866</w:t>
      </w:r>
      <w:r w:rsidR="003F645A">
        <w:t xml:space="preserve"> de 21/03/05,</w:t>
      </w:r>
      <w:r w:rsidR="0096357E">
        <w:t xml:space="preserve"> al MIDES le compete </w:t>
      </w:r>
      <w:r w:rsidR="0096357E">
        <w:rPr>
          <w:i/>
        </w:rPr>
        <w:t>“formular, ejecutar, supervisar, coordinar, programar, dar seguimiento y evaluar las políticas, estrategias y planes en las áreas de juventud, mujer y familia, adultos mayores, discapacitados y desarrollo social en general”</w:t>
      </w:r>
      <w:r w:rsidR="0096357E">
        <w:t xml:space="preserve"> </w:t>
      </w:r>
      <w:r w:rsidR="005F59C3">
        <w:t>. A</w:t>
      </w:r>
      <w:r w:rsidR="004266A9">
        <w:t xml:space="preserve"> su vez, el L</w:t>
      </w:r>
      <w:r w:rsidR="0096357E">
        <w:t>iteral C)</w:t>
      </w:r>
      <w:r w:rsidR="005F59C3">
        <w:t xml:space="preserve"> del mismo artículo</w:t>
      </w:r>
      <w:r w:rsidR="0096357E">
        <w:t xml:space="preserve"> prevé que </w:t>
      </w:r>
      <w:r w:rsidR="005F59C3">
        <w:t xml:space="preserve">además </w:t>
      </w:r>
      <w:r w:rsidR="0096357E">
        <w:t xml:space="preserve">le compete </w:t>
      </w:r>
      <w:r w:rsidR="0096357E">
        <w:rPr>
          <w:i/>
        </w:rPr>
        <w:t>“coordinar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social, a la no discriminación y a los cuidados”</w:t>
      </w:r>
      <w:r w:rsidR="0096357E">
        <w:t>;</w:t>
      </w:r>
    </w:p>
    <w:p w:rsidR="004266A9" w:rsidRDefault="0096357E" w:rsidP="004266A9">
      <w:pPr>
        <w:spacing w:line="360" w:lineRule="auto"/>
        <w:ind w:firstLine="2977"/>
        <w:jc w:val="both"/>
      </w:pPr>
      <w:r>
        <w:rPr>
          <w:b/>
        </w:rPr>
        <w:t xml:space="preserve">2) </w:t>
      </w:r>
      <w:r>
        <w:t xml:space="preserve">que asimismo, el </w:t>
      </w:r>
      <w:r w:rsidR="004266A9">
        <w:t>L</w:t>
      </w:r>
      <w:r w:rsidR="00D12096">
        <w:t xml:space="preserve">iteral I) del </w:t>
      </w:r>
      <w:r w:rsidR="004266A9">
        <w:t>A</w:t>
      </w:r>
      <w:r>
        <w:t>rtículo 9</w:t>
      </w:r>
      <w:r w:rsidR="00D12096">
        <w:t xml:space="preserve"> </w:t>
      </w:r>
      <w:r w:rsidR="005F59C3">
        <w:t>antes citado,</w:t>
      </w:r>
      <w:r w:rsidR="00D12096">
        <w:t xml:space="preserve"> faculta al MIDES –para </w:t>
      </w:r>
      <w:r w:rsidR="005F59C3">
        <w:t xml:space="preserve">el </w:t>
      </w:r>
      <w:r w:rsidR="00D12096">
        <w:t>cumpli</w:t>
      </w:r>
      <w:r w:rsidR="005F59C3">
        <w:t>miento de</w:t>
      </w:r>
      <w:r w:rsidR="00D12096">
        <w:t xml:space="preserve"> sus cometidos- </w:t>
      </w:r>
      <w:r w:rsidR="00924468">
        <w:t>“</w:t>
      </w:r>
      <w:r w:rsidR="00D12096" w:rsidRPr="00924468">
        <w:rPr>
          <w:i/>
        </w:rPr>
        <w:t>a celebrar convenios bilaterales y multilaterales de cooperación con instituciones públicas y privadas, nacionales o extranjeras</w:t>
      </w:r>
      <w:r w:rsidR="00924468">
        <w:t>”</w:t>
      </w:r>
      <w:r w:rsidR="00D12096">
        <w:t>;</w:t>
      </w:r>
    </w:p>
    <w:p w:rsidR="004266A9" w:rsidRDefault="00282EDD" w:rsidP="004266A9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3</w:t>
      </w:r>
      <w:r w:rsidR="00B54F4C">
        <w:rPr>
          <w:rFonts w:cs="Arial"/>
          <w:b/>
          <w:lang w:val="es-MX"/>
        </w:rPr>
        <w:t xml:space="preserve">) </w:t>
      </w:r>
      <w:r w:rsidR="00B54F4C">
        <w:rPr>
          <w:rFonts w:cs="Arial"/>
          <w:lang w:val="es-MX"/>
        </w:rPr>
        <w:t>que el INE es el órgano rector del Sistema Estadístico Nacional y</w:t>
      </w:r>
      <w:r>
        <w:rPr>
          <w:rFonts w:cs="Arial"/>
          <w:lang w:val="es-MX"/>
        </w:rPr>
        <w:t>,</w:t>
      </w:r>
      <w:r w:rsidR="004266A9">
        <w:rPr>
          <w:rFonts w:cs="Arial"/>
          <w:lang w:val="es-MX"/>
        </w:rPr>
        <w:t xml:space="preserve"> conforme con el</w:t>
      </w:r>
      <w:r w:rsidR="00B54F4C">
        <w:rPr>
          <w:rFonts w:cs="Arial"/>
          <w:lang w:val="es-MX"/>
        </w:rPr>
        <w:t xml:space="preserve"> principio de centralización normativa y en ejercicio de su autonomía técnica en las materias </w:t>
      </w:r>
      <w:r w:rsidR="005F59C3">
        <w:rPr>
          <w:rFonts w:cs="Arial"/>
          <w:lang w:val="es-MX"/>
        </w:rPr>
        <w:t xml:space="preserve">propias </w:t>
      </w:r>
      <w:r w:rsidR="00B54F4C">
        <w:rPr>
          <w:rFonts w:cs="Arial"/>
          <w:lang w:val="es-MX"/>
        </w:rPr>
        <w:t>de su competencia, establece las normas sobre conceptos, definiciones, clasificaciones y metodologías estadísticas, a las que debe ajustarse las oficinas de estadística que constituyen el Sistema Estadístico Naciona</w:t>
      </w:r>
      <w:r w:rsidR="004266A9">
        <w:rPr>
          <w:rFonts w:cs="Arial"/>
          <w:lang w:val="es-MX"/>
        </w:rPr>
        <w:t>l, según lo establecido por el A</w:t>
      </w:r>
      <w:r w:rsidR="00B54F4C">
        <w:rPr>
          <w:rFonts w:cs="Arial"/>
          <w:lang w:val="es-MX"/>
        </w:rPr>
        <w:t>rtículo 4 de la Ley N° 16.616, de 20/10/94;</w:t>
      </w:r>
    </w:p>
    <w:p w:rsidR="004266A9" w:rsidRDefault="00282EDD" w:rsidP="004266A9">
      <w:pPr>
        <w:spacing w:line="360" w:lineRule="auto"/>
        <w:ind w:firstLine="2977"/>
        <w:jc w:val="both"/>
        <w:rPr>
          <w:rFonts w:cs="Arial"/>
          <w:lang w:val="es-MX"/>
        </w:rPr>
      </w:pPr>
      <w:r>
        <w:rPr>
          <w:b/>
        </w:rPr>
        <w:t>4</w:t>
      </w:r>
      <w:r w:rsidR="0099797B" w:rsidRPr="0099797B">
        <w:rPr>
          <w:b/>
        </w:rPr>
        <w:t>)</w:t>
      </w:r>
      <w:r w:rsidR="0099797B">
        <w:t xml:space="preserve"> </w:t>
      </w:r>
      <w:r w:rsidR="00554D78" w:rsidRPr="007F7D0E">
        <w:rPr>
          <w:rFonts w:cs="Arial"/>
          <w:lang w:val="es-MX"/>
        </w:rPr>
        <w:t>que la selección directa de</w:t>
      </w:r>
      <w:r w:rsidR="00924468">
        <w:rPr>
          <w:rFonts w:cs="Arial"/>
          <w:lang w:val="es-MX"/>
        </w:rPr>
        <w:t>l</w:t>
      </w:r>
      <w:r w:rsidR="00120352">
        <w:rPr>
          <w:rFonts w:cs="Arial"/>
          <w:lang w:val="es-MX"/>
        </w:rPr>
        <w:t xml:space="preserve"> </w:t>
      </w:r>
      <w:proofErr w:type="spellStart"/>
      <w:r w:rsidR="00554D78" w:rsidRPr="007F7D0E">
        <w:rPr>
          <w:rFonts w:cs="Arial"/>
          <w:lang w:val="es-MX"/>
        </w:rPr>
        <w:t>co</w:t>
      </w:r>
      <w:proofErr w:type="spellEnd"/>
      <w:r w:rsidR="00554D78" w:rsidRPr="007F7D0E">
        <w:rPr>
          <w:rFonts w:cs="Arial"/>
          <w:lang w:val="es-MX"/>
        </w:rPr>
        <w:t>-contratante encuadra en la caus</w:t>
      </w:r>
      <w:r w:rsidR="004266A9">
        <w:rPr>
          <w:rFonts w:cs="Arial"/>
          <w:lang w:val="es-MX"/>
        </w:rPr>
        <w:t>al excepción establecida en el N</w:t>
      </w:r>
      <w:r w:rsidR="00554D78" w:rsidRPr="007F7D0E">
        <w:rPr>
          <w:rFonts w:cs="Arial"/>
          <w:lang w:val="es-MX"/>
        </w:rPr>
        <w:t>um</w:t>
      </w:r>
      <w:r w:rsidR="00120352">
        <w:rPr>
          <w:rFonts w:cs="Arial"/>
          <w:lang w:val="es-MX"/>
        </w:rPr>
        <w:t>eral</w:t>
      </w:r>
      <w:r w:rsidR="004266A9">
        <w:rPr>
          <w:rFonts w:cs="Arial"/>
          <w:lang w:val="es-MX"/>
        </w:rPr>
        <w:t xml:space="preserve"> 1) del L</w:t>
      </w:r>
      <w:r w:rsidR="00554D78" w:rsidRPr="007F7D0E">
        <w:rPr>
          <w:rFonts w:cs="Arial"/>
          <w:lang w:val="es-MX"/>
        </w:rPr>
        <w:t>it</w:t>
      </w:r>
      <w:r w:rsidR="00120352">
        <w:rPr>
          <w:rFonts w:cs="Arial"/>
          <w:lang w:val="es-MX"/>
        </w:rPr>
        <w:t>eral</w:t>
      </w:r>
      <w:r w:rsidR="00554D78" w:rsidRPr="007F7D0E">
        <w:rPr>
          <w:rFonts w:cs="Arial"/>
          <w:lang w:val="es-MX"/>
        </w:rPr>
        <w:t xml:space="preserve"> C) del </w:t>
      </w:r>
      <w:r w:rsidR="004266A9">
        <w:rPr>
          <w:rFonts w:cs="Arial"/>
          <w:lang w:val="es-MX"/>
        </w:rPr>
        <w:t>A</w:t>
      </w:r>
      <w:r w:rsidR="00554D78" w:rsidRPr="007F7D0E">
        <w:rPr>
          <w:rFonts w:cs="Arial"/>
          <w:lang w:val="es-MX"/>
        </w:rPr>
        <w:t>rt</w:t>
      </w:r>
      <w:r w:rsidR="004266A9">
        <w:rPr>
          <w:rFonts w:cs="Arial"/>
          <w:lang w:val="es-MX"/>
        </w:rPr>
        <w:t>ículo</w:t>
      </w:r>
      <w:r w:rsidR="00554D78" w:rsidRPr="007F7D0E">
        <w:rPr>
          <w:rFonts w:cs="Arial"/>
          <w:lang w:val="es-MX"/>
        </w:rPr>
        <w:t xml:space="preserve"> 33 del TOCAF, que atendiendo a la naturaleza jurídica de l</w:t>
      </w:r>
      <w:r w:rsidR="00C27A41">
        <w:rPr>
          <w:rFonts w:cs="Arial"/>
          <w:lang w:val="es-MX"/>
        </w:rPr>
        <w:t>a</w:t>
      </w:r>
      <w:r w:rsidR="00554D78" w:rsidRPr="007F7D0E">
        <w:rPr>
          <w:rFonts w:cs="Arial"/>
          <w:lang w:val="es-MX"/>
        </w:rPr>
        <w:t>s ent</w:t>
      </w:r>
      <w:r w:rsidR="00120352">
        <w:rPr>
          <w:rFonts w:cs="Arial"/>
          <w:lang w:val="es-MX"/>
        </w:rPr>
        <w:t>idades</w:t>
      </w:r>
      <w:r w:rsidR="00554D78" w:rsidRPr="007F7D0E">
        <w:rPr>
          <w:rFonts w:cs="Arial"/>
          <w:lang w:val="es-MX"/>
        </w:rPr>
        <w:t xml:space="preserve"> intervinientes</w:t>
      </w:r>
      <w:r w:rsidR="00B54F4C">
        <w:rPr>
          <w:rFonts w:cs="Arial"/>
          <w:lang w:val="es-MX"/>
        </w:rPr>
        <w:t>,</w:t>
      </w:r>
      <w:r w:rsidR="00554D78" w:rsidRPr="007F7D0E">
        <w:rPr>
          <w:rFonts w:cs="Arial"/>
          <w:lang w:val="es-MX"/>
        </w:rPr>
        <w:t xml:space="preserve"> habilita a prescindir del procedimiento de contratación que conforme con el monto del gasto corresponde;</w:t>
      </w:r>
    </w:p>
    <w:p w:rsidR="00D01B53" w:rsidRDefault="005F59C3" w:rsidP="004266A9">
      <w:pPr>
        <w:spacing w:line="360" w:lineRule="auto"/>
        <w:ind w:firstLine="2977"/>
        <w:jc w:val="both"/>
        <w:rPr>
          <w:b/>
        </w:rPr>
      </w:pPr>
      <w:r>
        <w:rPr>
          <w:rFonts w:cs="Arial"/>
          <w:b/>
          <w:lang w:val="es-MX"/>
        </w:rPr>
        <w:t>5)</w:t>
      </w:r>
      <w:r>
        <w:rPr>
          <w:rFonts w:cs="Arial"/>
          <w:lang w:val="es-MX"/>
        </w:rPr>
        <w:t xml:space="preserve"> que respecto a la</w:t>
      </w:r>
      <w:r w:rsidR="00924468">
        <w:rPr>
          <w:rFonts w:cs="Arial"/>
          <w:lang w:val="es-MX"/>
        </w:rPr>
        <w:t xml:space="preserve"> previsión de la cláusula Quinta</w:t>
      </w:r>
      <w:r>
        <w:rPr>
          <w:rFonts w:cs="Arial"/>
          <w:lang w:val="es-MX"/>
        </w:rPr>
        <w:t xml:space="preserve"> del proyecto de conv</w:t>
      </w:r>
      <w:r w:rsidR="005C0208">
        <w:rPr>
          <w:rFonts w:cs="Arial"/>
          <w:lang w:val="es-MX"/>
        </w:rPr>
        <w:t>enio, si las partes decide</w:t>
      </w:r>
      <w:r w:rsidR="00C22766">
        <w:rPr>
          <w:rFonts w:cs="Arial"/>
          <w:lang w:val="es-MX"/>
        </w:rPr>
        <w:t xml:space="preserve">n la participación de otros </w:t>
      </w:r>
      <w:r w:rsidR="000D01F0">
        <w:rPr>
          <w:rFonts w:cs="Arial"/>
          <w:lang w:val="es-MX"/>
        </w:rPr>
        <w:t>O</w:t>
      </w:r>
      <w:r w:rsidR="00C22766">
        <w:rPr>
          <w:rFonts w:cs="Arial"/>
          <w:lang w:val="es-MX"/>
        </w:rPr>
        <w:t>rgan</w:t>
      </w:r>
      <w:r w:rsidR="005C0208">
        <w:rPr>
          <w:rFonts w:cs="Arial"/>
          <w:lang w:val="es-MX"/>
        </w:rPr>
        <w:t xml:space="preserve">ismos públicos o privados, </w:t>
      </w:r>
      <w:r w:rsidR="00C22766">
        <w:rPr>
          <w:rFonts w:cs="Arial"/>
          <w:lang w:val="es-MX"/>
        </w:rPr>
        <w:t xml:space="preserve">su </w:t>
      </w:r>
      <w:r w:rsidR="000D01F0">
        <w:rPr>
          <w:rFonts w:cs="Arial"/>
          <w:lang w:val="es-MX"/>
        </w:rPr>
        <w:t>selección</w:t>
      </w:r>
      <w:r w:rsidR="005C0208">
        <w:rPr>
          <w:rFonts w:cs="Arial"/>
          <w:lang w:val="es-MX"/>
        </w:rPr>
        <w:t xml:space="preserve"> deberá efectuarse por los proc</w:t>
      </w:r>
      <w:r w:rsidR="000D01F0">
        <w:rPr>
          <w:rFonts w:cs="Arial"/>
          <w:lang w:val="es-MX"/>
        </w:rPr>
        <w:t>edimientos establecidos por el A</w:t>
      </w:r>
      <w:r w:rsidR="005C0208">
        <w:rPr>
          <w:rFonts w:cs="Arial"/>
          <w:lang w:val="es-MX"/>
        </w:rPr>
        <w:t>rtículo 33 del TOCAF;</w:t>
      </w:r>
      <w:r w:rsidR="00D01B53">
        <w:t xml:space="preserve">  </w:t>
      </w:r>
      <w:r w:rsidR="00D01B53">
        <w:rPr>
          <w:b/>
        </w:rPr>
        <w:t xml:space="preserve">             </w:t>
      </w:r>
    </w:p>
    <w:p w:rsidR="00D01B53" w:rsidRDefault="00D01B53" w:rsidP="000D01F0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 w:rsidR="000D01F0">
        <w:rPr>
          <w:rFonts w:cs="Arial"/>
        </w:rPr>
        <w:t xml:space="preserve"> a lo dispuesto por el A</w:t>
      </w:r>
      <w:r>
        <w:rPr>
          <w:rFonts w:cs="Arial"/>
        </w:rPr>
        <w:t>rt</w:t>
      </w:r>
      <w:r w:rsidR="000D01F0">
        <w:rPr>
          <w:rFonts w:cs="Arial"/>
        </w:rPr>
        <w:t>ículo 211 L</w:t>
      </w:r>
      <w:r>
        <w:rPr>
          <w:rFonts w:cs="Arial"/>
        </w:rPr>
        <w:t>iteral B) de la Constitución de la República;</w:t>
      </w:r>
    </w:p>
    <w:p w:rsidR="00D01B53" w:rsidRDefault="00D01B53" w:rsidP="00D01B53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D01B53" w:rsidRDefault="00D01B53" w:rsidP="000D01F0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rPr>
          <w:rFonts w:cs="Arial"/>
          <w:lang w:val="es-MX"/>
        </w:rPr>
        <w:t xml:space="preserve">Cuando el Ordenador </w:t>
      </w:r>
      <w:r w:rsidR="00C22766">
        <w:rPr>
          <w:rFonts w:cs="Arial"/>
          <w:lang w:val="es-MX"/>
        </w:rPr>
        <w:t>c</w:t>
      </w:r>
      <w:r>
        <w:rPr>
          <w:rFonts w:cs="Arial"/>
          <w:lang w:val="es-MX"/>
        </w:rPr>
        <w:t>ompetente disponga el gasto en la forma propuesta</w:t>
      </w:r>
      <w:r w:rsidR="005C0208">
        <w:rPr>
          <w:rFonts w:cs="Arial"/>
          <w:lang w:val="es-MX"/>
        </w:rPr>
        <w:t xml:space="preserve"> y </w:t>
      </w:r>
      <w:r w:rsidR="00C22766">
        <w:rPr>
          <w:rFonts w:cs="Arial"/>
          <w:lang w:val="es-MX"/>
        </w:rPr>
        <w:t>una vez suscripto el convenio</w:t>
      </w:r>
      <w:r>
        <w:rPr>
          <w:rFonts w:cs="Arial"/>
          <w:lang w:val="es-MX"/>
        </w:rPr>
        <w:t xml:space="preserve">, </w:t>
      </w:r>
      <w:r w:rsidR="00715438">
        <w:rPr>
          <w:rFonts w:cs="Arial"/>
          <w:lang w:val="es-MX"/>
        </w:rPr>
        <w:t xml:space="preserve">se </w:t>
      </w:r>
      <w:r>
        <w:rPr>
          <w:rFonts w:cs="Arial"/>
          <w:lang w:val="es-MX"/>
        </w:rPr>
        <w:t xml:space="preserve">comete al Contador Auditor destacado </w:t>
      </w:r>
      <w:r w:rsidR="00E757D0">
        <w:rPr>
          <w:rFonts w:cs="Arial"/>
          <w:lang w:val="es-MX"/>
        </w:rPr>
        <w:t>a</w:t>
      </w:r>
      <w:r>
        <w:rPr>
          <w:rFonts w:cs="Arial"/>
          <w:lang w:val="es-MX"/>
        </w:rPr>
        <w:t>n</w:t>
      </w:r>
      <w:r w:rsidR="00E757D0">
        <w:rPr>
          <w:rFonts w:cs="Arial"/>
          <w:lang w:val="es-MX"/>
        </w:rPr>
        <w:t>te</w:t>
      </w:r>
      <w:r>
        <w:rPr>
          <w:rFonts w:cs="Arial"/>
          <w:lang w:val="es-MX"/>
        </w:rPr>
        <w:t xml:space="preserve"> </w:t>
      </w:r>
      <w:r w:rsidR="00554D78">
        <w:rPr>
          <w:rFonts w:cs="Arial"/>
        </w:rPr>
        <w:t xml:space="preserve">el </w:t>
      </w:r>
      <w:r w:rsidR="007C3A9B">
        <w:rPr>
          <w:rFonts w:cs="Arial"/>
        </w:rPr>
        <w:t>M</w:t>
      </w:r>
      <w:r w:rsidR="00B54F4C">
        <w:rPr>
          <w:rFonts w:cs="Arial"/>
        </w:rPr>
        <w:t>IDES</w:t>
      </w:r>
      <w:r w:rsidR="007C3A9B">
        <w:rPr>
          <w:rFonts w:cs="Arial"/>
        </w:rPr>
        <w:t xml:space="preserve"> </w:t>
      </w:r>
      <w:r w:rsidR="007C3A9B">
        <w:rPr>
          <w:rFonts w:cs="Arial"/>
          <w:lang w:val="es-MX"/>
        </w:rPr>
        <w:t xml:space="preserve">la intervención de </w:t>
      </w:r>
      <w:r>
        <w:rPr>
          <w:rFonts w:cs="Arial"/>
          <w:lang w:val="es-MX"/>
        </w:rPr>
        <w:t xml:space="preserve"> </w:t>
      </w:r>
      <w:r w:rsidR="00554D78">
        <w:rPr>
          <w:lang w:val="es-UY"/>
        </w:rPr>
        <w:t xml:space="preserve">$ </w:t>
      </w:r>
      <w:r w:rsidR="00B54F4C">
        <w:rPr>
          <w:lang w:val="es-UY"/>
        </w:rPr>
        <w:t>1</w:t>
      </w:r>
      <w:r w:rsidR="00282EDD">
        <w:rPr>
          <w:lang w:val="es-UY"/>
        </w:rPr>
        <w:t>0</w:t>
      </w:r>
      <w:r w:rsidR="000D01F0">
        <w:rPr>
          <w:lang w:val="es-UY"/>
        </w:rPr>
        <w:t>:</w:t>
      </w:r>
      <w:r w:rsidR="00282EDD">
        <w:rPr>
          <w:lang w:val="es-UY"/>
        </w:rPr>
        <w:t>217</w:t>
      </w:r>
      <w:r w:rsidR="00554D78">
        <w:rPr>
          <w:lang w:val="es-UY"/>
        </w:rPr>
        <w:t>.</w:t>
      </w:r>
      <w:r w:rsidR="00282EDD">
        <w:rPr>
          <w:lang w:val="es-UY"/>
        </w:rPr>
        <w:t>5</w:t>
      </w:r>
      <w:r w:rsidR="00554D78">
        <w:rPr>
          <w:lang w:val="es-UY"/>
        </w:rPr>
        <w:t>00</w:t>
      </w:r>
      <w:r>
        <w:rPr>
          <w:rFonts w:cs="Arial"/>
          <w:lang w:val="es-MX"/>
        </w:rPr>
        <w:t xml:space="preserve">, previo control de su imputación con cargo a grupo adecuado con disponibilidad </w:t>
      </w:r>
      <w:r w:rsidR="00C22766">
        <w:rPr>
          <w:rFonts w:cs="Arial"/>
          <w:lang w:val="es-MX"/>
        </w:rPr>
        <w:t>suficiente</w:t>
      </w:r>
      <w:r w:rsidR="00E757D0">
        <w:rPr>
          <w:rFonts w:cs="Arial"/>
          <w:lang w:val="es-MX"/>
        </w:rPr>
        <w:t>,</w:t>
      </w:r>
      <w:r w:rsidR="00C22766">
        <w:rPr>
          <w:rFonts w:cs="Arial"/>
          <w:lang w:val="es-MX"/>
        </w:rPr>
        <w:t xml:space="preserve"> y </w:t>
      </w:r>
      <w:r w:rsidR="00E757D0">
        <w:rPr>
          <w:rFonts w:cs="Arial"/>
          <w:lang w:val="es-MX"/>
        </w:rPr>
        <w:t xml:space="preserve">el </w:t>
      </w:r>
      <w:r w:rsidR="00C22766">
        <w:rPr>
          <w:rFonts w:cs="Arial"/>
          <w:lang w:val="es-MX"/>
        </w:rPr>
        <w:t>control de que dicha resolución coincida con los antecedentes remitidos a este Tribunal;</w:t>
      </w:r>
    </w:p>
    <w:p w:rsidR="00C22766" w:rsidRDefault="00C22766" w:rsidP="000D01F0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Téngase presente lo señalado en el </w:t>
      </w:r>
      <w:r w:rsidR="000D01F0">
        <w:t>Considerando 5)</w:t>
      </w:r>
      <w:r>
        <w:t xml:space="preserve"> de la presente </w:t>
      </w:r>
      <w:r w:rsidR="00E757D0">
        <w:t>R</w:t>
      </w:r>
      <w:r>
        <w:t>esolución;</w:t>
      </w:r>
    </w:p>
    <w:p w:rsidR="00D01B53" w:rsidRDefault="000D01F0" w:rsidP="000D01F0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Comunicar al Contador Auditor; y</w:t>
      </w:r>
    </w:p>
    <w:p w:rsidR="000D01F0" w:rsidRDefault="00D01B53" w:rsidP="000D01F0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Devolver las actuaciones.</w:t>
      </w:r>
    </w:p>
    <w:p w:rsidR="000D01F0" w:rsidRDefault="000D01F0" w:rsidP="000D01F0">
      <w:pPr>
        <w:spacing w:line="360" w:lineRule="auto"/>
        <w:jc w:val="both"/>
      </w:pPr>
    </w:p>
    <w:p w:rsidR="000D01F0" w:rsidRDefault="000D01F0" w:rsidP="000D01F0">
      <w:pPr>
        <w:spacing w:line="360" w:lineRule="auto"/>
        <w:jc w:val="both"/>
      </w:pPr>
    </w:p>
    <w:p w:rsidR="000D01F0" w:rsidRDefault="000D01F0" w:rsidP="000D01F0">
      <w:pPr>
        <w:spacing w:line="360" w:lineRule="auto"/>
        <w:jc w:val="both"/>
      </w:pPr>
    </w:p>
    <w:p w:rsidR="00D96E59" w:rsidRDefault="000D01F0" w:rsidP="000D01F0">
      <w:pPr>
        <w:spacing w:line="360" w:lineRule="auto"/>
        <w:ind w:hanging="426"/>
        <w:jc w:val="both"/>
      </w:pPr>
      <w:proofErr w:type="gramStart"/>
      <w:r>
        <w:t>dc</w:t>
      </w:r>
      <w:proofErr w:type="gramEnd"/>
      <w:r>
        <w:t xml:space="preserve"> </w:t>
      </w:r>
      <w:bookmarkStart w:id="0" w:name="_GoBack"/>
      <w:bookmarkEnd w:id="0"/>
    </w:p>
    <w:sectPr w:rsidR="00D96E59" w:rsidSect="00FB0CF7">
      <w:footerReference w:type="even" r:id="rId9"/>
      <w:footerReference w:type="default" r:id="rId10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26" w:rsidRDefault="00447C26">
      <w:r>
        <w:separator/>
      </w:r>
    </w:p>
  </w:endnote>
  <w:endnote w:type="continuationSeparator" w:id="0">
    <w:p w:rsidR="00447C26" w:rsidRDefault="0044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0CF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26" w:rsidRDefault="00447C26">
      <w:r>
        <w:separator/>
      </w:r>
    </w:p>
  </w:footnote>
  <w:footnote w:type="continuationSeparator" w:id="0">
    <w:p w:rsidR="00447C26" w:rsidRDefault="0044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0174FE"/>
    <w:rsid w:val="00034970"/>
    <w:rsid w:val="00095533"/>
    <w:rsid w:val="000C1180"/>
    <w:rsid w:val="000D01F0"/>
    <w:rsid w:val="000D5EFD"/>
    <w:rsid w:val="00120352"/>
    <w:rsid w:val="00156D37"/>
    <w:rsid w:val="002341E3"/>
    <w:rsid w:val="00252F5A"/>
    <w:rsid w:val="00282EDD"/>
    <w:rsid w:val="002B019E"/>
    <w:rsid w:val="002C186D"/>
    <w:rsid w:val="002D2F4C"/>
    <w:rsid w:val="00306313"/>
    <w:rsid w:val="003273DA"/>
    <w:rsid w:val="003823BA"/>
    <w:rsid w:val="003F645A"/>
    <w:rsid w:val="00422F2D"/>
    <w:rsid w:val="004266A9"/>
    <w:rsid w:val="00447C26"/>
    <w:rsid w:val="005479F4"/>
    <w:rsid w:val="00554D78"/>
    <w:rsid w:val="00562C33"/>
    <w:rsid w:val="0058120F"/>
    <w:rsid w:val="005B22E0"/>
    <w:rsid w:val="005C0208"/>
    <w:rsid w:val="005F59C3"/>
    <w:rsid w:val="00651240"/>
    <w:rsid w:val="00667454"/>
    <w:rsid w:val="006C766F"/>
    <w:rsid w:val="006F19C4"/>
    <w:rsid w:val="00715438"/>
    <w:rsid w:val="00716A4E"/>
    <w:rsid w:val="007C3A9B"/>
    <w:rsid w:val="00820956"/>
    <w:rsid w:val="00833E38"/>
    <w:rsid w:val="00862532"/>
    <w:rsid w:val="008E3F30"/>
    <w:rsid w:val="00924468"/>
    <w:rsid w:val="0096357E"/>
    <w:rsid w:val="00976449"/>
    <w:rsid w:val="0099797B"/>
    <w:rsid w:val="009C39AC"/>
    <w:rsid w:val="009E0682"/>
    <w:rsid w:val="00A53E6D"/>
    <w:rsid w:val="00A6352C"/>
    <w:rsid w:val="00A674F2"/>
    <w:rsid w:val="00B115C0"/>
    <w:rsid w:val="00B16E08"/>
    <w:rsid w:val="00B54F4C"/>
    <w:rsid w:val="00B7206C"/>
    <w:rsid w:val="00C22766"/>
    <w:rsid w:val="00C27A41"/>
    <w:rsid w:val="00C713B9"/>
    <w:rsid w:val="00C769D9"/>
    <w:rsid w:val="00CD098A"/>
    <w:rsid w:val="00CD32F5"/>
    <w:rsid w:val="00CD5878"/>
    <w:rsid w:val="00CF3994"/>
    <w:rsid w:val="00D01B53"/>
    <w:rsid w:val="00D05E73"/>
    <w:rsid w:val="00D12096"/>
    <w:rsid w:val="00D419DD"/>
    <w:rsid w:val="00D8364C"/>
    <w:rsid w:val="00D95903"/>
    <w:rsid w:val="00D96E59"/>
    <w:rsid w:val="00DB4B96"/>
    <w:rsid w:val="00DD10F9"/>
    <w:rsid w:val="00DF039F"/>
    <w:rsid w:val="00E11EAD"/>
    <w:rsid w:val="00E14D7B"/>
    <w:rsid w:val="00E23EA3"/>
    <w:rsid w:val="00E30D36"/>
    <w:rsid w:val="00E404FA"/>
    <w:rsid w:val="00E757D0"/>
    <w:rsid w:val="00F63063"/>
    <w:rsid w:val="00FB0CF7"/>
    <w:rsid w:val="00FD68ED"/>
    <w:rsid w:val="00FE3132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FA2D-17A8-41D8-989B-AF0E3CB9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2018-07-05T17:04:00Z</cp:lastPrinted>
  <dcterms:created xsi:type="dcterms:W3CDTF">2018-07-05T14:53:00Z</dcterms:created>
  <dcterms:modified xsi:type="dcterms:W3CDTF">2018-07-05T17:04:00Z</dcterms:modified>
</cp:coreProperties>
</file>