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18" w:rsidRPr="00786EEB" w:rsidRDefault="003F711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2130/18</w:t>
      </w:r>
    </w:p>
    <w:p w:rsidR="003F7118" w:rsidRDefault="003F711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F7118" w:rsidRPr="003F7118" w:rsidRDefault="003F7118" w:rsidP="003F711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F711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F7118" w:rsidRPr="003F7118" w:rsidRDefault="003F7118" w:rsidP="003F711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F7118" w:rsidRPr="003F7118" w:rsidRDefault="003F7118" w:rsidP="003F711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F711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F7118" w:rsidRPr="003F7118" w:rsidRDefault="003F7118" w:rsidP="003F711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F7118" w:rsidRPr="003F7118" w:rsidRDefault="003F7118" w:rsidP="003F711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F7118">
        <w:rPr>
          <w:rFonts w:ascii="Arial" w:hAnsi="Arial" w:cs="Arial"/>
          <w:b/>
          <w:sz w:val="24"/>
          <w:szCs w:val="24"/>
          <w:lang w:val="es-ES_tradnl"/>
        </w:rPr>
        <w:t xml:space="preserve">EN SESION DE FECHA 27 DE JUNIO </w:t>
      </w:r>
      <w:r w:rsidRPr="003F7118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3F7118" w:rsidRPr="003F7118" w:rsidRDefault="003F7118" w:rsidP="003F711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F7118" w:rsidRPr="003F7118" w:rsidRDefault="003F7118" w:rsidP="003F711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F7118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2018-17-1-0003869</w:t>
      </w:r>
      <w:r w:rsidRPr="003F7118">
        <w:rPr>
          <w:rFonts w:ascii="Arial" w:hAnsi="Arial" w:cs="Arial"/>
          <w:b/>
          <w:sz w:val="24"/>
          <w:szCs w:val="24"/>
          <w:lang w:val="en-US"/>
        </w:rPr>
        <w:t xml:space="preserve">, Ent. N° </w:t>
      </w:r>
      <w:r w:rsidR="00411374">
        <w:rPr>
          <w:rFonts w:ascii="Arial" w:hAnsi="Arial" w:cs="Arial"/>
          <w:b/>
          <w:sz w:val="24"/>
          <w:szCs w:val="24"/>
          <w:lang w:val="en-US"/>
        </w:rPr>
        <w:t>2893/18</w:t>
      </w:r>
      <w:r w:rsidRPr="003F7118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F7118" w:rsidRDefault="003F711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411374" w:rsidRDefault="008D625D" w:rsidP="0041137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570911">
        <w:rPr>
          <w:rFonts w:ascii="Arial" w:hAnsi="Arial" w:cs="Arial"/>
          <w:b/>
          <w:sz w:val="24"/>
          <w:szCs w:val="24"/>
        </w:rPr>
        <w:t xml:space="preserve"> </w:t>
      </w:r>
      <w:r w:rsidR="00570911" w:rsidRPr="00570911">
        <w:rPr>
          <w:rFonts w:ascii="Arial" w:hAnsi="Arial" w:cs="Arial"/>
          <w:sz w:val="24"/>
          <w:szCs w:val="24"/>
        </w:rPr>
        <w:t>l</w:t>
      </w:r>
      <w:r w:rsidR="00D11A96">
        <w:rPr>
          <w:rFonts w:ascii="Arial" w:hAnsi="Arial" w:cs="Arial"/>
          <w:sz w:val="24"/>
          <w:szCs w:val="24"/>
        </w:rPr>
        <w:t>a consulta formulada por el Contador Delegado</w:t>
      </w:r>
      <w:r w:rsidR="00411374">
        <w:rPr>
          <w:rFonts w:ascii="Arial" w:hAnsi="Arial" w:cs="Arial"/>
          <w:sz w:val="24"/>
          <w:szCs w:val="24"/>
        </w:rPr>
        <w:t xml:space="preserve"> de este Tribunal en</w:t>
      </w:r>
      <w:r>
        <w:rPr>
          <w:rFonts w:ascii="Arial" w:hAnsi="Arial" w:cs="Arial"/>
          <w:sz w:val="24"/>
          <w:szCs w:val="24"/>
        </w:rPr>
        <w:t xml:space="preserve"> la Administración Nacional de Puertos</w:t>
      </w:r>
      <w:r w:rsidR="00570911">
        <w:rPr>
          <w:rFonts w:ascii="Arial" w:hAnsi="Arial" w:cs="Arial"/>
          <w:sz w:val="24"/>
          <w:szCs w:val="24"/>
        </w:rPr>
        <w:t>,</w:t>
      </w:r>
      <w:r w:rsidR="00D23C32">
        <w:rPr>
          <w:rFonts w:ascii="Arial" w:hAnsi="Arial" w:cs="Arial"/>
          <w:sz w:val="24"/>
          <w:szCs w:val="24"/>
        </w:rPr>
        <w:t xml:space="preserve"> relacionada con la aplicación de la </w:t>
      </w:r>
      <w:r w:rsidR="00441D54">
        <w:rPr>
          <w:rFonts w:ascii="Arial" w:hAnsi="Arial" w:cs="Arial"/>
          <w:sz w:val="24"/>
          <w:szCs w:val="24"/>
        </w:rPr>
        <w:t>L</w:t>
      </w:r>
      <w:r w:rsidR="00D23C32">
        <w:rPr>
          <w:rFonts w:ascii="Arial" w:hAnsi="Arial" w:cs="Arial"/>
          <w:sz w:val="24"/>
          <w:szCs w:val="24"/>
        </w:rPr>
        <w:t xml:space="preserve">ey </w:t>
      </w:r>
      <w:r w:rsidR="00441D54">
        <w:rPr>
          <w:rFonts w:ascii="Arial" w:hAnsi="Arial" w:cs="Arial"/>
          <w:sz w:val="24"/>
          <w:szCs w:val="24"/>
        </w:rPr>
        <w:t xml:space="preserve">Nº </w:t>
      </w:r>
      <w:r w:rsidR="00D23C32">
        <w:rPr>
          <w:rFonts w:ascii="Arial" w:hAnsi="Arial" w:cs="Arial"/>
          <w:sz w:val="24"/>
          <w:szCs w:val="24"/>
        </w:rPr>
        <w:t>19.210 de 29/4/2014 y el Decreto 350/017 de 19/12/2017</w:t>
      </w:r>
      <w:r w:rsidR="00570911">
        <w:rPr>
          <w:rFonts w:ascii="Arial" w:hAnsi="Arial" w:cs="Arial"/>
          <w:sz w:val="24"/>
          <w:szCs w:val="24"/>
        </w:rPr>
        <w:t>;</w:t>
      </w:r>
    </w:p>
    <w:p w:rsidR="00411374" w:rsidRDefault="00570911" w:rsidP="0041137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0911">
        <w:rPr>
          <w:rFonts w:ascii="Arial" w:hAnsi="Arial" w:cs="Arial"/>
          <w:b/>
          <w:sz w:val="24"/>
          <w:szCs w:val="24"/>
        </w:rPr>
        <w:t xml:space="preserve">RESULTANDO: 1) </w:t>
      </w:r>
      <w:r w:rsidRPr="00570911">
        <w:rPr>
          <w:rFonts w:ascii="Arial" w:hAnsi="Arial" w:cs="Arial"/>
          <w:sz w:val="24"/>
          <w:szCs w:val="24"/>
        </w:rPr>
        <w:t>que por nota</w:t>
      </w:r>
      <w:r w:rsidR="00D23C32">
        <w:rPr>
          <w:rFonts w:ascii="Arial" w:hAnsi="Arial" w:cs="Arial"/>
          <w:sz w:val="24"/>
          <w:szCs w:val="24"/>
        </w:rPr>
        <w:t xml:space="preserve"> de fecha 5/6/18, el Contador Delegado</w:t>
      </w:r>
      <w:r w:rsidR="007332F0">
        <w:rPr>
          <w:rFonts w:ascii="Arial" w:hAnsi="Arial" w:cs="Arial"/>
          <w:sz w:val="24"/>
          <w:szCs w:val="24"/>
        </w:rPr>
        <w:t>,  consulta</w:t>
      </w:r>
      <w:r w:rsidR="00D23C32">
        <w:rPr>
          <w:rFonts w:ascii="Arial" w:hAnsi="Arial" w:cs="Arial"/>
          <w:sz w:val="24"/>
          <w:szCs w:val="24"/>
        </w:rPr>
        <w:t xml:space="preserve"> s</w:t>
      </w:r>
      <w:r w:rsidR="00441D54">
        <w:rPr>
          <w:rFonts w:ascii="Arial" w:hAnsi="Arial" w:cs="Arial"/>
          <w:sz w:val="24"/>
          <w:szCs w:val="24"/>
        </w:rPr>
        <w:t>obre s</w:t>
      </w:r>
      <w:r w:rsidR="00D23C32">
        <w:rPr>
          <w:rFonts w:ascii="Arial" w:hAnsi="Arial" w:cs="Arial"/>
          <w:sz w:val="24"/>
          <w:szCs w:val="24"/>
        </w:rPr>
        <w:t>i determinados pagos s</w:t>
      </w:r>
      <w:r w:rsidR="00411374">
        <w:rPr>
          <w:rFonts w:ascii="Arial" w:hAnsi="Arial" w:cs="Arial"/>
          <w:sz w:val="24"/>
          <w:szCs w:val="24"/>
        </w:rPr>
        <w:t>e encuentran alcanzados por la L</w:t>
      </w:r>
      <w:r w:rsidR="00D23C32">
        <w:rPr>
          <w:rFonts w:ascii="Arial" w:hAnsi="Arial" w:cs="Arial"/>
          <w:sz w:val="24"/>
          <w:szCs w:val="24"/>
        </w:rPr>
        <w:t xml:space="preserve">ey </w:t>
      </w:r>
      <w:r w:rsidR="00441D54">
        <w:rPr>
          <w:rFonts w:ascii="Arial" w:hAnsi="Arial" w:cs="Arial"/>
          <w:sz w:val="24"/>
          <w:szCs w:val="24"/>
        </w:rPr>
        <w:t>citada</w:t>
      </w:r>
      <w:r w:rsidR="00D23C32">
        <w:rPr>
          <w:rFonts w:ascii="Arial" w:hAnsi="Arial" w:cs="Arial"/>
          <w:sz w:val="24"/>
          <w:szCs w:val="24"/>
        </w:rPr>
        <w:t xml:space="preserve"> y en pa</w:t>
      </w:r>
      <w:r w:rsidR="00411374">
        <w:rPr>
          <w:rFonts w:ascii="Arial" w:hAnsi="Arial" w:cs="Arial"/>
          <w:sz w:val="24"/>
          <w:szCs w:val="24"/>
        </w:rPr>
        <w:t>rticular por los A</w:t>
      </w:r>
      <w:r w:rsidR="00D23C32">
        <w:rPr>
          <w:rFonts w:ascii="Arial" w:hAnsi="Arial" w:cs="Arial"/>
          <w:sz w:val="24"/>
          <w:szCs w:val="24"/>
        </w:rPr>
        <w:t>rtículos 1 y 2 del Decreto 350/017</w:t>
      </w:r>
      <w:r w:rsidR="00441D54">
        <w:rPr>
          <w:rFonts w:ascii="Arial" w:hAnsi="Arial" w:cs="Arial"/>
          <w:sz w:val="24"/>
          <w:szCs w:val="24"/>
        </w:rPr>
        <w:t>, indicando</w:t>
      </w:r>
      <w:r w:rsidR="00D23C32">
        <w:rPr>
          <w:rFonts w:ascii="Arial" w:hAnsi="Arial" w:cs="Arial"/>
          <w:sz w:val="24"/>
          <w:szCs w:val="24"/>
        </w:rPr>
        <w:t xml:space="preserve"> </w:t>
      </w:r>
      <w:r w:rsidR="00AC6B88">
        <w:rPr>
          <w:rFonts w:ascii="Arial" w:hAnsi="Arial" w:cs="Arial"/>
          <w:sz w:val="24"/>
          <w:szCs w:val="24"/>
        </w:rPr>
        <w:t>que la ANP tramita estos pagos mediante la modalidad cheque común, con independencia del monto, incluso por encima de las 160.000 UI;</w:t>
      </w:r>
    </w:p>
    <w:p w:rsidR="00AC6B88" w:rsidRDefault="007332F0" w:rsidP="00411374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7332F0">
        <w:rPr>
          <w:rFonts w:ascii="Arial" w:hAnsi="Arial" w:cs="Arial"/>
          <w:b/>
          <w:sz w:val="24"/>
          <w:szCs w:val="24"/>
        </w:rPr>
        <w:t>2)</w:t>
      </w:r>
      <w:r w:rsidRPr="005A365C">
        <w:rPr>
          <w:rFonts w:ascii="Arial" w:hAnsi="Arial" w:cs="Arial"/>
          <w:sz w:val="24"/>
          <w:szCs w:val="24"/>
        </w:rPr>
        <w:t xml:space="preserve"> </w:t>
      </w:r>
      <w:r w:rsidR="00AC6B88">
        <w:rPr>
          <w:rFonts w:ascii="Arial" w:hAnsi="Arial" w:cs="Arial"/>
          <w:sz w:val="24"/>
          <w:szCs w:val="24"/>
        </w:rPr>
        <w:t>que la consulta refiere a los siguientes pagos:</w:t>
      </w:r>
      <w:r w:rsidR="00441D54">
        <w:rPr>
          <w:rFonts w:ascii="Arial" w:hAnsi="Arial" w:cs="Arial"/>
          <w:sz w:val="24"/>
          <w:szCs w:val="24"/>
        </w:rPr>
        <w:t xml:space="preserve">         </w:t>
      </w:r>
      <w:r w:rsidR="00441D54" w:rsidRPr="00411374">
        <w:rPr>
          <w:rFonts w:ascii="Arial" w:hAnsi="Arial" w:cs="Arial"/>
          <w:b/>
          <w:sz w:val="24"/>
          <w:szCs w:val="24"/>
        </w:rPr>
        <w:t>2.</w:t>
      </w:r>
      <w:r w:rsidR="00411374">
        <w:rPr>
          <w:rFonts w:ascii="Arial" w:hAnsi="Arial" w:cs="Arial"/>
          <w:b/>
          <w:sz w:val="24"/>
          <w:szCs w:val="24"/>
        </w:rPr>
        <w:t>a)</w:t>
      </w:r>
      <w:r w:rsidR="00AC6B88">
        <w:rPr>
          <w:rFonts w:ascii="Arial" w:hAnsi="Arial" w:cs="Arial"/>
          <w:sz w:val="24"/>
          <w:szCs w:val="24"/>
        </w:rPr>
        <w:t xml:space="preserve"> retenciones en el pago de nómina a los empleados, a vía de ejemplo, en concepto de: </w:t>
      </w:r>
    </w:p>
    <w:p w:rsidR="00AC6B88" w:rsidRDefault="002D00D4" w:rsidP="004113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cuota sindical;</w:t>
      </w:r>
    </w:p>
    <w:p w:rsidR="00AC6B88" w:rsidRDefault="00AC6B88" w:rsidP="004113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cuotas de institucion</w:t>
      </w:r>
      <w:r w:rsidR="002D00D4">
        <w:rPr>
          <w:rFonts w:ascii="Arial" w:hAnsi="Arial" w:cs="Arial"/>
          <w:sz w:val="24"/>
          <w:szCs w:val="24"/>
        </w:rPr>
        <w:t>es médicas de asistencia mutual;</w:t>
      </w:r>
    </w:p>
    <w:p w:rsidR="00AC6B88" w:rsidRDefault="00AC6B88" w:rsidP="004113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importe de alquileres (Contaduría General de la Nación, ANDA)</w:t>
      </w:r>
      <w:r w:rsidR="002D00D4">
        <w:rPr>
          <w:rFonts w:ascii="Arial" w:hAnsi="Arial" w:cs="Arial"/>
          <w:sz w:val="24"/>
          <w:szCs w:val="24"/>
        </w:rPr>
        <w:t>;</w:t>
      </w:r>
    </w:p>
    <w:p w:rsidR="00AC6B88" w:rsidRDefault="00AC6B88" w:rsidP="004113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pólizas d</w:t>
      </w:r>
      <w:r w:rsidR="002D00D4">
        <w:rPr>
          <w:rFonts w:ascii="Arial" w:hAnsi="Arial" w:cs="Arial"/>
          <w:sz w:val="24"/>
          <w:szCs w:val="24"/>
        </w:rPr>
        <w:t>e seguros de agrupamiento (BSE);</w:t>
      </w:r>
    </w:p>
    <w:p w:rsidR="00AC6B88" w:rsidRDefault="00441D54" w:rsidP="00411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00D4">
        <w:rPr>
          <w:rFonts w:ascii="Arial" w:hAnsi="Arial" w:cs="Arial"/>
          <w:b/>
          <w:sz w:val="24"/>
          <w:szCs w:val="24"/>
        </w:rPr>
        <w:t>2.</w:t>
      </w:r>
      <w:r w:rsidR="002D00D4" w:rsidRPr="002D00D4">
        <w:rPr>
          <w:rFonts w:ascii="Arial" w:hAnsi="Arial" w:cs="Arial"/>
          <w:b/>
          <w:sz w:val="24"/>
          <w:szCs w:val="24"/>
        </w:rPr>
        <w:t>b)</w:t>
      </w:r>
      <w:r w:rsidR="00AC6B88">
        <w:rPr>
          <w:rFonts w:ascii="Arial" w:hAnsi="Arial" w:cs="Arial"/>
          <w:sz w:val="24"/>
          <w:szCs w:val="24"/>
        </w:rPr>
        <w:t xml:space="preserve"> retenciones por préstamos con</w:t>
      </w:r>
      <w:r w:rsidR="002D00D4">
        <w:rPr>
          <w:rFonts w:ascii="Arial" w:hAnsi="Arial" w:cs="Arial"/>
          <w:sz w:val="24"/>
          <w:szCs w:val="24"/>
        </w:rPr>
        <w:t xml:space="preserve"> destino a vivienda (BHU, BROU);</w:t>
      </w:r>
    </w:p>
    <w:p w:rsidR="00AC6B88" w:rsidRDefault="00441D54" w:rsidP="00411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00D4">
        <w:rPr>
          <w:rFonts w:ascii="Arial" w:hAnsi="Arial" w:cs="Arial"/>
          <w:b/>
          <w:sz w:val="24"/>
          <w:szCs w:val="24"/>
        </w:rPr>
        <w:t>2.c</w:t>
      </w:r>
      <w:r w:rsidR="002D00D4" w:rsidRPr="002D00D4">
        <w:rPr>
          <w:rFonts w:ascii="Arial" w:hAnsi="Arial" w:cs="Arial"/>
          <w:b/>
          <w:sz w:val="24"/>
          <w:szCs w:val="24"/>
        </w:rPr>
        <w:t>)</w:t>
      </w:r>
      <w:r w:rsidR="00AC6B88">
        <w:rPr>
          <w:rFonts w:ascii="Arial" w:hAnsi="Arial" w:cs="Arial"/>
          <w:sz w:val="24"/>
          <w:szCs w:val="24"/>
        </w:rPr>
        <w:t xml:space="preserve"> retención</w:t>
      </w:r>
      <w:r w:rsidR="002D00D4">
        <w:rPr>
          <w:rFonts w:ascii="Arial" w:hAnsi="Arial" w:cs="Arial"/>
          <w:sz w:val="24"/>
          <w:szCs w:val="24"/>
        </w:rPr>
        <w:t xml:space="preserve"> préstamos Caja Nacional (BROU);</w:t>
      </w:r>
    </w:p>
    <w:p w:rsidR="00AC6B88" w:rsidRDefault="00441D54" w:rsidP="00411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00D4">
        <w:rPr>
          <w:rFonts w:ascii="Arial" w:hAnsi="Arial" w:cs="Arial"/>
          <w:b/>
          <w:sz w:val="24"/>
          <w:szCs w:val="24"/>
        </w:rPr>
        <w:t>2.</w:t>
      </w:r>
      <w:r w:rsidR="002D00D4" w:rsidRPr="002D00D4">
        <w:rPr>
          <w:rFonts w:ascii="Arial" w:hAnsi="Arial" w:cs="Arial"/>
          <w:b/>
          <w:sz w:val="24"/>
          <w:szCs w:val="24"/>
        </w:rPr>
        <w:t>d)</w:t>
      </w:r>
      <w:r w:rsidR="002D00D4">
        <w:rPr>
          <w:rFonts w:ascii="Arial" w:hAnsi="Arial" w:cs="Arial"/>
          <w:sz w:val="24"/>
          <w:szCs w:val="24"/>
        </w:rPr>
        <w:t xml:space="preserve"> </w:t>
      </w:r>
      <w:r w:rsidR="00AC6B88">
        <w:rPr>
          <w:rFonts w:ascii="Arial" w:hAnsi="Arial" w:cs="Arial"/>
          <w:sz w:val="24"/>
          <w:szCs w:val="24"/>
        </w:rPr>
        <w:t>notas de crédito para devoluciones a clie</w:t>
      </w:r>
      <w:r w:rsidR="002D00D4">
        <w:rPr>
          <w:rFonts w:ascii="Arial" w:hAnsi="Arial" w:cs="Arial"/>
          <w:sz w:val="24"/>
          <w:szCs w:val="24"/>
        </w:rPr>
        <w:t>ntes por facturaciones erróneas;</w:t>
      </w:r>
    </w:p>
    <w:p w:rsidR="00AC6B88" w:rsidRDefault="00441D54" w:rsidP="00411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00D4">
        <w:rPr>
          <w:rFonts w:ascii="Arial" w:hAnsi="Arial" w:cs="Arial"/>
          <w:b/>
          <w:sz w:val="24"/>
          <w:szCs w:val="24"/>
        </w:rPr>
        <w:lastRenderedPageBreak/>
        <w:t>2.</w:t>
      </w:r>
      <w:r w:rsidR="002D00D4" w:rsidRPr="002D00D4">
        <w:rPr>
          <w:rFonts w:ascii="Arial" w:hAnsi="Arial" w:cs="Arial"/>
          <w:b/>
          <w:sz w:val="24"/>
          <w:szCs w:val="24"/>
        </w:rPr>
        <w:t>e)</w:t>
      </w:r>
      <w:r w:rsidR="00AC6B88">
        <w:rPr>
          <w:rFonts w:ascii="Arial" w:hAnsi="Arial" w:cs="Arial"/>
          <w:sz w:val="24"/>
          <w:szCs w:val="24"/>
        </w:rPr>
        <w:t xml:space="preserve"> notas de crédito a clientes por beneficios tarifarios otorgados por alcanzar determi</w:t>
      </w:r>
      <w:r w:rsidR="002D00D4">
        <w:rPr>
          <w:rFonts w:ascii="Arial" w:hAnsi="Arial" w:cs="Arial"/>
          <w:sz w:val="24"/>
          <w:szCs w:val="24"/>
        </w:rPr>
        <w:t>nado volumen en sus operaciones;</w:t>
      </w:r>
    </w:p>
    <w:p w:rsidR="0055568D" w:rsidRDefault="00441D54" w:rsidP="004113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00D4">
        <w:rPr>
          <w:rFonts w:ascii="Arial" w:hAnsi="Arial" w:cs="Arial"/>
          <w:b/>
          <w:sz w:val="24"/>
          <w:szCs w:val="24"/>
        </w:rPr>
        <w:t>2.</w:t>
      </w:r>
      <w:r w:rsidR="002D00D4" w:rsidRPr="002D00D4">
        <w:rPr>
          <w:rFonts w:ascii="Arial" w:hAnsi="Arial" w:cs="Arial"/>
          <w:b/>
          <w:sz w:val="24"/>
          <w:szCs w:val="24"/>
        </w:rPr>
        <w:t xml:space="preserve">f) </w:t>
      </w:r>
      <w:r w:rsidR="00AC6B88">
        <w:rPr>
          <w:rFonts w:ascii="Arial" w:hAnsi="Arial" w:cs="Arial"/>
          <w:sz w:val="24"/>
          <w:szCs w:val="24"/>
        </w:rPr>
        <w:t>devolución de i</w:t>
      </w:r>
      <w:r w:rsidR="002D00D4">
        <w:rPr>
          <w:rFonts w:ascii="Arial" w:hAnsi="Arial" w:cs="Arial"/>
          <w:sz w:val="24"/>
          <w:szCs w:val="24"/>
        </w:rPr>
        <w:t>mportes depositados en garantía;</w:t>
      </w:r>
      <w:r w:rsidR="005A365C">
        <w:rPr>
          <w:rFonts w:ascii="Arial" w:hAnsi="Arial" w:cs="Arial"/>
          <w:sz w:val="24"/>
          <w:szCs w:val="24"/>
        </w:rPr>
        <w:tab/>
        <w:t xml:space="preserve">   </w:t>
      </w:r>
      <w:r w:rsidR="00C137CD">
        <w:rPr>
          <w:rFonts w:ascii="Arial" w:hAnsi="Arial" w:cs="Arial"/>
          <w:sz w:val="24"/>
          <w:szCs w:val="24"/>
        </w:rPr>
        <w:t xml:space="preserve"> </w:t>
      </w:r>
    </w:p>
    <w:p w:rsidR="002D00D4" w:rsidRDefault="0055568D" w:rsidP="002D00D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5DAE">
        <w:rPr>
          <w:rFonts w:ascii="Arial" w:hAnsi="Arial" w:cs="Arial"/>
          <w:b/>
          <w:sz w:val="24"/>
          <w:szCs w:val="24"/>
        </w:rPr>
        <w:t xml:space="preserve">CONSIDERANDO: 1) </w:t>
      </w:r>
      <w:r w:rsidR="002A5DAE">
        <w:rPr>
          <w:rFonts w:ascii="Arial" w:hAnsi="Arial" w:cs="Arial"/>
          <w:sz w:val="24"/>
          <w:szCs w:val="24"/>
        </w:rPr>
        <w:t>que</w:t>
      </w:r>
      <w:r w:rsidR="009E45B8">
        <w:rPr>
          <w:rFonts w:ascii="Arial" w:hAnsi="Arial" w:cs="Arial"/>
          <w:sz w:val="24"/>
          <w:szCs w:val="24"/>
        </w:rPr>
        <w:t xml:space="preserve"> </w:t>
      </w:r>
      <w:r w:rsidR="002D00D4">
        <w:rPr>
          <w:rFonts w:ascii="Arial" w:hAnsi="Arial" w:cs="Arial"/>
          <w:sz w:val="24"/>
          <w:szCs w:val="24"/>
        </w:rPr>
        <w:t>los A</w:t>
      </w:r>
      <w:r w:rsidR="008233A5">
        <w:rPr>
          <w:rFonts w:ascii="Arial" w:hAnsi="Arial" w:cs="Arial"/>
          <w:sz w:val="24"/>
          <w:szCs w:val="24"/>
        </w:rPr>
        <w:t xml:space="preserve">rtículos 35 y 36 de </w:t>
      </w:r>
      <w:r w:rsidR="002D00D4">
        <w:rPr>
          <w:rFonts w:ascii="Arial" w:hAnsi="Arial" w:cs="Arial"/>
          <w:sz w:val="24"/>
          <w:szCs w:val="24"/>
        </w:rPr>
        <w:t>la L</w:t>
      </w:r>
      <w:r w:rsidR="008233A5" w:rsidRPr="008233A5">
        <w:rPr>
          <w:rFonts w:ascii="Arial" w:hAnsi="Arial" w:cs="Arial"/>
          <w:sz w:val="24"/>
          <w:szCs w:val="24"/>
        </w:rPr>
        <w:t>ey 19.210 de 29/4/2014</w:t>
      </w:r>
      <w:r w:rsidR="008233A5">
        <w:rPr>
          <w:rFonts w:ascii="Arial" w:hAnsi="Arial" w:cs="Arial"/>
          <w:sz w:val="24"/>
          <w:szCs w:val="24"/>
        </w:rPr>
        <w:t xml:space="preserve"> restringen el uso de</w:t>
      </w:r>
      <w:r w:rsidR="00441D54">
        <w:rPr>
          <w:rFonts w:ascii="Arial" w:hAnsi="Arial" w:cs="Arial"/>
          <w:sz w:val="24"/>
          <w:szCs w:val="24"/>
        </w:rPr>
        <w:t xml:space="preserve"> dinero en</w:t>
      </w:r>
      <w:r w:rsidR="008233A5">
        <w:rPr>
          <w:rFonts w:ascii="Arial" w:hAnsi="Arial" w:cs="Arial"/>
          <w:sz w:val="24"/>
          <w:szCs w:val="24"/>
        </w:rPr>
        <w:t xml:space="preserve"> efectivo para el pago de operaciones igual o superiores a 40.000 UI, y</w:t>
      </w:r>
      <w:r w:rsidR="00441D54">
        <w:rPr>
          <w:rFonts w:ascii="Arial" w:hAnsi="Arial" w:cs="Arial"/>
          <w:sz w:val="24"/>
          <w:szCs w:val="24"/>
        </w:rPr>
        <w:t xml:space="preserve"> se</w:t>
      </w:r>
      <w:r w:rsidR="008233A5">
        <w:rPr>
          <w:rFonts w:ascii="Arial" w:hAnsi="Arial" w:cs="Arial"/>
          <w:sz w:val="24"/>
          <w:szCs w:val="24"/>
        </w:rPr>
        <w:t xml:space="preserve"> establecen los medios de pago para operaciones iguales o superiores a 160.000 UI. Dichas restricciones se aplican a partir del 1/4/2018;</w:t>
      </w:r>
    </w:p>
    <w:p w:rsidR="002D00D4" w:rsidRDefault="008233A5" w:rsidP="002D00D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2D00D4">
        <w:rPr>
          <w:rFonts w:ascii="Arial" w:hAnsi="Arial" w:cs="Arial"/>
          <w:sz w:val="24"/>
          <w:szCs w:val="24"/>
        </w:rPr>
        <w:t>el A</w:t>
      </w:r>
      <w:r w:rsidR="009E45B8">
        <w:rPr>
          <w:rFonts w:ascii="Arial" w:hAnsi="Arial" w:cs="Arial"/>
          <w:sz w:val="24"/>
          <w:szCs w:val="24"/>
        </w:rPr>
        <w:t>rtículo 1</w:t>
      </w:r>
      <w:r w:rsidR="00441D54">
        <w:rPr>
          <w:rFonts w:ascii="Arial" w:hAnsi="Arial" w:cs="Arial"/>
          <w:sz w:val="24"/>
          <w:szCs w:val="24"/>
        </w:rPr>
        <w:t>º</w:t>
      </w:r>
      <w:r w:rsidR="009E45B8">
        <w:rPr>
          <w:rFonts w:ascii="Arial" w:hAnsi="Arial" w:cs="Arial"/>
          <w:sz w:val="24"/>
          <w:szCs w:val="24"/>
        </w:rPr>
        <w:t xml:space="preserve"> del Decreto 350/017 de 19/12/2017</w:t>
      </w:r>
      <w:r w:rsidR="002D00D4">
        <w:rPr>
          <w:rFonts w:ascii="Arial" w:hAnsi="Arial" w:cs="Arial"/>
          <w:sz w:val="24"/>
          <w:szCs w:val="24"/>
        </w:rPr>
        <w:t xml:space="preserve"> reglamentario de la citada L</w:t>
      </w:r>
      <w:r w:rsidR="00554C48">
        <w:rPr>
          <w:rFonts w:ascii="Arial" w:hAnsi="Arial" w:cs="Arial"/>
          <w:sz w:val="24"/>
          <w:szCs w:val="24"/>
        </w:rPr>
        <w:t>ey</w:t>
      </w:r>
      <w:r w:rsidR="009E45B8">
        <w:rPr>
          <w:rFonts w:ascii="Arial" w:hAnsi="Arial" w:cs="Arial"/>
          <w:sz w:val="24"/>
          <w:szCs w:val="24"/>
        </w:rPr>
        <w:t>, establece que el pago en dinero de toda operación o negocio jurídico, cualesquiera sean los sujetos contratantes, cuyo importe total sea igual o superior al equivalente a 40.000 UI impuestos incluidos, no podrá realizarse con efectivo. Se entenderá por efectivo el papel moneda y la moneda metálica, nacionales o extranjeros</w:t>
      </w:r>
      <w:r w:rsidR="002A5DAE">
        <w:rPr>
          <w:rFonts w:ascii="Arial" w:hAnsi="Arial" w:cs="Arial"/>
          <w:sz w:val="24"/>
          <w:szCs w:val="24"/>
        </w:rPr>
        <w:t>;</w:t>
      </w:r>
    </w:p>
    <w:p w:rsidR="002D00D4" w:rsidRDefault="00B82898" w:rsidP="002D00D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3D4D0C" w:rsidRPr="003D4D0C">
        <w:rPr>
          <w:rFonts w:ascii="Arial" w:hAnsi="Arial" w:cs="Arial"/>
          <w:b/>
          <w:sz w:val="24"/>
          <w:szCs w:val="24"/>
        </w:rPr>
        <w:t xml:space="preserve">) </w:t>
      </w:r>
      <w:r w:rsidR="003D4D0C">
        <w:rPr>
          <w:rFonts w:ascii="Arial" w:hAnsi="Arial" w:cs="Arial"/>
          <w:sz w:val="24"/>
          <w:szCs w:val="24"/>
        </w:rPr>
        <w:t>que</w:t>
      </w:r>
      <w:r w:rsidR="002D00D4">
        <w:rPr>
          <w:rFonts w:ascii="Arial" w:hAnsi="Arial" w:cs="Arial"/>
          <w:sz w:val="24"/>
          <w:szCs w:val="24"/>
        </w:rPr>
        <w:t xml:space="preserve"> el A</w:t>
      </w:r>
      <w:r w:rsidR="009E45B8">
        <w:rPr>
          <w:rFonts w:ascii="Arial" w:hAnsi="Arial" w:cs="Arial"/>
          <w:sz w:val="24"/>
          <w:szCs w:val="24"/>
        </w:rPr>
        <w:t>rtículo 2</w:t>
      </w:r>
      <w:r w:rsidR="00441D54">
        <w:rPr>
          <w:rFonts w:ascii="Arial" w:hAnsi="Arial" w:cs="Arial"/>
          <w:sz w:val="24"/>
          <w:szCs w:val="24"/>
        </w:rPr>
        <w:t>º</w:t>
      </w:r>
      <w:r w:rsidR="009E45B8">
        <w:rPr>
          <w:rFonts w:ascii="Arial" w:hAnsi="Arial" w:cs="Arial"/>
          <w:sz w:val="24"/>
          <w:szCs w:val="24"/>
        </w:rPr>
        <w:t xml:space="preserve"> del citado Decreto, dispone que el pago en dinero de toda operación o negocio jurídico, cualesquiera sean los sujetos contratantes, cuyo importe total sea igual o superior al equivalente a 16</w:t>
      </w:r>
      <w:r w:rsidR="00757A72">
        <w:rPr>
          <w:rFonts w:ascii="Arial" w:hAnsi="Arial" w:cs="Arial"/>
          <w:sz w:val="24"/>
          <w:szCs w:val="24"/>
        </w:rPr>
        <w:t>0.000 UI impuestos incluidos, só</w:t>
      </w:r>
      <w:r w:rsidR="009E45B8">
        <w:rPr>
          <w:rFonts w:ascii="Arial" w:hAnsi="Arial" w:cs="Arial"/>
          <w:sz w:val="24"/>
          <w:szCs w:val="24"/>
        </w:rPr>
        <w:t>lo podrá realizarse a través de medios de pago electrónicos o cheques cruzados no a la orden. Las cuentas de origen y destino de los fondos</w:t>
      </w:r>
      <w:r w:rsidR="006C2688">
        <w:rPr>
          <w:rFonts w:ascii="Arial" w:hAnsi="Arial" w:cs="Arial"/>
          <w:sz w:val="24"/>
          <w:szCs w:val="24"/>
        </w:rPr>
        <w:t xml:space="preserve"> podrán estar radicadas en instituciones de intermediación financiera del exterior. Asimismo, se admitirá que los pagos se realicen mediante la utilización de cheques de pago diferido cruzados o letras de cambio cruzadas emitidas por una institución de intermediación financiera. Lo dispuesto será aplicable a los pagos que se efectúen hasta el 31 de diciembre de 2019</w:t>
      </w:r>
      <w:r w:rsidR="003D4D0C">
        <w:rPr>
          <w:rFonts w:ascii="Arial" w:hAnsi="Arial" w:cs="Arial"/>
          <w:sz w:val="24"/>
          <w:szCs w:val="24"/>
        </w:rPr>
        <w:t>;</w:t>
      </w:r>
    </w:p>
    <w:p w:rsidR="00816DA3" w:rsidRDefault="00B82898" w:rsidP="002D00D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D4D0C" w:rsidRPr="003D4D0C">
        <w:rPr>
          <w:rFonts w:ascii="Arial" w:hAnsi="Arial" w:cs="Arial"/>
          <w:b/>
          <w:sz w:val="24"/>
          <w:szCs w:val="24"/>
        </w:rPr>
        <w:t>)</w:t>
      </w:r>
      <w:r w:rsidR="003D4D0C" w:rsidRPr="003D4D0C">
        <w:rPr>
          <w:rFonts w:ascii="Arial" w:hAnsi="Arial" w:cs="Arial"/>
          <w:sz w:val="24"/>
          <w:szCs w:val="24"/>
        </w:rPr>
        <w:t xml:space="preserve"> que </w:t>
      </w:r>
      <w:r w:rsidR="008D56C3">
        <w:rPr>
          <w:rFonts w:ascii="Arial" w:hAnsi="Arial" w:cs="Arial"/>
          <w:sz w:val="24"/>
          <w:szCs w:val="24"/>
        </w:rPr>
        <w:t>de acuerdo con los citados artículos, los pagos por los montos comprendidos entre 40.000 UI y 160.000 UI, no deben real</w:t>
      </w:r>
      <w:r w:rsidR="005B3D38">
        <w:rPr>
          <w:rFonts w:ascii="Arial" w:hAnsi="Arial" w:cs="Arial"/>
          <w:sz w:val="24"/>
          <w:szCs w:val="24"/>
        </w:rPr>
        <w:t xml:space="preserve">izarse en efectivo, encontrándose habilitados </w:t>
      </w:r>
      <w:r w:rsidR="00B1615B">
        <w:rPr>
          <w:rFonts w:ascii="Arial" w:hAnsi="Arial" w:cs="Arial"/>
          <w:sz w:val="24"/>
          <w:szCs w:val="24"/>
        </w:rPr>
        <w:t xml:space="preserve">los instrumentos de pago </w:t>
      </w:r>
      <w:r w:rsidR="005B3D38">
        <w:rPr>
          <w:rFonts w:ascii="Arial" w:hAnsi="Arial" w:cs="Arial"/>
          <w:sz w:val="24"/>
          <w:szCs w:val="24"/>
        </w:rPr>
        <w:t>que no sean billetes y monedas</w:t>
      </w:r>
      <w:r w:rsidR="00816DA3">
        <w:rPr>
          <w:rFonts w:ascii="Arial" w:hAnsi="Arial" w:cs="Arial"/>
          <w:sz w:val="24"/>
          <w:szCs w:val="24"/>
        </w:rPr>
        <w:t xml:space="preserve">. Por su parte, los instrumentos de pago para </w:t>
      </w:r>
      <w:r w:rsidR="00816DA3">
        <w:rPr>
          <w:rFonts w:ascii="Arial" w:hAnsi="Arial" w:cs="Arial"/>
          <w:sz w:val="24"/>
          <w:szCs w:val="24"/>
        </w:rPr>
        <w:lastRenderedPageBreak/>
        <w:t>operaciones iguales y superiores a 160.000 UI</w:t>
      </w:r>
      <w:r w:rsidR="00441D54">
        <w:rPr>
          <w:rFonts w:ascii="Arial" w:hAnsi="Arial" w:cs="Arial"/>
          <w:sz w:val="24"/>
          <w:szCs w:val="24"/>
        </w:rPr>
        <w:t>,</w:t>
      </w:r>
      <w:r w:rsidR="00816DA3">
        <w:rPr>
          <w:rFonts w:ascii="Arial" w:hAnsi="Arial" w:cs="Arial"/>
          <w:sz w:val="24"/>
          <w:szCs w:val="24"/>
        </w:rPr>
        <w:t xml:space="preserve"> se encuentran taxativamente establecidos</w:t>
      </w:r>
      <w:r w:rsidR="00441D54">
        <w:rPr>
          <w:rFonts w:ascii="Arial" w:hAnsi="Arial" w:cs="Arial"/>
          <w:sz w:val="24"/>
          <w:szCs w:val="24"/>
        </w:rPr>
        <w:t>, a saber</w:t>
      </w:r>
      <w:r w:rsidR="00816DA3">
        <w:rPr>
          <w:rFonts w:ascii="Arial" w:hAnsi="Arial" w:cs="Arial"/>
          <w:sz w:val="24"/>
          <w:szCs w:val="24"/>
        </w:rPr>
        <w:t xml:space="preserve">: </w:t>
      </w:r>
    </w:p>
    <w:p w:rsidR="00816DA3" w:rsidRPr="00816DA3" w:rsidRDefault="00816DA3" w:rsidP="004113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16DA3">
        <w:rPr>
          <w:rFonts w:ascii="Arial" w:hAnsi="Arial" w:cs="Arial"/>
          <w:sz w:val="24"/>
          <w:szCs w:val="24"/>
        </w:rPr>
        <w:t>Cheques diferidos, cruzados y con la cláusula de “no a la orden”</w:t>
      </w:r>
      <w:r w:rsidR="0094648E">
        <w:rPr>
          <w:rFonts w:ascii="Arial" w:hAnsi="Arial" w:cs="Arial"/>
          <w:sz w:val="24"/>
          <w:szCs w:val="24"/>
        </w:rPr>
        <w:t>;</w:t>
      </w:r>
    </w:p>
    <w:p w:rsidR="00816DA3" w:rsidRPr="00816DA3" w:rsidRDefault="00816DA3" w:rsidP="004113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16DA3">
        <w:rPr>
          <w:rFonts w:ascii="Arial" w:hAnsi="Arial" w:cs="Arial"/>
          <w:sz w:val="24"/>
          <w:szCs w:val="24"/>
        </w:rPr>
        <w:t>Medios de pago electrónico</w:t>
      </w:r>
      <w:r w:rsidR="0094648E">
        <w:rPr>
          <w:rFonts w:ascii="Arial" w:hAnsi="Arial" w:cs="Arial"/>
          <w:sz w:val="24"/>
          <w:szCs w:val="24"/>
        </w:rPr>
        <w:t>;</w:t>
      </w:r>
    </w:p>
    <w:p w:rsidR="00757A72" w:rsidRDefault="00816DA3" w:rsidP="0041137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16DA3">
        <w:rPr>
          <w:rFonts w:ascii="Arial" w:hAnsi="Arial" w:cs="Arial"/>
          <w:sz w:val="24"/>
          <w:szCs w:val="24"/>
        </w:rPr>
        <w:t>Cheques comunes, cruzados y con la cláusula de “no a la orden”, cheques diferidos cruzados y letras de cambio cruzadas (ha</w:t>
      </w:r>
      <w:r>
        <w:rPr>
          <w:rFonts w:ascii="Arial" w:hAnsi="Arial" w:cs="Arial"/>
          <w:sz w:val="24"/>
          <w:szCs w:val="24"/>
        </w:rPr>
        <w:t>sta el 31 de diciembre de 2018)</w:t>
      </w:r>
      <w:r w:rsidR="005B3D38">
        <w:rPr>
          <w:rFonts w:ascii="Arial" w:hAnsi="Arial" w:cs="Arial"/>
          <w:sz w:val="24"/>
          <w:szCs w:val="24"/>
        </w:rPr>
        <w:t>;</w:t>
      </w:r>
    </w:p>
    <w:p w:rsidR="00757A72" w:rsidRDefault="00B82898" w:rsidP="00757A7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16DA3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que en f</w:t>
      </w:r>
      <w:r w:rsidR="007D4845">
        <w:rPr>
          <w:rFonts w:ascii="Arial" w:hAnsi="Arial" w:cs="Arial"/>
          <w:sz w:val="24"/>
          <w:szCs w:val="24"/>
        </w:rPr>
        <w:t>unción de ello y de acuerdo con la consulta efectuada por el Contador Delegado, los pagos que detalla se encuentran alcanzados</w:t>
      </w:r>
      <w:r w:rsidR="00757A72">
        <w:rPr>
          <w:rFonts w:ascii="Arial" w:hAnsi="Arial" w:cs="Arial"/>
          <w:sz w:val="24"/>
          <w:szCs w:val="24"/>
        </w:rPr>
        <w:t xml:space="preserve"> por la L</w:t>
      </w:r>
      <w:r w:rsidR="007D4845">
        <w:rPr>
          <w:rFonts w:ascii="Arial" w:hAnsi="Arial" w:cs="Arial"/>
          <w:sz w:val="24"/>
          <w:szCs w:val="24"/>
        </w:rPr>
        <w:t>ey 19210 de 29/4/2014 y su Decreto Reglamentario;</w:t>
      </w:r>
    </w:p>
    <w:p w:rsidR="00C46478" w:rsidRPr="00FE5CEB" w:rsidRDefault="00441D54" w:rsidP="00757A7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en</w:t>
      </w:r>
      <w:r w:rsidR="007D4845">
        <w:rPr>
          <w:rFonts w:ascii="Arial" w:hAnsi="Arial" w:cs="Arial"/>
          <w:sz w:val="24"/>
          <w:szCs w:val="24"/>
        </w:rPr>
        <w:t xml:space="preserve"> cuanto al medio de pago que señala el Contador </w:t>
      </w:r>
      <w:r>
        <w:rPr>
          <w:rFonts w:ascii="Arial" w:hAnsi="Arial" w:cs="Arial"/>
          <w:sz w:val="24"/>
          <w:szCs w:val="24"/>
        </w:rPr>
        <w:t>(</w:t>
      </w:r>
      <w:r w:rsidR="007D4845">
        <w:rPr>
          <w:rFonts w:ascii="Arial" w:hAnsi="Arial" w:cs="Arial"/>
          <w:sz w:val="24"/>
          <w:szCs w:val="24"/>
        </w:rPr>
        <w:t xml:space="preserve">cheque común </w:t>
      </w:r>
      <w:r w:rsidR="00B85265">
        <w:rPr>
          <w:rFonts w:ascii="Arial" w:hAnsi="Arial" w:cs="Arial"/>
          <w:sz w:val="24"/>
          <w:szCs w:val="24"/>
        </w:rPr>
        <w:t>sin que sea cruzado y “no a la orden”</w:t>
      </w:r>
      <w:r>
        <w:rPr>
          <w:rFonts w:ascii="Arial" w:hAnsi="Arial" w:cs="Arial"/>
          <w:sz w:val="24"/>
          <w:szCs w:val="24"/>
        </w:rPr>
        <w:t>)</w:t>
      </w:r>
      <w:r w:rsidR="00B85265">
        <w:rPr>
          <w:rFonts w:ascii="Arial" w:hAnsi="Arial" w:cs="Arial"/>
          <w:sz w:val="24"/>
          <w:szCs w:val="24"/>
        </w:rPr>
        <w:t>, s</w:t>
      </w:r>
      <w:r w:rsidR="00757A72">
        <w:rPr>
          <w:rFonts w:ascii="Arial" w:hAnsi="Arial" w:cs="Arial"/>
          <w:sz w:val="24"/>
          <w:szCs w:val="24"/>
        </w:rPr>
        <w:t>ó</w:t>
      </w:r>
      <w:r w:rsidR="00B85265">
        <w:rPr>
          <w:rFonts w:ascii="Arial" w:hAnsi="Arial" w:cs="Arial"/>
          <w:sz w:val="24"/>
          <w:szCs w:val="24"/>
        </w:rPr>
        <w:t xml:space="preserve">lo </w:t>
      </w:r>
      <w:r w:rsidR="007D4845">
        <w:rPr>
          <w:rFonts w:ascii="Arial" w:hAnsi="Arial" w:cs="Arial"/>
          <w:sz w:val="24"/>
          <w:szCs w:val="24"/>
        </w:rPr>
        <w:t>puede ser utilizado</w:t>
      </w:r>
      <w:r w:rsidR="00B85265">
        <w:rPr>
          <w:rFonts w:ascii="Arial" w:hAnsi="Arial" w:cs="Arial"/>
          <w:sz w:val="24"/>
          <w:szCs w:val="24"/>
        </w:rPr>
        <w:t xml:space="preserve"> en el supuesto que plantea, para operaciones comprendidas entre 40.000 UI y 160.000 UI. En las operaciones iguales y superiores a 160.000 UI</w:t>
      </w:r>
      <w:r>
        <w:rPr>
          <w:rFonts w:ascii="Arial" w:hAnsi="Arial" w:cs="Arial"/>
          <w:sz w:val="24"/>
          <w:szCs w:val="24"/>
        </w:rPr>
        <w:t>,</w:t>
      </w:r>
      <w:r w:rsidR="00B85265">
        <w:rPr>
          <w:rFonts w:ascii="Arial" w:hAnsi="Arial" w:cs="Arial"/>
          <w:sz w:val="24"/>
          <w:szCs w:val="24"/>
        </w:rPr>
        <w:t xml:space="preserve"> el cheque común </w:t>
      </w:r>
      <w:r w:rsidR="00585892">
        <w:rPr>
          <w:rFonts w:ascii="Arial" w:hAnsi="Arial" w:cs="Arial"/>
          <w:sz w:val="24"/>
          <w:szCs w:val="24"/>
        </w:rPr>
        <w:t>solo puede ser cruzado y no a la orden;</w:t>
      </w:r>
      <w:r w:rsidR="00C1145C">
        <w:rPr>
          <w:rFonts w:ascii="Arial" w:hAnsi="Arial" w:cs="Arial"/>
          <w:sz w:val="24"/>
          <w:szCs w:val="24"/>
        </w:rPr>
        <w:t xml:space="preserve"> </w:t>
      </w:r>
      <w:r w:rsidR="005B3D38">
        <w:rPr>
          <w:rFonts w:ascii="Arial" w:hAnsi="Arial" w:cs="Arial"/>
          <w:sz w:val="24"/>
          <w:szCs w:val="24"/>
        </w:rPr>
        <w:tab/>
      </w:r>
      <w:r w:rsidR="005B3D38">
        <w:rPr>
          <w:rFonts w:ascii="Arial" w:hAnsi="Arial" w:cs="Arial"/>
          <w:sz w:val="24"/>
          <w:szCs w:val="24"/>
        </w:rPr>
        <w:tab/>
        <w:t xml:space="preserve">        </w:t>
      </w:r>
    </w:p>
    <w:p w:rsidR="00C46478" w:rsidRPr="00441D54" w:rsidRDefault="00C46478" w:rsidP="00757A7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41D54">
        <w:rPr>
          <w:rFonts w:ascii="Arial" w:hAnsi="Arial" w:cs="Arial"/>
          <w:b/>
          <w:bCs/>
          <w:sz w:val="24"/>
          <w:szCs w:val="24"/>
        </w:rPr>
        <w:t>ATENTO</w:t>
      </w:r>
      <w:r w:rsidR="00441D54">
        <w:rPr>
          <w:rFonts w:ascii="Arial" w:hAnsi="Arial" w:cs="Arial"/>
          <w:b/>
          <w:bCs/>
          <w:sz w:val="24"/>
          <w:szCs w:val="24"/>
        </w:rPr>
        <w:t>:</w:t>
      </w:r>
      <w:r w:rsidRPr="00441D54">
        <w:rPr>
          <w:rFonts w:ascii="Arial" w:hAnsi="Arial" w:cs="Arial"/>
          <w:sz w:val="24"/>
          <w:szCs w:val="24"/>
        </w:rPr>
        <w:t xml:space="preserve"> a lo precedentemente expuesto;  </w:t>
      </w:r>
    </w:p>
    <w:p w:rsidR="00C46478" w:rsidRDefault="00C46478" w:rsidP="0041137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</w:t>
      </w:r>
      <w:r w:rsidR="00757A72">
        <w:rPr>
          <w:rFonts w:ascii="Arial" w:hAnsi="Arial" w:cs="Arial"/>
          <w:b/>
          <w:bCs/>
        </w:rPr>
        <w:t>IBUNAL ACUERDA</w:t>
      </w:r>
    </w:p>
    <w:p w:rsidR="00C46478" w:rsidRDefault="00C46478" w:rsidP="00757A72">
      <w:pPr>
        <w:pStyle w:val="Textoindependiente2"/>
        <w:numPr>
          <w:ilvl w:val="0"/>
          <w:numId w:val="1"/>
        </w:numPr>
        <w:tabs>
          <w:tab w:val="clear" w:pos="786"/>
          <w:tab w:val="num" w:pos="284"/>
        </w:tabs>
        <w:spacing w:line="360" w:lineRule="auto"/>
        <w:ind w:left="284" w:hanging="284"/>
        <w:rPr>
          <w:b w:val="0"/>
          <w:bCs w:val="0"/>
        </w:rPr>
      </w:pPr>
      <w:r>
        <w:rPr>
          <w:b w:val="0"/>
          <w:bCs w:val="0"/>
        </w:rPr>
        <w:t xml:space="preserve">Evacuar la consulta en los términos de los “Considerandos” de la presente resolución; y </w:t>
      </w:r>
    </w:p>
    <w:p w:rsidR="00C46478" w:rsidRPr="00757A72" w:rsidRDefault="00757A72" w:rsidP="00757A72">
      <w:pPr>
        <w:pStyle w:val="Prrafodelista"/>
        <w:numPr>
          <w:ilvl w:val="0"/>
          <w:numId w:val="1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al Contador Delegado.</w:t>
      </w:r>
    </w:p>
    <w:p w:rsidR="00757A72" w:rsidRDefault="00757A72" w:rsidP="00757A72">
      <w:pPr>
        <w:tabs>
          <w:tab w:val="num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57A72" w:rsidRDefault="00757A72" w:rsidP="00757A72">
      <w:pPr>
        <w:tabs>
          <w:tab w:val="num" w:pos="284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57A72" w:rsidRPr="00757A72" w:rsidRDefault="00757A72" w:rsidP="00757A72">
      <w:pPr>
        <w:tabs>
          <w:tab w:val="num" w:pos="284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46478" w:rsidRDefault="00757A72" w:rsidP="00757A72">
      <w:pPr>
        <w:tabs>
          <w:tab w:val="num" w:pos="284"/>
        </w:tabs>
        <w:spacing w:after="0" w:line="360" w:lineRule="auto"/>
        <w:ind w:hanging="426"/>
        <w:jc w:val="both"/>
        <w:rPr>
          <w:rFonts w:ascii="Arial" w:hAnsi="Arial" w:cs="Arial"/>
          <w:sz w:val="20"/>
          <w:szCs w:val="20"/>
        </w:rPr>
      </w:pPr>
      <w:r w:rsidRPr="00757A72">
        <w:rPr>
          <w:rFonts w:ascii="Arial" w:hAnsi="Arial" w:cs="Arial"/>
          <w:bCs/>
          <w:sz w:val="24"/>
          <w:szCs w:val="24"/>
        </w:rPr>
        <w:t>dc</w:t>
      </w:r>
      <w:r w:rsidR="00C46478" w:rsidRPr="00C46478">
        <w:rPr>
          <w:rFonts w:ascii="Arial" w:hAnsi="Arial" w:cs="Arial"/>
          <w:sz w:val="20"/>
          <w:szCs w:val="20"/>
        </w:rPr>
        <w:t xml:space="preserve"> </w:t>
      </w:r>
    </w:p>
    <w:sectPr w:rsidR="00C46478" w:rsidSect="001A5EBF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610" w:rsidRDefault="004A2610" w:rsidP="00D6024A">
      <w:pPr>
        <w:spacing w:after="0" w:line="240" w:lineRule="auto"/>
      </w:pPr>
      <w:r>
        <w:separator/>
      </w:r>
    </w:p>
  </w:endnote>
  <w:endnote w:type="continuationSeparator" w:id="0">
    <w:p w:rsidR="004A2610" w:rsidRDefault="004A2610" w:rsidP="00D6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511251"/>
      <w:docPartObj>
        <w:docPartGallery w:val="Page Numbers (Bottom of Page)"/>
        <w:docPartUnique/>
      </w:docPartObj>
    </w:sdtPr>
    <w:sdtContent>
      <w:p w:rsidR="00087443" w:rsidRDefault="0008744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EBF">
          <w:rPr>
            <w:noProof/>
          </w:rPr>
          <w:t>1</w:t>
        </w:r>
        <w:r>
          <w:fldChar w:fldCharType="end"/>
        </w:r>
      </w:p>
    </w:sdtContent>
  </w:sdt>
  <w:p w:rsidR="00087443" w:rsidRDefault="000874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610" w:rsidRDefault="004A2610" w:rsidP="00D6024A">
      <w:pPr>
        <w:spacing w:after="0" w:line="240" w:lineRule="auto"/>
      </w:pPr>
      <w:r>
        <w:separator/>
      </w:r>
    </w:p>
  </w:footnote>
  <w:footnote w:type="continuationSeparator" w:id="0">
    <w:p w:rsidR="004A2610" w:rsidRDefault="004A2610" w:rsidP="00D6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327D6"/>
    <w:multiLevelType w:val="hybridMultilevel"/>
    <w:tmpl w:val="42CAA27E"/>
    <w:lvl w:ilvl="0" w:tplc="5B5AF41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30"/>
    <w:rsid w:val="00072108"/>
    <w:rsid w:val="00087443"/>
    <w:rsid w:val="001A5EBF"/>
    <w:rsid w:val="00210A40"/>
    <w:rsid w:val="002A5DAE"/>
    <w:rsid w:val="002A6C2D"/>
    <w:rsid w:val="002D00D4"/>
    <w:rsid w:val="00366350"/>
    <w:rsid w:val="00381FEE"/>
    <w:rsid w:val="003D4D0C"/>
    <w:rsid w:val="003F7118"/>
    <w:rsid w:val="00411374"/>
    <w:rsid w:val="00441D54"/>
    <w:rsid w:val="004A2610"/>
    <w:rsid w:val="005445CE"/>
    <w:rsid w:val="00554C48"/>
    <w:rsid w:val="0055568D"/>
    <w:rsid w:val="00570911"/>
    <w:rsid w:val="00576DA5"/>
    <w:rsid w:val="00581BC9"/>
    <w:rsid w:val="00585892"/>
    <w:rsid w:val="005978D6"/>
    <w:rsid w:val="005A365C"/>
    <w:rsid w:val="005B3D38"/>
    <w:rsid w:val="005D388B"/>
    <w:rsid w:val="005F5FED"/>
    <w:rsid w:val="00626CBA"/>
    <w:rsid w:val="006C1A1A"/>
    <w:rsid w:val="006C2688"/>
    <w:rsid w:val="007332F0"/>
    <w:rsid w:val="00757A72"/>
    <w:rsid w:val="007D4845"/>
    <w:rsid w:val="007E5330"/>
    <w:rsid w:val="00816DA3"/>
    <w:rsid w:val="008233A5"/>
    <w:rsid w:val="008D56C3"/>
    <w:rsid w:val="008D625D"/>
    <w:rsid w:val="0094648E"/>
    <w:rsid w:val="009E45B8"/>
    <w:rsid w:val="00AC6B88"/>
    <w:rsid w:val="00B05AE6"/>
    <w:rsid w:val="00B1615B"/>
    <w:rsid w:val="00B555B8"/>
    <w:rsid w:val="00B76F00"/>
    <w:rsid w:val="00B82898"/>
    <w:rsid w:val="00B85265"/>
    <w:rsid w:val="00C0711E"/>
    <w:rsid w:val="00C1145C"/>
    <w:rsid w:val="00C137CD"/>
    <w:rsid w:val="00C46478"/>
    <w:rsid w:val="00CD670B"/>
    <w:rsid w:val="00CE6E4C"/>
    <w:rsid w:val="00D11A96"/>
    <w:rsid w:val="00D23C32"/>
    <w:rsid w:val="00D6024A"/>
    <w:rsid w:val="00E87CB7"/>
    <w:rsid w:val="00E9702C"/>
    <w:rsid w:val="00F02415"/>
    <w:rsid w:val="00F07C65"/>
    <w:rsid w:val="00F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Textoindependiente2">
    <w:name w:val="Body Text 2"/>
    <w:basedOn w:val="Normal"/>
    <w:link w:val="Textoindependiente2Car"/>
    <w:rsid w:val="00C46478"/>
    <w:pPr>
      <w:spacing w:after="0" w:line="480" w:lineRule="auto"/>
      <w:jc w:val="both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4647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0241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57A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24A"/>
  </w:style>
  <w:style w:type="paragraph" w:styleId="Piedepgina">
    <w:name w:val="footer"/>
    <w:basedOn w:val="Normal"/>
    <w:link w:val="PiedepginaCar"/>
    <w:uiPriority w:val="99"/>
    <w:unhideWhenUsed/>
    <w:rsid w:val="00D60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24A"/>
  </w:style>
  <w:style w:type="paragraph" w:styleId="Textoindependiente2">
    <w:name w:val="Body Text 2"/>
    <w:basedOn w:val="Normal"/>
    <w:link w:val="Textoindependiente2Car"/>
    <w:rsid w:val="00C46478"/>
    <w:pPr>
      <w:spacing w:after="0" w:line="480" w:lineRule="auto"/>
      <w:jc w:val="both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4647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0241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57A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CED6-2510-4542-AE49-E1231125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2018-07-02T18:22:00Z</cp:lastPrinted>
  <dcterms:created xsi:type="dcterms:W3CDTF">2018-07-02T18:26:00Z</dcterms:created>
  <dcterms:modified xsi:type="dcterms:W3CDTF">2018-07-02T18:26:00Z</dcterms:modified>
</cp:coreProperties>
</file>