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67" w:rsidRPr="006A7767" w:rsidRDefault="006A7767" w:rsidP="006A7767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6A7767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2161</w:t>
      </w:r>
      <w:r w:rsidRPr="006A7767">
        <w:rPr>
          <w:rFonts w:cs="Arial"/>
          <w:b/>
          <w:sz w:val="28"/>
          <w:szCs w:val="28"/>
          <w:lang w:val="es-ES_tradnl"/>
        </w:rPr>
        <w:t>/18</w:t>
      </w:r>
    </w:p>
    <w:p w:rsidR="006A7767" w:rsidRPr="006A7767" w:rsidRDefault="006A7767" w:rsidP="006A7767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6A7767" w:rsidRPr="006A7767" w:rsidRDefault="006A7767" w:rsidP="006A776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6A7767">
        <w:rPr>
          <w:rFonts w:cs="Arial"/>
          <w:b/>
          <w:lang w:val="es-ES_tradnl"/>
        </w:rPr>
        <w:t>RESOLUCION ADOPTADA POR EL</w:t>
      </w:r>
    </w:p>
    <w:p w:rsidR="006A7767" w:rsidRPr="006A7767" w:rsidRDefault="006A7767" w:rsidP="006A776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A7767" w:rsidRPr="006A7767" w:rsidRDefault="006A7767" w:rsidP="006A776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6A7767">
        <w:rPr>
          <w:rFonts w:cs="Arial"/>
          <w:b/>
          <w:lang w:val="es-ES_tradnl"/>
        </w:rPr>
        <w:t>TRIBUNAL DE CUENTAS</w:t>
      </w:r>
    </w:p>
    <w:p w:rsidR="006A7767" w:rsidRPr="006A7767" w:rsidRDefault="006A7767" w:rsidP="006A776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A7767" w:rsidRPr="006A7767" w:rsidRDefault="006A7767" w:rsidP="006A776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6A7767">
        <w:rPr>
          <w:rFonts w:cs="Arial"/>
          <w:b/>
          <w:lang w:val="es-ES_tradnl"/>
        </w:rPr>
        <w:t xml:space="preserve">EN SESION DE FECHA 27 DE JUNIO </w:t>
      </w:r>
      <w:r w:rsidRPr="006A7767">
        <w:rPr>
          <w:rFonts w:ascii="Helvetica" w:hAnsi="Helvetica"/>
          <w:b/>
          <w:lang w:val="es-ES_tradnl"/>
        </w:rPr>
        <w:t>DE 2018</w:t>
      </w:r>
    </w:p>
    <w:p w:rsidR="006A7767" w:rsidRPr="006A7767" w:rsidRDefault="006A7767" w:rsidP="006A776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6A7767" w:rsidRPr="006A7767" w:rsidRDefault="006A7767" w:rsidP="006A7767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6A7767">
        <w:rPr>
          <w:rFonts w:cs="Arial"/>
          <w:b/>
          <w:lang w:val="en-US"/>
        </w:rPr>
        <w:t>(E. E. Nº</w:t>
      </w:r>
      <w:r w:rsidRPr="006A7767">
        <w:rPr>
          <w:rFonts w:cs="Arial"/>
          <w:b/>
        </w:rPr>
        <w:t>201</w:t>
      </w:r>
      <w:r>
        <w:rPr>
          <w:rFonts w:cs="Arial"/>
          <w:b/>
        </w:rPr>
        <w:t>8</w:t>
      </w:r>
      <w:r w:rsidRPr="006A7767">
        <w:rPr>
          <w:rFonts w:cs="Arial"/>
          <w:b/>
        </w:rPr>
        <w:t>-17-1-000</w:t>
      </w:r>
      <w:r>
        <w:rPr>
          <w:rFonts w:cs="Arial"/>
          <w:b/>
        </w:rPr>
        <w:t>3502</w:t>
      </w:r>
      <w:r w:rsidRPr="006A7767">
        <w:rPr>
          <w:rFonts w:cs="Arial"/>
          <w:b/>
          <w:lang w:val="en-US"/>
        </w:rPr>
        <w:t xml:space="preserve">, </w:t>
      </w:r>
      <w:proofErr w:type="gramStart"/>
      <w:r w:rsidRPr="006A7767">
        <w:rPr>
          <w:rFonts w:cs="Arial"/>
          <w:b/>
          <w:lang w:val="en-US"/>
        </w:rPr>
        <w:t>Ent</w:t>
      </w:r>
      <w:proofErr w:type="gramEnd"/>
      <w:r w:rsidRPr="006A7767">
        <w:rPr>
          <w:rFonts w:cs="Arial"/>
          <w:b/>
          <w:lang w:val="en-US"/>
        </w:rPr>
        <w:t>. N°</w:t>
      </w:r>
      <w:r w:rsidRPr="006A7767">
        <w:rPr>
          <w:rFonts w:cs="Arial"/>
          <w:b/>
        </w:rPr>
        <w:t>2</w:t>
      </w:r>
      <w:r>
        <w:rPr>
          <w:rFonts w:cs="Arial"/>
          <w:b/>
        </w:rPr>
        <w:t>677</w:t>
      </w:r>
      <w:r w:rsidRPr="006A7767">
        <w:rPr>
          <w:rFonts w:cs="Arial"/>
          <w:b/>
        </w:rPr>
        <w:t>/18</w:t>
      </w:r>
      <w:r w:rsidRPr="006A7767">
        <w:rPr>
          <w:rFonts w:cs="Arial"/>
          <w:b/>
          <w:lang w:val="en-US"/>
        </w:rPr>
        <w:t>)</w:t>
      </w:r>
    </w:p>
    <w:p w:rsidR="006A7767" w:rsidRDefault="006A7767" w:rsidP="00964234">
      <w:pPr>
        <w:spacing w:line="360" w:lineRule="auto"/>
        <w:jc w:val="both"/>
        <w:rPr>
          <w:b/>
          <w:bCs/>
        </w:rPr>
      </w:pPr>
    </w:p>
    <w:p w:rsidR="00964234" w:rsidRDefault="00964234" w:rsidP="006A7767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 xml:space="preserve">estas actuaciones remitidas por el </w:t>
      </w:r>
      <w:r>
        <w:rPr>
          <w:rFonts w:cs="Arial"/>
          <w:lang w:val="es-MX"/>
        </w:rPr>
        <w:t>Ministerio de Vivienda, Ordenamiento Territorial y Medio Ambiente (M.V.O.T.M.A.)</w:t>
      </w:r>
      <w:r>
        <w:t>, relacionadas con el convenio  a suscribir  con la Administración Nacional de Usinas y Transmisiones Eléctricas (U.T.E.);</w:t>
      </w:r>
    </w:p>
    <w:p w:rsidR="009740F6" w:rsidRDefault="00964234" w:rsidP="006A7767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b/>
          <w:bCs/>
        </w:rPr>
        <w:t xml:space="preserve">RESULTANDO: </w:t>
      </w:r>
      <w:r w:rsidR="009740F6" w:rsidRPr="004946CB">
        <w:rPr>
          <w:rFonts w:cs="Arial"/>
          <w:b/>
          <w:lang w:val="es-MX"/>
        </w:rPr>
        <w:t>1)</w:t>
      </w:r>
      <w:r w:rsidR="009740F6">
        <w:rPr>
          <w:rFonts w:cs="Arial"/>
          <w:lang w:val="es-MX"/>
        </w:rPr>
        <w:t xml:space="preserve"> que con fecha 14/2/14, se suscribió entre la República Oriental del Uruguay y el Banco Interamericano de Desarrollo, el contrato de préstamo BID 3097/OC-UR, por el cual se otorga financiamiento para la ejecución del Programa de Mejoramiento de Barrios II,  ejecutado por el M</w:t>
      </w:r>
      <w:r w:rsidR="00BE26CC">
        <w:rPr>
          <w:rFonts w:cs="Arial"/>
          <w:lang w:val="es-MX"/>
        </w:rPr>
        <w:t>.</w:t>
      </w:r>
      <w:r w:rsidR="009740F6">
        <w:rPr>
          <w:rFonts w:cs="Arial"/>
          <w:lang w:val="es-MX"/>
        </w:rPr>
        <w:t>V</w:t>
      </w:r>
      <w:r w:rsidR="00BE26CC">
        <w:rPr>
          <w:rFonts w:cs="Arial"/>
          <w:lang w:val="es-MX"/>
        </w:rPr>
        <w:t>.</w:t>
      </w:r>
      <w:r w:rsidR="009740F6">
        <w:rPr>
          <w:rFonts w:cs="Arial"/>
          <w:lang w:val="es-MX"/>
        </w:rPr>
        <w:t>O</w:t>
      </w:r>
      <w:r w:rsidR="00BE26CC">
        <w:rPr>
          <w:rFonts w:cs="Arial"/>
          <w:lang w:val="es-MX"/>
        </w:rPr>
        <w:t>.</w:t>
      </w:r>
      <w:r w:rsidR="009740F6">
        <w:rPr>
          <w:rFonts w:cs="Arial"/>
          <w:lang w:val="es-MX"/>
        </w:rPr>
        <w:t>T</w:t>
      </w:r>
      <w:r w:rsidR="00BE26CC">
        <w:rPr>
          <w:rFonts w:cs="Arial"/>
          <w:lang w:val="es-MX"/>
        </w:rPr>
        <w:t>.</w:t>
      </w:r>
      <w:r w:rsidR="009740F6">
        <w:rPr>
          <w:rFonts w:cs="Arial"/>
          <w:lang w:val="es-MX"/>
        </w:rPr>
        <w:t>M</w:t>
      </w:r>
      <w:r w:rsidR="00BE26CC">
        <w:rPr>
          <w:rFonts w:cs="Arial"/>
          <w:lang w:val="es-MX"/>
        </w:rPr>
        <w:t>.</w:t>
      </w:r>
      <w:r w:rsidR="009740F6">
        <w:rPr>
          <w:rFonts w:cs="Arial"/>
          <w:lang w:val="es-MX"/>
        </w:rPr>
        <w:t>A</w:t>
      </w:r>
      <w:r w:rsidR="00BE26CC">
        <w:rPr>
          <w:rFonts w:cs="Arial"/>
          <w:lang w:val="es-MX"/>
        </w:rPr>
        <w:t>.</w:t>
      </w:r>
      <w:r w:rsidR="009740F6">
        <w:rPr>
          <w:rFonts w:cs="Arial"/>
          <w:lang w:val="es-MX"/>
        </w:rPr>
        <w:t xml:space="preserve"> a través de la Unidad del Programa, con la participación como entidades sub-ejecutoras de las Intendencias Municipales;</w:t>
      </w:r>
    </w:p>
    <w:p w:rsidR="009740F6" w:rsidRDefault="009740F6" w:rsidP="006A7767">
      <w:pPr>
        <w:tabs>
          <w:tab w:val="left" w:pos="1800"/>
        </w:tabs>
        <w:spacing w:line="360" w:lineRule="auto"/>
        <w:ind w:firstLine="2835"/>
        <w:jc w:val="both"/>
        <w:rPr>
          <w:bCs/>
        </w:rPr>
      </w:pPr>
      <w:r>
        <w:rPr>
          <w:b/>
          <w:bCs/>
        </w:rPr>
        <w:t xml:space="preserve">2) </w:t>
      </w:r>
      <w:r>
        <w:rPr>
          <w:bCs/>
        </w:rPr>
        <w:t>que por Resolución de este Tribunal de fecha 21/4/14, se acordó tomar conocimiento del citado Contrato de Préstamo, indicando  en dicha oportunidad qu</w:t>
      </w:r>
      <w:r w:rsidR="0099575B">
        <w:rPr>
          <w:bCs/>
        </w:rPr>
        <w:t>e los convenios que se suscribieran en el</w:t>
      </w:r>
      <w:r>
        <w:rPr>
          <w:bCs/>
        </w:rPr>
        <w:t xml:space="preserve"> marco</w:t>
      </w:r>
      <w:r w:rsidR="0099575B">
        <w:rPr>
          <w:bCs/>
        </w:rPr>
        <w:t xml:space="preserve"> del mismo</w:t>
      </w:r>
      <w:r>
        <w:rPr>
          <w:bCs/>
        </w:rPr>
        <w:t>, deb</w:t>
      </w:r>
      <w:r w:rsidR="00BE26CC">
        <w:rPr>
          <w:bCs/>
        </w:rPr>
        <w:t>ía</w:t>
      </w:r>
      <w:r>
        <w:rPr>
          <w:bCs/>
        </w:rPr>
        <w:t xml:space="preserve">n ser remitidos a </w:t>
      </w:r>
      <w:r w:rsidR="0099575B">
        <w:rPr>
          <w:bCs/>
        </w:rPr>
        <w:t>la intervención de</w:t>
      </w:r>
      <w:r>
        <w:rPr>
          <w:bCs/>
        </w:rPr>
        <w:t xml:space="preserve"> este Tribunal;</w:t>
      </w:r>
    </w:p>
    <w:p w:rsidR="006A7767" w:rsidRDefault="009740F6" w:rsidP="006A7767">
      <w:pPr>
        <w:spacing w:line="360" w:lineRule="auto"/>
        <w:ind w:firstLine="2835"/>
        <w:jc w:val="both"/>
      </w:pPr>
      <w:r>
        <w:rPr>
          <w:b/>
          <w:bCs/>
        </w:rPr>
        <w:t>3</w:t>
      </w:r>
      <w:r w:rsidR="00964234">
        <w:rPr>
          <w:b/>
          <w:bCs/>
        </w:rPr>
        <w:t xml:space="preserve">) </w:t>
      </w:r>
      <w:r w:rsidR="00964234">
        <w:t>que</w:t>
      </w:r>
      <w:r>
        <w:t xml:space="preserve"> en la oportunidad</w:t>
      </w:r>
      <w:r w:rsidR="0099575B">
        <w:t>,</w:t>
      </w:r>
      <w:r w:rsidR="00D52AC6">
        <w:t xml:space="preserve"> </w:t>
      </w:r>
      <w:r w:rsidR="00964234">
        <w:t xml:space="preserve"> se remite proyecto de convenio a suscribir entre el M.V.O.T.M.A. y </w:t>
      </w:r>
      <w:r w:rsidR="00D52AC6">
        <w:t>U.T.E.</w:t>
      </w:r>
      <w:r w:rsidR="00BE26CC">
        <w:t>,</w:t>
      </w:r>
      <w:r w:rsidR="0099575B">
        <w:t xml:space="preserve"> que tiene por objeto</w:t>
      </w:r>
      <w:r w:rsidR="00D52AC6">
        <w:t xml:space="preserve"> articular y coordinar las intervenciones que las partes llevan adelante, en apoyo a la </w:t>
      </w:r>
      <w:r w:rsidR="009765A9">
        <w:t>implementación</w:t>
      </w:r>
      <w:r w:rsidR="00D52AC6">
        <w:t xml:space="preserve"> y ejecución del Plan de </w:t>
      </w:r>
      <w:r w:rsidR="009765A9">
        <w:t>Regularización</w:t>
      </w:r>
      <w:r w:rsidR="00D52AC6">
        <w:t xml:space="preserve"> del Servicio Eléctrico,</w:t>
      </w:r>
      <w:r w:rsidR="00D52AC6" w:rsidRPr="00D52AC6">
        <w:t xml:space="preserve"> </w:t>
      </w:r>
      <w:r w:rsidR="0099575B">
        <w:t>desarrollado por U.T.E., para</w:t>
      </w:r>
      <w:r w:rsidR="00D52AC6">
        <w:t xml:space="preserve"> promover la integración social de la población en condiciones de vulnerabilidad socioeconómica, estimul</w:t>
      </w:r>
      <w:r w:rsidR="009765A9">
        <w:t>a</w:t>
      </w:r>
      <w:r w:rsidR="00D52AC6">
        <w:t>ndo la regularización de la c</w:t>
      </w:r>
      <w:r w:rsidR="0099575B">
        <w:t>onexión a la red eléctrica de dicha</w:t>
      </w:r>
      <w:r w:rsidR="00D52AC6">
        <w:t xml:space="preserve"> población</w:t>
      </w:r>
      <w:r w:rsidR="0099575B">
        <w:t xml:space="preserve"> (Cláusula segunda)</w:t>
      </w:r>
      <w:r w:rsidR="00D52AC6">
        <w:t>;</w:t>
      </w:r>
    </w:p>
    <w:p w:rsidR="006A7767" w:rsidRDefault="009740F6" w:rsidP="006A7767">
      <w:pPr>
        <w:spacing w:line="360" w:lineRule="auto"/>
        <w:ind w:firstLine="2835"/>
        <w:jc w:val="both"/>
      </w:pPr>
      <w:r>
        <w:rPr>
          <w:b/>
          <w:bCs/>
        </w:rPr>
        <w:t>4</w:t>
      </w:r>
      <w:r w:rsidR="00964234">
        <w:rPr>
          <w:b/>
          <w:bCs/>
        </w:rPr>
        <w:t xml:space="preserve">) </w:t>
      </w:r>
      <w:r w:rsidR="0099575B">
        <w:t xml:space="preserve">que sus </w:t>
      </w:r>
      <w:r w:rsidR="00D52AC6">
        <w:t xml:space="preserve">objetivos </w:t>
      </w:r>
      <w:r w:rsidR="009765A9">
        <w:t>específicos</w:t>
      </w:r>
      <w:r w:rsidR="0099575B">
        <w:t xml:space="preserve"> son</w:t>
      </w:r>
      <w:r w:rsidR="00D52AC6">
        <w:t>: a) coordinar acciones conju</w:t>
      </w:r>
      <w:r w:rsidR="009765A9">
        <w:t>n</w:t>
      </w:r>
      <w:r w:rsidR="00D52AC6">
        <w:t>tas en el m</w:t>
      </w:r>
      <w:r w:rsidR="009765A9">
        <w:t>a</w:t>
      </w:r>
      <w:r w:rsidR="00D52AC6">
        <w:t xml:space="preserve">rco del Plan de </w:t>
      </w:r>
      <w:r w:rsidR="009765A9">
        <w:t>R</w:t>
      </w:r>
      <w:r w:rsidR="00D52AC6">
        <w:t>egula</w:t>
      </w:r>
      <w:r w:rsidR="009765A9">
        <w:t>r</w:t>
      </w:r>
      <w:r w:rsidR="00D52AC6">
        <w:t>izaci</w:t>
      </w:r>
      <w:r w:rsidR="009765A9">
        <w:t>ón</w:t>
      </w:r>
      <w:r w:rsidR="00D52AC6">
        <w:t xml:space="preserve"> me</w:t>
      </w:r>
      <w:r w:rsidR="009765A9">
        <w:t>n</w:t>
      </w:r>
      <w:r w:rsidR="00D52AC6">
        <w:t>cion</w:t>
      </w:r>
      <w:r w:rsidR="009765A9">
        <w:t>a</w:t>
      </w:r>
      <w:r w:rsidR="00D52AC6">
        <w:t>do llevado adel</w:t>
      </w:r>
      <w:r w:rsidR="009765A9">
        <w:t>a</w:t>
      </w:r>
      <w:r w:rsidR="00D52AC6">
        <w:t>nte por U</w:t>
      </w:r>
      <w:r w:rsidR="00BE26CC">
        <w:t>.</w:t>
      </w:r>
      <w:r w:rsidR="00D52AC6">
        <w:t>T</w:t>
      </w:r>
      <w:r w:rsidR="00BE26CC">
        <w:t>.</w:t>
      </w:r>
      <w:r w:rsidR="009765A9">
        <w:t>E</w:t>
      </w:r>
      <w:r w:rsidR="00BE26CC">
        <w:t>.</w:t>
      </w:r>
      <w:r w:rsidR="00D52AC6">
        <w:t>, b)</w:t>
      </w:r>
      <w:r w:rsidR="009765A9">
        <w:t xml:space="preserve"> </w:t>
      </w:r>
      <w:r w:rsidR="00D52AC6">
        <w:t>intercambiar informa</w:t>
      </w:r>
      <w:r w:rsidR="009765A9">
        <w:t>ció</w:t>
      </w:r>
      <w:r w:rsidR="00D52AC6">
        <w:t>n entre ambos organismos re</w:t>
      </w:r>
      <w:r w:rsidR="009765A9">
        <w:t>f</w:t>
      </w:r>
      <w:r w:rsidR="00D52AC6">
        <w:t>er</w:t>
      </w:r>
      <w:r w:rsidR="009765A9">
        <w:t>e</w:t>
      </w:r>
      <w:r w:rsidR="00D52AC6">
        <w:t>nte a los asentami</w:t>
      </w:r>
      <w:r w:rsidR="009765A9">
        <w:t>e</w:t>
      </w:r>
      <w:r w:rsidR="00D52AC6">
        <w:t>ntos irregulares ubicados en todo el territorio nacional, en particular sobre los datos de la situ</w:t>
      </w:r>
      <w:r w:rsidR="009765A9">
        <w:t>ació</w:t>
      </w:r>
      <w:r w:rsidR="00D52AC6">
        <w:t>n jurídica de los terrenos en los cuales se en</w:t>
      </w:r>
      <w:r w:rsidR="009765A9">
        <w:t>cue</w:t>
      </w:r>
      <w:r w:rsidR="00D52AC6">
        <w:t>n</w:t>
      </w:r>
      <w:r w:rsidR="009765A9">
        <w:t>tran</w:t>
      </w:r>
      <w:r w:rsidR="00D52AC6">
        <w:t xml:space="preserve"> los asentami</w:t>
      </w:r>
      <w:r w:rsidR="009765A9">
        <w:t>en</w:t>
      </w:r>
      <w:r w:rsidR="00D52AC6">
        <w:t>tos, acciones de realojo planificadas o encaminadas por el programa de mejorami</w:t>
      </w:r>
      <w:r w:rsidR="009765A9">
        <w:t>e</w:t>
      </w:r>
      <w:r w:rsidR="00D52AC6">
        <w:t>nto de barrios y demás información al resp</w:t>
      </w:r>
      <w:r w:rsidR="009765A9">
        <w:t>e</w:t>
      </w:r>
      <w:r w:rsidR="00D52AC6">
        <w:t>cto, c)</w:t>
      </w:r>
      <w:r w:rsidR="009765A9">
        <w:t xml:space="preserve"> </w:t>
      </w:r>
      <w:r w:rsidR="00D52AC6">
        <w:t>planif</w:t>
      </w:r>
      <w:r w:rsidR="009765A9">
        <w:t>i</w:t>
      </w:r>
      <w:r w:rsidR="00D52AC6">
        <w:t>c</w:t>
      </w:r>
      <w:r w:rsidR="009765A9">
        <w:t>a</w:t>
      </w:r>
      <w:r w:rsidR="00D52AC6">
        <w:t>r, ej</w:t>
      </w:r>
      <w:r w:rsidR="009765A9">
        <w:t>e</w:t>
      </w:r>
      <w:r w:rsidR="00D52AC6">
        <w:t>cutar y evaluar</w:t>
      </w:r>
      <w:r w:rsidR="00A5631B">
        <w:t>,</w:t>
      </w:r>
      <w:r w:rsidR="00D52AC6">
        <w:t xml:space="preserve"> conjuntame</w:t>
      </w:r>
      <w:r w:rsidR="009765A9">
        <w:t>n</w:t>
      </w:r>
      <w:r w:rsidR="00D52AC6">
        <w:t>te</w:t>
      </w:r>
      <w:r w:rsidR="00A5631B">
        <w:t>,</w:t>
      </w:r>
      <w:r w:rsidR="00D52AC6">
        <w:t xml:space="preserve"> dif</w:t>
      </w:r>
      <w:r w:rsidR="009765A9">
        <w:t>e</w:t>
      </w:r>
      <w:r w:rsidR="00D52AC6">
        <w:t>rente</w:t>
      </w:r>
      <w:r w:rsidR="00A5631B">
        <w:t>s</w:t>
      </w:r>
      <w:r w:rsidR="00D52AC6">
        <w:t xml:space="preserve"> pro</w:t>
      </w:r>
      <w:r w:rsidR="009765A9">
        <w:t>c</w:t>
      </w:r>
      <w:r w:rsidR="00D52AC6">
        <w:t xml:space="preserve">esos de </w:t>
      </w:r>
      <w:r w:rsidR="00D52AC6">
        <w:lastRenderedPageBreak/>
        <w:t>intervención en territorio, de maner</w:t>
      </w:r>
      <w:r w:rsidR="00A5631B">
        <w:t>a</w:t>
      </w:r>
      <w:r w:rsidR="00D52AC6">
        <w:t xml:space="preserve"> de hacer m</w:t>
      </w:r>
      <w:r w:rsidR="00A5631B">
        <w:t>á</w:t>
      </w:r>
      <w:r w:rsidR="00D52AC6">
        <w:t>s eficie</w:t>
      </w:r>
      <w:r w:rsidR="00A5631B">
        <w:t>n</w:t>
      </w:r>
      <w:r w:rsidR="00D52AC6">
        <w:t>te</w:t>
      </w:r>
      <w:r w:rsidR="00A5631B">
        <w:t>s</w:t>
      </w:r>
      <w:r w:rsidR="00D52AC6">
        <w:t xml:space="preserve"> los recursos destinad</w:t>
      </w:r>
      <w:r w:rsidR="00A5631B">
        <w:t>o</w:t>
      </w:r>
      <w:r w:rsidR="00D52AC6">
        <w:t>s, d) estudiar, establecer y proyectar las área</w:t>
      </w:r>
      <w:r w:rsidR="00A5631B">
        <w:t>s</w:t>
      </w:r>
      <w:r w:rsidR="00D52AC6">
        <w:t xml:space="preserve"> de acción de cooperación, e) todo otr</w:t>
      </w:r>
      <w:r w:rsidR="00A5631B">
        <w:t>o</w:t>
      </w:r>
      <w:r w:rsidR="00D52AC6">
        <w:t xml:space="preserve"> </w:t>
      </w:r>
      <w:r w:rsidR="00A5631B">
        <w:t>co</w:t>
      </w:r>
      <w:r w:rsidR="00D52AC6">
        <w:t>metido que las partes de com</w:t>
      </w:r>
      <w:r w:rsidR="00A5631B">
        <w:t>ú</w:t>
      </w:r>
      <w:r w:rsidR="00D52AC6">
        <w:t>n acuerdo, aprueben a dichos efectos, siguiendo el procedimi</w:t>
      </w:r>
      <w:r w:rsidR="00A5631B">
        <w:t>e</w:t>
      </w:r>
      <w:r w:rsidR="00D52AC6">
        <w:t>nto resp</w:t>
      </w:r>
      <w:r w:rsidR="00A5631B">
        <w:t>e</w:t>
      </w:r>
      <w:r w:rsidR="00D52AC6">
        <w:t>ctivo y que encuadre dentro del objeto del presente convenio</w:t>
      </w:r>
      <w:r w:rsidR="0099575B">
        <w:t xml:space="preserve"> (Cláusula Tercera)</w:t>
      </w:r>
      <w:r w:rsidR="00D52AC6">
        <w:t>;</w:t>
      </w:r>
    </w:p>
    <w:p w:rsidR="006A7767" w:rsidRDefault="009740F6" w:rsidP="006A7767">
      <w:pPr>
        <w:spacing w:line="360" w:lineRule="auto"/>
        <w:ind w:firstLine="2835"/>
        <w:jc w:val="both"/>
      </w:pPr>
      <w:r>
        <w:rPr>
          <w:b/>
        </w:rPr>
        <w:t>5</w:t>
      </w:r>
      <w:r w:rsidR="00D52AC6" w:rsidRPr="00A5631B">
        <w:rPr>
          <w:b/>
        </w:rPr>
        <w:t>)</w:t>
      </w:r>
      <w:r w:rsidR="0099575B">
        <w:t xml:space="preserve"> que </w:t>
      </w:r>
      <w:r w:rsidR="00001F22">
        <w:t>U</w:t>
      </w:r>
      <w:r w:rsidR="00BE26CC">
        <w:t>.</w:t>
      </w:r>
      <w:r w:rsidR="00001F22">
        <w:t>T</w:t>
      </w:r>
      <w:r w:rsidR="00BE26CC">
        <w:t>.</w:t>
      </w:r>
      <w:r w:rsidR="00001F22">
        <w:t>E</w:t>
      </w:r>
      <w:r w:rsidR="00BE26CC">
        <w:t>.</w:t>
      </w:r>
      <w:r w:rsidR="0099575B">
        <w:t xml:space="preserve"> asume la obligación de</w:t>
      </w:r>
      <w:r w:rsidR="00001F22">
        <w:t xml:space="preserve">: a) elaborar los </w:t>
      </w:r>
      <w:r w:rsidR="00A5631B">
        <w:t>proyectos</w:t>
      </w:r>
      <w:r w:rsidR="00001F22">
        <w:t xml:space="preserve"> de obra necesarios para ejecutar los trabajos de regularización, traslado, rem</w:t>
      </w:r>
      <w:r w:rsidR="00A5631B">
        <w:t>oció</w:t>
      </w:r>
      <w:r w:rsidR="00001F22">
        <w:t xml:space="preserve">n y/o </w:t>
      </w:r>
      <w:r w:rsidR="00A5631B">
        <w:t>reposición</w:t>
      </w:r>
      <w:r w:rsidR="00001F22">
        <w:t xml:space="preserve"> de instalaciones eléctricas comprendidas en los barr</w:t>
      </w:r>
      <w:r w:rsidR="00A5631B">
        <w:t>i</w:t>
      </w:r>
      <w:r w:rsidR="00001F22">
        <w:t>os</w:t>
      </w:r>
      <w:r w:rsidR="00A5631B">
        <w:t xml:space="preserve"> intervenidos  por el P</w:t>
      </w:r>
      <w:r w:rsidR="00001F22">
        <w:t xml:space="preserve">rograma de </w:t>
      </w:r>
      <w:r w:rsidR="00A5631B">
        <w:t>M</w:t>
      </w:r>
      <w:r w:rsidR="00001F22">
        <w:t>ejorami</w:t>
      </w:r>
      <w:r w:rsidR="00A5631B">
        <w:t>e</w:t>
      </w:r>
      <w:r w:rsidR="00001F22">
        <w:t xml:space="preserve">nto de </w:t>
      </w:r>
      <w:r w:rsidR="00A5631B">
        <w:t>B</w:t>
      </w:r>
      <w:r w:rsidR="00001F22">
        <w:t>arrios del M</w:t>
      </w:r>
      <w:r w:rsidR="00BE26CC">
        <w:t>.</w:t>
      </w:r>
      <w:r w:rsidR="00001F22">
        <w:t>V</w:t>
      </w:r>
      <w:r w:rsidR="00BE26CC">
        <w:t>.</w:t>
      </w:r>
      <w:r w:rsidR="00001F22">
        <w:t>O</w:t>
      </w:r>
      <w:r w:rsidR="00BE26CC">
        <w:t>.</w:t>
      </w:r>
      <w:r w:rsidR="00001F22">
        <w:t>T</w:t>
      </w:r>
      <w:r w:rsidR="00BE26CC">
        <w:t>.</w:t>
      </w:r>
      <w:r w:rsidR="00001F22">
        <w:t>M</w:t>
      </w:r>
      <w:r w:rsidR="00BE26CC">
        <w:t>.</w:t>
      </w:r>
      <w:r w:rsidR="00001F22">
        <w:t>A</w:t>
      </w:r>
      <w:r w:rsidR="00BE26CC">
        <w:t>.</w:t>
      </w:r>
      <w:r w:rsidR="00001F22">
        <w:t>, en conjunto con las Int</w:t>
      </w:r>
      <w:r w:rsidR="00A5631B">
        <w:t>e</w:t>
      </w:r>
      <w:r w:rsidR="00001F22">
        <w:t>nde</w:t>
      </w:r>
      <w:r w:rsidR="00A5631B">
        <w:t>n</w:t>
      </w:r>
      <w:r w:rsidR="00001F22">
        <w:t xml:space="preserve">cias Departamentales, b) brindar </w:t>
      </w:r>
      <w:r w:rsidR="00A5631B">
        <w:t>asesoramiento</w:t>
      </w:r>
      <w:r w:rsidR="00001F22">
        <w:t xml:space="preserve"> técnico durante la </w:t>
      </w:r>
      <w:r w:rsidR="00A5631B">
        <w:t>ejecución</w:t>
      </w:r>
      <w:r w:rsidR="00001F22">
        <w:t xml:space="preserve"> de las obras, de modo que las mismas cumplan los </w:t>
      </w:r>
      <w:r w:rsidR="00A5631B">
        <w:t>requerimientos</w:t>
      </w:r>
      <w:r w:rsidR="00001F22">
        <w:t xml:space="preserve"> r</w:t>
      </w:r>
      <w:r w:rsidR="00A5631B">
        <w:t>e</w:t>
      </w:r>
      <w:r w:rsidR="00001F22">
        <w:t>gl</w:t>
      </w:r>
      <w:r w:rsidR="00A5631B">
        <w:t>am</w:t>
      </w:r>
      <w:r w:rsidR="00001F22">
        <w:t>entarios técn</w:t>
      </w:r>
      <w:r w:rsidR="00A5631B">
        <w:t>i</w:t>
      </w:r>
      <w:r w:rsidR="00001F22">
        <w:t xml:space="preserve">cos pertinentes, </w:t>
      </w:r>
      <w:r w:rsidR="006A7767">
        <w:t xml:space="preserve">         </w:t>
      </w:r>
      <w:r w:rsidR="00001F22">
        <w:t>c) U</w:t>
      </w:r>
      <w:r w:rsidR="00BE26CC">
        <w:t>.</w:t>
      </w:r>
      <w:r w:rsidR="00001F22">
        <w:t>T</w:t>
      </w:r>
      <w:r w:rsidR="00BE26CC">
        <w:t>.</w:t>
      </w:r>
      <w:r w:rsidR="00001F22">
        <w:t>E</w:t>
      </w:r>
      <w:r w:rsidR="00BE26CC">
        <w:t>.</w:t>
      </w:r>
      <w:r w:rsidR="00001F22">
        <w:t xml:space="preserve"> </w:t>
      </w:r>
      <w:r w:rsidR="00A5631B">
        <w:t>real</w:t>
      </w:r>
      <w:r w:rsidR="00BE26CC">
        <w:t>i</w:t>
      </w:r>
      <w:r w:rsidR="00A5631B">
        <w:t>zar</w:t>
      </w:r>
      <w:r w:rsidR="00BE26CC">
        <w:t>á</w:t>
      </w:r>
      <w:r w:rsidR="00001F22">
        <w:t xml:space="preserve"> </w:t>
      </w:r>
      <w:r w:rsidR="00A5631B">
        <w:t>a</w:t>
      </w:r>
      <w:r w:rsidR="00001F22">
        <w:t xml:space="preserve"> su costo las obras de instalacione</w:t>
      </w:r>
      <w:r w:rsidR="00A5631B">
        <w:t>s</w:t>
      </w:r>
      <w:r w:rsidR="00001F22">
        <w:t xml:space="preserve"> </w:t>
      </w:r>
      <w:r w:rsidR="00A5631B">
        <w:t>eléctricas</w:t>
      </w:r>
      <w:r w:rsidR="00001F22">
        <w:t xml:space="preserve"> de Media </w:t>
      </w:r>
      <w:r w:rsidR="00CF2742">
        <w:t>Tensión</w:t>
      </w:r>
      <w:r w:rsidR="00001F22">
        <w:t xml:space="preserve"> y Baja </w:t>
      </w:r>
      <w:r w:rsidR="00CF2742">
        <w:t>Tensión</w:t>
      </w:r>
      <w:r w:rsidR="00001F22">
        <w:t xml:space="preserve">, necesarias para la regularización de </w:t>
      </w:r>
      <w:r w:rsidR="00CF2742">
        <w:t>los b</w:t>
      </w:r>
      <w:r w:rsidR="00001F22">
        <w:t>arrios enmarcado</w:t>
      </w:r>
      <w:r w:rsidR="00CF2742">
        <w:t>s</w:t>
      </w:r>
      <w:r w:rsidR="00001F22">
        <w:t xml:space="preserve"> dentro del </w:t>
      </w:r>
      <w:r w:rsidR="00CF2742">
        <w:t>Programa de Mejoramiento de Barrios</w:t>
      </w:r>
      <w:r w:rsidR="00001F22">
        <w:t>, d) UTE realizar</w:t>
      </w:r>
      <w:r w:rsidR="00CF2742">
        <w:t>á</w:t>
      </w:r>
      <w:r w:rsidR="00001F22">
        <w:t xml:space="preserve"> la instalación comercial de contadores y acometida hasta cada vivi</w:t>
      </w:r>
      <w:r w:rsidR="00CF2742">
        <w:t>e</w:t>
      </w:r>
      <w:r w:rsidR="00001F22">
        <w:t xml:space="preserve">nda comprendida dentro de cada intervención del </w:t>
      </w:r>
      <w:r w:rsidR="00CF2742">
        <w:t>Programa de Mejoramiento de Barrios</w:t>
      </w:r>
      <w:r w:rsidR="0099575B">
        <w:t xml:space="preserve"> (Cláusula Quinta)</w:t>
      </w:r>
      <w:r w:rsidR="00001F22">
        <w:t>;</w:t>
      </w:r>
    </w:p>
    <w:p w:rsidR="006A7767" w:rsidRDefault="009740F6" w:rsidP="006A7767">
      <w:pPr>
        <w:spacing w:line="360" w:lineRule="auto"/>
        <w:ind w:firstLine="2835"/>
        <w:jc w:val="both"/>
      </w:pPr>
      <w:r w:rsidRPr="009740F6">
        <w:rPr>
          <w:b/>
        </w:rPr>
        <w:t>6</w:t>
      </w:r>
      <w:r w:rsidR="000D2D17" w:rsidRPr="009740F6">
        <w:rPr>
          <w:b/>
        </w:rPr>
        <w:t>)</w:t>
      </w:r>
      <w:r w:rsidR="000D2D17">
        <w:t xml:space="preserve"> que</w:t>
      </w:r>
      <w:r w:rsidR="0099575B">
        <w:t>,</w:t>
      </w:r>
      <w:r w:rsidR="000D2D17">
        <w:t xml:space="preserve"> </w:t>
      </w:r>
      <w:r w:rsidR="0099575B">
        <w:t xml:space="preserve">por su parte,  </w:t>
      </w:r>
      <w:r w:rsidR="000D2D17">
        <w:t>el Pr</w:t>
      </w:r>
      <w:r w:rsidR="00CF2742">
        <w:t>o</w:t>
      </w:r>
      <w:r w:rsidR="000D2D17">
        <w:t>grama de Mejoramiento de Barrios del M</w:t>
      </w:r>
      <w:r w:rsidR="00BE26CC">
        <w:t>.</w:t>
      </w:r>
      <w:r w:rsidR="000D2D17">
        <w:t>V</w:t>
      </w:r>
      <w:r w:rsidR="00BE26CC">
        <w:t>.</w:t>
      </w:r>
      <w:r w:rsidR="000D2D17">
        <w:t>O</w:t>
      </w:r>
      <w:r w:rsidR="00BE26CC">
        <w:t>.</w:t>
      </w:r>
      <w:r w:rsidR="000D2D17">
        <w:t>T</w:t>
      </w:r>
      <w:r w:rsidR="00BE26CC">
        <w:t>.</w:t>
      </w:r>
      <w:r w:rsidR="000D2D17">
        <w:t>M</w:t>
      </w:r>
      <w:r w:rsidR="00BE26CC">
        <w:t>.</w:t>
      </w:r>
      <w:r w:rsidR="000D2D17">
        <w:t>A</w:t>
      </w:r>
      <w:r w:rsidR="00BE26CC">
        <w:t>.</w:t>
      </w:r>
      <w:r w:rsidR="000D2D17">
        <w:t>, asume la obligaci</w:t>
      </w:r>
      <w:r w:rsidR="00CF2742">
        <w:t>ó</w:t>
      </w:r>
      <w:r w:rsidR="000D2D17">
        <w:t>n de: a) gestionar y obtener por si o a</w:t>
      </w:r>
      <w:r w:rsidR="00CF2742">
        <w:t xml:space="preserve"> </w:t>
      </w:r>
      <w:r w:rsidR="000D2D17">
        <w:t>tr</w:t>
      </w:r>
      <w:r w:rsidR="00CF2742">
        <w:t>avé</w:t>
      </w:r>
      <w:r w:rsidR="000D2D17">
        <w:t>s de quien corresponda, todos los permisos y autorizaciones nacionales o municip</w:t>
      </w:r>
      <w:r w:rsidR="00CF2742">
        <w:t>a</w:t>
      </w:r>
      <w:r w:rsidR="000D2D17">
        <w:t>les necesarias para la r</w:t>
      </w:r>
      <w:r w:rsidR="00CF2742">
        <w:t>ealizació</w:t>
      </w:r>
      <w:r w:rsidR="000D2D17">
        <w:t xml:space="preserve">n de las obras  </w:t>
      </w:r>
      <w:r w:rsidR="00001F22">
        <w:t>del M</w:t>
      </w:r>
      <w:r w:rsidR="00BE26CC">
        <w:t>.</w:t>
      </w:r>
      <w:r w:rsidR="00001F22">
        <w:t>V</w:t>
      </w:r>
      <w:r w:rsidR="00BE26CC">
        <w:t>.</w:t>
      </w:r>
      <w:r w:rsidR="00001F22">
        <w:t>O</w:t>
      </w:r>
      <w:r w:rsidR="00BE26CC">
        <w:t>.</w:t>
      </w:r>
      <w:r w:rsidR="00001F22">
        <w:t>T</w:t>
      </w:r>
      <w:r w:rsidR="00BE26CC">
        <w:t>.</w:t>
      </w:r>
      <w:r w:rsidR="00001F22">
        <w:t>M</w:t>
      </w:r>
      <w:r w:rsidR="00BE26CC">
        <w:t>.</w:t>
      </w:r>
      <w:r w:rsidR="00001F22">
        <w:t>A</w:t>
      </w:r>
      <w:r w:rsidR="00BE26CC">
        <w:t>.</w:t>
      </w:r>
      <w:r w:rsidR="00001F22">
        <w:t>, en conjunto con las Intende</w:t>
      </w:r>
      <w:r w:rsidR="00CF2742">
        <w:t>ncias pertinentes, b) informar a U</w:t>
      </w:r>
      <w:r w:rsidR="00BE26CC">
        <w:t>.</w:t>
      </w:r>
      <w:r w:rsidR="00CF2742">
        <w:t>T</w:t>
      </w:r>
      <w:r w:rsidR="00BE26CC">
        <w:t>.</w:t>
      </w:r>
      <w:r w:rsidR="00CF2742">
        <w:t>E</w:t>
      </w:r>
      <w:r w:rsidR="00BE26CC">
        <w:t>.</w:t>
      </w:r>
      <w:r w:rsidR="00CF2742">
        <w:t xml:space="preserve">, las intervenciones barriales del </w:t>
      </w:r>
      <w:r w:rsidR="00964234">
        <w:t xml:space="preserve"> </w:t>
      </w:r>
      <w:r w:rsidR="00CF2742">
        <w:t>Programa de Mejoramiento de Barrios, alcances y viviendas beneficiarias del mismo, c) realizar las mejoras de instalaciones eléctricas interiores de las viviendas abarcadas por el Programa de Mejoramiento de Barrios, con firma de técnico instalador autorizado por U</w:t>
      </w:r>
      <w:r w:rsidR="00BE26CC">
        <w:t>.</w:t>
      </w:r>
      <w:r w:rsidR="00CF2742">
        <w:t>T</w:t>
      </w:r>
      <w:r w:rsidR="00BE26CC">
        <w:t>.</w:t>
      </w:r>
      <w:r w:rsidR="00CF2742">
        <w:t>E</w:t>
      </w:r>
      <w:r w:rsidR="00BE26CC">
        <w:t>.</w:t>
      </w:r>
      <w:r w:rsidR="00320BE5">
        <w:t>, d) coordinar seguimiento de la intervención con el Área Comercial Social de U</w:t>
      </w:r>
      <w:r w:rsidR="00BE26CC">
        <w:t>.</w:t>
      </w:r>
      <w:r w:rsidR="00320BE5">
        <w:t>T</w:t>
      </w:r>
      <w:r w:rsidR="00BE26CC">
        <w:t>.</w:t>
      </w:r>
      <w:r w:rsidR="00320BE5">
        <w:t>E</w:t>
      </w:r>
      <w:r w:rsidR="00BE26CC">
        <w:t>.</w:t>
      </w:r>
      <w:r w:rsidR="00320BE5">
        <w:t>, capacitar a los técnicos y vecinos en el uso eficiente de la energía eléctrica y en la seguridad de las instalaciones</w:t>
      </w:r>
      <w:r w:rsidR="0099575B">
        <w:t xml:space="preserve"> (Cláusula 5)</w:t>
      </w:r>
      <w:r w:rsidR="00320BE5">
        <w:t>;</w:t>
      </w:r>
    </w:p>
    <w:p w:rsidR="006A7767" w:rsidRDefault="009740F6" w:rsidP="006A7767">
      <w:pPr>
        <w:spacing w:line="360" w:lineRule="auto"/>
        <w:ind w:firstLine="2835"/>
        <w:jc w:val="both"/>
      </w:pPr>
      <w:r>
        <w:rPr>
          <w:b/>
        </w:rPr>
        <w:t>7</w:t>
      </w:r>
      <w:r w:rsidR="00320BE5" w:rsidRPr="00201342">
        <w:rPr>
          <w:b/>
        </w:rPr>
        <w:t>)</w:t>
      </w:r>
      <w:r w:rsidR="00320BE5">
        <w:t xml:space="preserve"> que se establece que el convenio comenzará a </w:t>
      </w:r>
      <w:r w:rsidR="00BE26CC">
        <w:t xml:space="preserve">regir </w:t>
      </w:r>
      <w:r w:rsidR="00320BE5">
        <w:t xml:space="preserve">partir del día de su suscripción y tendrá un vigencia de dos años, </w:t>
      </w:r>
      <w:r w:rsidR="00201342">
        <w:t>renovándose</w:t>
      </w:r>
      <w:r w:rsidR="00320BE5">
        <w:t xml:space="preserve"> </w:t>
      </w:r>
      <w:r w:rsidR="00201342">
        <w:t>automáticamente</w:t>
      </w:r>
      <w:r w:rsidR="00320BE5">
        <w:t xml:space="preserve"> por plazos iguales si no existiese oposición de alguna de las partes, manifestada por escrito, con sesenta días de </w:t>
      </w:r>
      <w:r w:rsidR="00201342">
        <w:t>anticipación</w:t>
      </w:r>
      <w:r w:rsidR="00320BE5">
        <w:t xml:space="preserve"> antes de la </w:t>
      </w:r>
      <w:r w:rsidR="00320BE5">
        <w:lastRenderedPageBreak/>
        <w:t xml:space="preserve">fecha del </w:t>
      </w:r>
      <w:r w:rsidR="00201342">
        <w:t>vencimiento</w:t>
      </w:r>
      <w:r w:rsidR="00320BE5">
        <w:t xml:space="preserve"> del plazo o de cualquiera de sus prórrogas</w:t>
      </w:r>
      <w:r w:rsidR="00620A3C">
        <w:t xml:space="preserve"> (Cláusula Séptima)</w:t>
      </w:r>
      <w:r w:rsidR="00320BE5">
        <w:t>;</w:t>
      </w:r>
    </w:p>
    <w:p w:rsidR="006A7767" w:rsidRDefault="009740F6" w:rsidP="006A7767">
      <w:pPr>
        <w:spacing w:line="360" w:lineRule="auto"/>
        <w:ind w:firstLine="2835"/>
        <w:jc w:val="both"/>
      </w:pPr>
      <w:r>
        <w:rPr>
          <w:b/>
        </w:rPr>
        <w:t>8</w:t>
      </w:r>
      <w:r w:rsidR="00201342" w:rsidRPr="00201342">
        <w:rPr>
          <w:b/>
        </w:rPr>
        <w:t>)</w:t>
      </w:r>
      <w:r w:rsidR="00201342">
        <w:t xml:space="preserve"> que se adjunta proyecto de Resolución del M</w:t>
      </w:r>
      <w:r w:rsidR="00BE26CC">
        <w:t>.</w:t>
      </w:r>
      <w:r w:rsidR="00201342">
        <w:t>V</w:t>
      </w:r>
      <w:r w:rsidR="00BE26CC">
        <w:t>.</w:t>
      </w:r>
      <w:r w:rsidR="00201342">
        <w:t>O</w:t>
      </w:r>
      <w:r w:rsidR="00BE26CC">
        <w:t>.</w:t>
      </w:r>
      <w:r w:rsidR="00201342">
        <w:t>T</w:t>
      </w:r>
      <w:r w:rsidR="00BE26CC">
        <w:t>.</w:t>
      </w:r>
      <w:r w:rsidR="00201342">
        <w:t>M</w:t>
      </w:r>
      <w:r w:rsidR="00BE26CC">
        <w:t>.</w:t>
      </w:r>
      <w:r w:rsidR="00201342">
        <w:t>A</w:t>
      </w:r>
      <w:r w:rsidR="00BE26CC">
        <w:t>.</w:t>
      </w:r>
      <w:r w:rsidR="00201342">
        <w:t xml:space="preserve"> por el cual se autoriza la suscripción del  convenio de </w:t>
      </w:r>
      <w:r w:rsidR="001312E7">
        <w:t>cooperación referido;</w:t>
      </w:r>
    </w:p>
    <w:p w:rsidR="00201342" w:rsidRDefault="009740F6" w:rsidP="006A7767">
      <w:pPr>
        <w:spacing w:line="360" w:lineRule="auto"/>
        <w:ind w:firstLine="2835"/>
        <w:jc w:val="both"/>
      </w:pPr>
      <w:r>
        <w:rPr>
          <w:b/>
        </w:rPr>
        <w:t>9</w:t>
      </w:r>
      <w:r w:rsidR="00201342" w:rsidRPr="001312E7">
        <w:rPr>
          <w:b/>
        </w:rPr>
        <w:t>)</w:t>
      </w:r>
      <w:r w:rsidR="00201342">
        <w:t xml:space="preserve"> que asimismo</w:t>
      </w:r>
      <w:r w:rsidR="00BE26CC">
        <w:t>,</w:t>
      </w:r>
      <w:r w:rsidR="00201342">
        <w:t xml:space="preserve"> se agrega Resolución del Directorio  Nº 17-3150 de U.T.E. dictada  el 14/12/17</w:t>
      </w:r>
      <w:r w:rsidR="00BE26CC">
        <w:t>,</w:t>
      </w:r>
      <w:r w:rsidR="00201342">
        <w:t xml:space="preserve"> por al cual se autoriza la suscripción del convenio mencionado;</w:t>
      </w:r>
    </w:p>
    <w:p w:rsidR="00C4759F" w:rsidRDefault="00201342" w:rsidP="006A7767">
      <w:pPr>
        <w:tabs>
          <w:tab w:val="left" w:pos="1800"/>
        </w:tabs>
        <w:spacing w:line="360" w:lineRule="auto"/>
        <w:ind w:firstLine="851"/>
        <w:jc w:val="both"/>
        <w:rPr>
          <w:rFonts w:cs="Arial"/>
          <w:lang w:val="es-MX"/>
        </w:rPr>
      </w:pPr>
      <w:r>
        <w:t xml:space="preserve">  </w:t>
      </w:r>
      <w:r w:rsidR="00964234">
        <w:rPr>
          <w:b/>
          <w:bCs/>
        </w:rPr>
        <w:t xml:space="preserve">CONSIDERANDO: </w:t>
      </w:r>
      <w:r w:rsidR="00C4759F">
        <w:rPr>
          <w:b/>
          <w:bCs/>
        </w:rPr>
        <w:t xml:space="preserve">  </w:t>
      </w:r>
      <w:r w:rsidR="00964234">
        <w:rPr>
          <w:b/>
          <w:bCs/>
        </w:rPr>
        <w:t>1</w:t>
      </w:r>
      <w:r w:rsidR="00C4759F">
        <w:rPr>
          <w:rFonts w:cs="Arial"/>
          <w:b/>
          <w:bCs/>
        </w:rPr>
        <w:t xml:space="preserve">) </w:t>
      </w:r>
      <w:r w:rsidR="00C4759F">
        <w:rPr>
          <w:rFonts w:cs="Arial"/>
          <w:lang w:val="es-MX"/>
        </w:rPr>
        <w:t>que de conformidad con lo establecido en el artículo 3 de la L</w:t>
      </w:r>
      <w:r w:rsidR="00C4759F" w:rsidRPr="00750C31">
        <w:rPr>
          <w:rFonts w:cs="Arial"/>
          <w:lang w:val="es-MX"/>
        </w:rPr>
        <w:t xml:space="preserve">ey </w:t>
      </w:r>
      <w:r w:rsidR="00C4759F">
        <w:rPr>
          <w:rFonts w:cs="Arial"/>
          <w:lang w:val="es-MX"/>
        </w:rPr>
        <w:t xml:space="preserve">Nº </w:t>
      </w:r>
      <w:r w:rsidR="00C4759F" w:rsidRPr="00750C31">
        <w:rPr>
          <w:rFonts w:cs="Arial"/>
          <w:lang w:val="es-MX"/>
        </w:rPr>
        <w:t>16.112</w:t>
      </w:r>
      <w:r w:rsidR="00C4759F">
        <w:rPr>
          <w:rFonts w:cs="Arial"/>
          <w:lang w:val="es-MX"/>
        </w:rPr>
        <w:t xml:space="preserve"> </w:t>
      </w:r>
      <w:r w:rsidR="00C4759F">
        <w:t>del 30/5/90</w:t>
      </w:r>
      <w:r w:rsidR="00C4759F" w:rsidRPr="00750C31">
        <w:rPr>
          <w:rFonts w:cs="Arial"/>
          <w:lang w:val="es-MX"/>
        </w:rPr>
        <w:t>, compete al M</w:t>
      </w:r>
      <w:r w:rsidR="00C4759F">
        <w:rPr>
          <w:rFonts w:cs="Arial"/>
          <w:lang w:val="es-MX"/>
        </w:rPr>
        <w:t>.</w:t>
      </w:r>
      <w:r w:rsidR="00C4759F" w:rsidRPr="00750C31">
        <w:rPr>
          <w:rFonts w:cs="Arial"/>
          <w:lang w:val="es-MX"/>
        </w:rPr>
        <w:t>V</w:t>
      </w:r>
      <w:r w:rsidR="00C4759F">
        <w:rPr>
          <w:rFonts w:cs="Arial"/>
          <w:lang w:val="es-MX"/>
        </w:rPr>
        <w:t>.</w:t>
      </w:r>
      <w:r w:rsidR="00C4759F" w:rsidRPr="00750C31">
        <w:rPr>
          <w:rFonts w:cs="Arial"/>
          <w:lang w:val="es-MX"/>
        </w:rPr>
        <w:t>O</w:t>
      </w:r>
      <w:r w:rsidR="00C4759F">
        <w:rPr>
          <w:rFonts w:cs="Arial"/>
          <w:lang w:val="es-MX"/>
        </w:rPr>
        <w:t>.</w:t>
      </w:r>
      <w:r w:rsidR="00C4759F" w:rsidRPr="00750C31">
        <w:rPr>
          <w:rFonts w:cs="Arial"/>
          <w:lang w:val="es-MX"/>
        </w:rPr>
        <w:t>T</w:t>
      </w:r>
      <w:r w:rsidR="00C4759F">
        <w:rPr>
          <w:rFonts w:cs="Arial"/>
          <w:lang w:val="es-MX"/>
        </w:rPr>
        <w:t>.</w:t>
      </w:r>
      <w:r w:rsidR="00C4759F" w:rsidRPr="00750C31">
        <w:rPr>
          <w:rFonts w:cs="Arial"/>
          <w:lang w:val="es-MX"/>
        </w:rPr>
        <w:t>M</w:t>
      </w:r>
      <w:r w:rsidR="00C4759F">
        <w:rPr>
          <w:rFonts w:cs="Arial"/>
          <w:lang w:val="es-MX"/>
        </w:rPr>
        <w:t>.</w:t>
      </w:r>
      <w:r w:rsidR="00C4759F" w:rsidRPr="00750C31">
        <w:rPr>
          <w:rFonts w:cs="Arial"/>
          <w:lang w:val="es-MX"/>
        </w:rPr>
        <w:t>A</w:t>
      </w:r>
      <w:r w:rsidR="00C4759F">
        <w:rPr>
          <w:rFonts w:cs="Arial"/>
          <w:lang w:val="es-MX"/>
        </w:rPr>
        <w:t>.</w:t>
      </w:r>
      <w:r w:rsidR="00C4759F" w:rsidRPr="00750C31">
        <w:rPr>
          <w:rFonts w:cs="Arial"/>
          <w:lang w:val="es-MX"/>
        </w:rPr>
        <w:t xml:space="preserve"> </w:t>
      </w:r>
      <w:r w:rsidR="00C4759F" w:rsidRPr="004E0321">
        <w:rPr>
          <w:rFonts w:cs="Arial"/>
          <w:i/>
          <w:lang w:val="es-MX"/>
        </w:rPr>
        <w:t>“la formulación, ejecución, supervisión y evaluación de los planes nacionales de vivienda y de desarrollo urbano y territorial y la  instrumentación de la política nacional en la materia”</w:t>
      </w:r>
      <w:r w:rsidR="00C4759F">
        <w:rPr>
          <w:rFonts w:cs="Arial"/>
          <w:lang w:val="es-MX"/>
        </w:rPr>
        <w:t xml:space="preserve">  (numeral 1);</w:t>
      </w:r>
    </w:p>
    <w:p w:rsidR="006A7767" w:rsidRDefault="00C4759F" w:rsidP="006A7767">
      <w:pPr>
        <w:spacing w:line="360" w:lineRule="auto"/>
        <w:ind w:firstLine="3261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2</w:t>
      </w:r>
      <w:r w:rsidRPr="00750C31">
        <w:rPr>
          <w:rFonts w:cs="Arial"/>
          <w:b/>
          <w:bCs/>
          <w:lang w:val="es-MX"/>
        </w:rPr>
        <w:t>)</w:t>
      </w:r>
      <w:r>
        <w:rPr>
          <w:rFonts w:cs="Arial"/>
          <w:lang w:val="es-MX"/>
        </w:rPr>
        <w:t xml:space="preserve"> que los numerales 8 y 9 del mismo artículo</w:t>
      </w:r>
      <w:r w:rsidR="0099575B">
        <w:rPr>
          <w:rFonts w:cs="Arial"/>
          <w:lang w:val="es-MX"/>
        </w:rPr>
        <w:t xml:space="preserve"> de la L</w:t>
      </w:r>
      <w:r w:rsidR="00BE26CC">
        <w:rPr>
          <w:rFonts w:cs="Arial"/>
          <w:lang w:val="es-MX"/>
        </w:rPr>
        <w:t>ey mencionada,</w:t>
      </w:r>
      <w:r>
        <w:rPr>
          <w:rFonts w:cs="Arial"/>
          <w:lang w:val="es-MX"/>
        </w:rPr>
        <w:t xml:space="preserve"> establecen </w:t>
      </w:r>
      <w:r w:rsidR="0033329E">
        <w:rPr>
          <w:rFonts w:cs="Arial"/>
          <w:lang w:val="es-MX"/>
        </w:rPr>
        <w:t xml:space="preserve">que </w:t>
      </w:r>
      <w:r w:rsidRPr="00750C31">
        <w:rPr>
          <w:rFonts w:cs="Arial"/>
          <w:lang w:val="es-MX"/>
        </w:rPr>
        <w:t>para el cumplimiento de sus com</w:t>
      </w:r>
      <w:r>
        <w:rPr>
          <w:rFonts w:cs="Arial"/>
          <w:lang w:val="es-MX"/>
        </w:rPr>
        <w:t>etidos, el M.V.O.T.M.A. coordinará sus</w:t>
      </w:r>
      <w:r w:rsidRPr="00750C31">
        <w:rPr>
          <w:rFonts w:cs="Arial"/>
          <w:lang w:val="es-MX"/>
        </w:rPr>
        <w:t xml:space="preserve"> acciones con los otros organismos públicos nacionale</w:t>
      </w:r>
      <w:r>
        <w:rPr>
          <w:rFonts w:cs="Arial"/>
          <w:lang w:val="es-MX"/>
        </w:rPr>
        <w:t>s o departamentales</w:t>
      </w:r>
      <w:r w:rsidR="0033329E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prev</w:t>
      </w:r>
      <w:r w:rsidR="0033329E">
        <w:rPr>
          <w:rFonts w:cs="Arial"/>
          <w:lang w:val="es-MX"/>
        </w:rPr>
        <w:t>iendo</w:t>
      </w:r>
      <w:r w:rsidRPr="00750C31">
        <w:rPr>
          <w:rFonts w:cs="Arial"/>
          <w:lang w:val="es-MX"/>
        </w:rPr>
        <w:t xml:space="preserve"> la posibilidad de suscripción de convenios con personas públicas o privadas, nacionales o extranjeras;</w:t>
      </w:r>
    </w:p>
    <w:p w:rsidR="006A7767" w:rsidRDefault="009C5BAC" w:rsidP="006A7767">
      <w:pPr>
        <w:spacing w:line="360" w:lineRule="auto"/>
        <w:ind w:firstLine="3261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3</w:t>
      </w:r>
      <w:r>
        <w:rPr>
          <w:rFonts w:cs="Arial"/>
          <w:b/>
          <w:bCs/>
        </w:rPr>
        <w:t>)</w:t>
      </w:r>
      <w:r>
        <w:rPr>
          <w:rFonts w:cs="Arial"/>
        </w:rPr>
        <w:t xml:space="preserve"> </w:t>
      </w:r>
      <w:r w:rsidR="00590A3E">
        <w:rPr>
          <w:b/>
        </w:rPr>
        <w:t xml:space="preserve"> </w:t>
      </w:r>
      <w:r w:rsidR="00590A3E">
        <w:t>que el artículo 4 de la Ley Nº 15.031 de 4</w:t>
      </w:r>
      <w:r w:rsidR="00A821CA">
        <w:t>/7/80</w:t>
      </w:r>
      <w:r w:rsidR="00590A3E">
        <w:t xml:space="preserve"> (en la redacción dada por el art. 22 de la </w:t>
      </w:r>
      <w:r w:rsidR="0033329E">
        <w:t>L</w:t>
      </w:r>
      <w:r w:rsidR="00590A3E">
        <w:t>ey 16.832, de 17</w:t>
      </w:r>
      <w:r w:rsidR="00A821CA">
        <w:t>/6/9</w:t>
      </w:r>
      <w:r w:rsidR="00590A3E">
        <w:t>7) define el ámbito de competencia de U</w:t>
      </w:r>
      <w:r w:rsidR="0033329E">
        <w:t>.</w:t>
      </w:r>
      <w:r w:rsidR="00590A3E">
        <w:t>T</w:t>
      </w:r>
      <w:r w:rsidR="0033329E">
        <w:t>.</w:t>
      </w:r>
      <w:r w:rsidR="00590A3E">
        <w:t>E</w:t>
      </w:r>
      <w:r w:rsidR="0033329E">
        <w:t>.</w:t>
      </w:r>
      <w:r w:rsidR="00590A3E">
        <w:t xml:space="preserve"> que incluye </w:t>
      </w:r>
      <w:r w:rsidR="00590A3E" w:rsidRPr="00F9240A">
        <w:rPr>
          <w:i/>
        </w:rPr>
        <w:t>“generar, transformar, trasmitir, distribuir, exportar, importar y comercializar la energía eléctrica</w:t>
      </w:r>
      <w:r w:rsidR="00590A3E" w:rsidRPr="00590A3E">
        <w:t>”</w:t>
      </w:r>
      <w:r w:rsidR="00E33538">
        <w:t>,</w:t>
      </w:r>
      <w:r w:rsidR="00590A3E" w:rsidRPr="00590A3E">
        <w:t xml:space="preserve"> </w:t>
      </w:r>
      <w:r w:rsidR="0099575B">
        <w:t>y la faculta</w:t>
      </w:r>
      <w:r w:rsidR="005B6AC9">
        <w:t>, a esos efectos,</w:t>
      </w:r>
      <w:r w:rsidR="005B6AC9" w:rsidRPr="005B6AC9">
        <w:t xml:space="preserve"> </w:t>
      </w:r>
      <w:r w:rsidR="005B6AC9">
        <w:t xml:space="preserve">a </w:t>
      </w:r>
      <w:r w:rsidR="005B6AC9" w:rsidRPr="005B6AC9">
        <w:rPr>
          <w:i/>
        </w:rPr>
        <w:t>“asociarse en forma accidental o permanente con otras entidades públicas o privadas, nacionales o extranjeras, así como</w:t>
      </w:r>
      <w:r w:rsidR="005B6AC9">
        <w:rPr>
          <w:i/>
        </w:rPr>
        <w:t xml:space="preserve"> </w:t>
      </w:r>
      <w:r w:rsidR="005B6AC9" w:rsidRPr="005B6AC9">
        <w:rPr>
          <w:i/>
        </w:rPr>
        <w:t>contratar o subcontratar con ellas la complementación de su tareas</w:t>
      </w:r>
      <w:r w:rsidR="005B6AC9">
        <w:t xml:space="preserve">”. </w:t>
      </w:r>
      <w:r>
        <w:rPr>
          <w:rFonts w:cs="Arial"/>
          <w:color w:val="000000"/>
          <w:szCs w:val="19"/>
        </w:rPr>
        <w:t xml:space="preserve"> </w:t>
      </w:r>
    </w:p>
    <w:p w:rsidR="00964234" w:rsidRDefault="00964234" w:rsidP="006A7767">
      <w:pPr>
        <w:spacing w:line="360" w:lineRule="auto"/>
        <w:ind w:firstLine="3261"/>
        <w:jc w:val="both"/>
        <w:rPr>
          <w:rFonts w:cs="Arial"/>
          <w:lang w:val="es-MX"/>
        </w:rPr>
      </w:pPr>
      <w:r w:rsidRPr="00EE237C">
        <w:rPr>
          <w:rFonts w:cs="Arial"/>
          <w:b/>
          <w:lang w:val="es-MX"/>
        </w:rPr>
        <w:t>4</w:t>
      </w:r>
      <w:r w:rsidRPr="00EE237C">
        <w:rPr>
          <w:rFonts w:cs="Arial"/>
          <w:b/>
          <w:bCs/>
          <w:lang w:val="es-MX"/>
        </w:rPr>
        <w:t>)</w:t>
      </w:r>
      <w:r>
        <w:rPr>
          <w:rFonts w:cs="Arial"/>
          <w:lang w:val="es-MX"/>
        </w:rPr>
        <w:t xml:space="preserve">  que </w:t>
      </w:r>
      <w:r w:rsidR="00590A3E">
        <w:rPr>
          <w:rFonts w:cs="Arial"/>
          <w:lang w:val="es-MX"/>
        </w:rPr>
        <w:t>en virtud de lo expuesto, el convenio remitido se encuadra en las competencias de las Organismos int</w:t>
      </w:r>
      <w:r w:rsidR="005B6AC9">
        <w:rPr>
          <w:rFonts w:cs="Arial"/>
          <w:lang w:val="es-MX"/>
        </w:rPr>
        <w:t>ervinientes, y</w:t>
      </w:r>
      <w:r w:rsidR="00590A3E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el procedimiento directo seguido para la selección del co-contratante, </w:t>
      </w:r>
      <w:r w:rsidR="00590A3E">
        <w:rPr>
          <w:rFonts w:cs="Arial"/>
          <w:lang w:val="es-MX"/>
        </w:rPr>
        <w:t>-a</w:t>
      </w:r>
      <w:r>
        <w:rPr>
          <w:rFonts w:cs="Arial"/>
          <w:lang w:val="es-MX"/>
        </w:rPr>
        <w:t>tendiendo a la naturaleza jurídica de las partes del convenio</w:t>
      </w:r>
      <w:r w:rsidR="00590A3E">
        <w:rPr>
          <w:rFonts w:cs="Arial"/>
          <w:lang w:val="es-MX"/>
        </w:rPr>
        <w:t>-</w:t>
      </w:r>
      <w:r>
        <w:rPr>
          <w:rFonts w:cs="Arial"/>
          <w:lang w:val="es-MX"/>
        </w:rPr>
        <w:t xml:space="preserve"> </w:t>
      </w:r>
      <w:r w:rsidR="005B6AC9">
        <w:rPr>
          <w:rFonts w:cs="Arial"/>
          <w:lang w:val="es-MX"/>
        </w:rPr>
        <w:t xml:space="preserve">está amparado en la causal de </w:t>
      </w:r>
      <w:r w:rsidR="00590A3E">
        <w:rPr>
          <w:rFonts w:cs="Arial"/>
          <w:lang w:val="es-MX"/>
        </w:rPr>
        <w:t xml:space="preserve">excepción </w:t>
      </w:r>
      <w:r w:rsidR="005B6AC9">
        <w:rPr>
          <w:rFonts w:cs="Arial"/>
          <w:lang w:val="es-MX"/>
        </w:rPr>
        <w:t xml:space="preserve"> prevista</w:t>
      </w:r>
      <w:r>
        <w:rPr>
          <w:rFonts w:cs="Arial"/>
          <w:lang w:val="es-MX"/>
        </w:rPr>
        <w:t xml:space="preserve"> el literal C) numeral 1) del artículo 33 del TOCAF;</w:t>
      </w:r>
      <w:r w:rsidR="00590A3E">
        <w:rPr>
          <w:rFonts w:cs="Arial"/>
          <w:lang w:val="es-MX"/>
        </w:rPr>
        <w:t xml:space="preserve"> </w:t>
      </w:r>
    </w:p>
    <w:p w:rsidR="006A7767" w:rsidRPr="006A7767" w:rsidRDefault="00964234" w:rsidP="006A7767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lang w:val="es-MX"/>
        </w:rPr>
        <w:t xml:space="preserve"> a lo expresado precedentemente y a lo dispuesto por el artículo 211 literal B) de la Constitución de la República; </w:t>
      </w:r>
    </w:p>
    <w:p w:rsidR="00964234" w:rsidRDefault="006A7767" w:rsidP="00964234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  <w:bookmarkStart w:id="0" w:name="_GoBack"/>
      <w:bookmarkEnd w:id="0"/>
    </w:p>
    <w:p w:rsidR="009C5BAC" w:rsidRPr="009C5BAC" w:rsidRDefault="00964234" w:rsidP="006A7767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cs="Arial"/>
        </w:rPr>
      </w:pPr>
      <w:r>
        <w:t>No formular observaciones al convenio a suscribir entre el</w:t>
      </w:r>
      <w:r w:rsidRPr="009C5BAC">
        <w:rPr>
          <w:rFonts w:cs="Arial"/>
          <w:lang w:val="es-MX"/>
        </w:rPr>
        <w:t xml:space="preserve"> Ministerio de Vivienda, Ordenamiento Territorial y Medio Ambiente y</w:t>
      </w:r>
      <w:r w:rsidR="009C5BAC" w:rsidRPr="009C5BAC">
        <w:rPr>
          <w:rFonts w:cs="Arial"/>
          <w:lang w:val="es-MX"/>
        </w:rPr>
        <w:t xml:space="preserve"> la</w:t>
      </w:r>
      <w:r w:rsidRPr="009C5BAC">
        <w:rPr>
          <w:rFonts w:cs="Arial"/>
          <w:lang w:val="es-MX"/>
        </w:rPr>
        <w:t xml:space="preserve"> </w:t>
      </w:r>
      <w:r w:rsidR="009C5BAC">
        <w:t xml:space="preserve">Administración Nacional de Usinas y Transmisiones Eléctricas; </w:t>
      </w:r>
    </w:p>
    <w:p w:rsidR="00964234" w:rsidRPr="009C5BAC" w:rsidRDefault="00964234" w:rsidP="006A7767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cs="Arial"/>
        </w:rPr>
      </w:pPr>
      <w:r w:rsidRPr="009C5BAC">
        <w:rPr>
          <w:rFonts w:cs="Arial"/>
        </w:rPr>
        <w:t>Dictada la Resolución por el ordenador competente y una vez suscri</w:t>
      </w:r>
      <w:r w:rsidR="005B6AC9">
        <w:rPr>
          <w:rFonts w:cs="Arial"/>
        </w:rPr>
        <w:t>to el convenio remitido, se comete</w:t>
      </w:r>
      <w:r w:rsidRPr="009C5BAC">
        <w:rPr>
          <w:rFonts w:cs="Arial"/>
        </w:rPr>
        <w:t xml:space="preserve"> al Contador Auditor destacado ante </w:t>
      </w:r>
      <w:r>
        <w:t>el</w:t>
      </w:r>
      <w:r w:rsidRPr="009C5BAC">
        <w:rPr>
          <w:rFonts w:cs="Arial"/>
          <w:lang w:val="es-MX"/>
        </w:rPr>
        <w:t xml:space="preserve"> Ministerio de Vivienda, Ordenamiento Territorial</w:t>
      </w:r>
      <w:r w:rsidR="005B6AC9">
        <w:rPr>
          <w:rFonts w:cs="Arial"/>
        </w:rPr>
        <w:t>, la intervención de los</w:t>
      </w:r>
      <w:r w:rsidRPr="009C5BAC">
        <w:rPr>
          <w:rFonts w:cs="Arial"/>
        </w:rPr>
        <w:t xml:space="preserve"> gasto</w:t>
      </w:r>
      <w:r w:rsidR="005B6AC9">
        <w:rPr>
          <w:rFonts w:cs="Arial"/>
        </w:rPr>
        <w:t>s</w:t>
      </w:r>
      <w:r w:rsidRPr="009C5BAC">
        <w:rPr>
          <w:rFonts w:cs="Arial"/>
        </w:rPr>
        <w:t xml:space="preserve"> derivado</w:t>
      </w:r>
      <w:r w:rsidR="005B6AC9">
        <w:rPr>
          <w:rFonts w:cs="Arial"/>
        </w:rPr>
        <w:t>s</w:t>
      </w:r>
      <w:r w:rsidRPr="009C5BAC">
        <w:rPr>
          <w:rFonts w:cs="Arial"/>
        </w:rPr>
        <w:t xml:space="preserve"> del mismo, previo control de su imputación con cargo a grupo adecuado con disponibilidad suficiente</w:t>
      </w:r>
      <w:r>
        <w:t xml:space="preserve"> </w:t>
      </w:r>
      <w:r w:rsidRPr="009C5BAC">
        <w:rPr>
          <w:rFonts w:cs="Arial"/>
        </w:rPr>
        <w:t xml:space="preserve">y de la verificación de que las condiciones establecidas en la resolución definitiva coincidan con los antecedentes remitidos a este Tribunal; </w:t>
      </w:r>
    </w:p>
    <w:p w:rsidR="00964234" w:rsidRDefault="00964234" w:rsidP="006A7767">
      <w:pPr>
        <w:numPr>
          <w:ilvl w:val="0"/>
          <w:numId w:val="1"/>
        </w:numPr>
        <w:spacing w:line="360" w:lineRule="auto"/>
        <w:ind w:left="284" w:hanging="284"/>
        <w:jc w:val="both"/>
        <w:rPr>
          <w:lang w:val="es-MX"/>
        </w:rPr>
      </w:pPr>
      <w:r>
        <w:rPr>
          <w:lang w:val="es-MX"/>
        </w:rPr>
        <w:t xml:space="preserve">Comunicar a la Contadora Auditora destacada ante el </w:t>
      </w:r>
      <w:r>
        <w:rPr>
          <w:rFonts w:cs="Arial"/>
          <w:lang w:val="es-MX"/>
        </w:rPr>
        <w:t>Ministerio de Vivienda, Ordenamiento Territorial y Medio Ambiente</w:t>
      </w:r>
      <w:r>
        <w:rPr>
          <w:lang w:val="es-MX"/>
        </w:rPr>
        <w:t>;</w:t>
      </w:r>
    </w:p>
    <w:p w:rsidR="00964234" w:rsidRDefault="00964234" w:rsidP="006A7767">
      <w:pPr>
        <w:numPr>
          <w:ilvl w:val="0"/>
          <w:numId w:val="1"/>
        </w:numPr>
        <w:spacing w:line="360" w:lineRule="auto"/>
        <w:ind w:left="284" w:hanging="284"/>
        <w:rPr>
          <w:lang w:val="es-MX"/>
        </w:rPr>
      </w:pPr>
      <w:r>
        <w:rPr>
          <w:lang w:val="es-MX"/>
        </w:rPr>
        <w:t>Devolver los antecedentes.</w:t>
      </w:r>
    </w:p>
    <w:p w:rsidR="006A7767" w:rsidRPr="006A7767" w:rsidRDefault="006A7767" w:rsidP="006A7767">
      <w:pPr>
        <w:spacing w:line="360" w:lineRule="auto"/>
        <w:ind w:left="284" w:hanging="284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CLC</w:t>
      </w:r>
    </w:p>
    <w:p w:rsidR="006A7767" w:rsidRPr="006A7767" w:rsidRDefault="006A7767" w:rsidP="006A7767">
      <w:pPr>
        <w:spacing w:line="360" w:lineRule="auto"/>
        <w:ind w:left="284" w:hanging="284"/>
        <w:rPr>
          <w:lang w:val="es-MX"/>
        </w:rPr>
      </w:pPr>
    </w:p>
    <w:sectPr w:rsidR="006A7767" w:rsidRPr="006A7767" w:rsidSect="004E7F03">
      <w:pgSz w:w="11906" w:h="16838" w:code="9"/>
      <w:pgMar w:top="2835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34"/>
    <w:rsid w:val="00001F22"/>
    <w:rsid w:val="000D2D17"/>
    <w:rsid w:val="001312E7"/>
    <w:rsid w:val="001C7EE1"/>
    <w:rsid w:val="001E41AB"/>
    <w:rsid w:val="00201342"/>
    <w:rsid w:val="002D5638"/>
    <w:rsid w:val="00320BE5"/>
    <w:rsid w:val="0033329E"/>
    <w:rsid w:val="004E7F03"/>
    <w:rsid w:val="005700D6"/>
    <w:rsid w:val="00590A3E"/>
    <w:rsid w:val="005B6AC9"/>
    <w:rsid w:val="00620A3C"/>
    <w:rsid w:val="006A7767"/>
    <w:rsid w:val="00964234"/>
    <w:rsid w:val="009740F6"/>
    <w:rsid w:val="009765A9"/>
    <w:rsid w:val="0099575B"/>
    <w:rsid w:val="009C5BAC"/>
    <w:rsid w:val="00A5631B"/>
    <w:rsid w:val="00A821CA"/>
    <w:rsid w:val="00BE26CC"/>
    <w:rsid w:val="00C4759F"/>
    <w:rsid w:val="00CF2742"/>
    <w:rsid w:val="00D52AC6"/>
    <w:rsid w:val="00E3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23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64234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4234"/>
    <w:rPr>
      <w:rFonts w:ascii="Times New Roman" w:eastAsia="Times New Roman" w:hAnsi="Times New Roman" w:cs="Times New Roman"/>
      <w:b/>
      <w:bCs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23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64234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4234"/>
    <w:rPr>
      <w:rFonts w:ascii="Times New Roman" w:eastAsia="Times New Roman" w:hAnsi="Times New Roman" w:cs="Times New Roman"/>
      <w:b/>
      <w:bCs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54D02-5C47-416F-ACD5-5F52336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4</cp:revision>
  <cp:lastPrinted>2018-07-03T15:15:00Z</cp:lastPrinted>
  <dcterms:created xsi:type="dcterms:W3CDTF">2018-07-03T15:09:00Z</dcterms:created>
  <dcterms:modified xsi:type="dcterms:W3CDTF">2018-07-03T15:15:00Z</dcterms:modified>
</cp:coreProperties>
</file>