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F9C" w:rsidRPr="00212F9C" w:rsidRDefault="00212F9C" w:rsidP="00212F9C">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RES.2076 /18</w:t>
      </w:r>
    </w:p>
    <w:p w:rsidR="00212F9C" w:rsidRPr="00212F9C" w:rsidRDefault="00212F9C" w:rsidP="00212F9C">
      <w:pPr>
        <w:tabs>
          <w:tab w:val="center" w:pos="4253"/>
        </w:tabs>
        <w:suppressAutoHyphens/>
        <w:spacing w:after="0" w:line="240" w:lineRule="auto"/>
        <w:jc w:val="center"/>
        <w:rPr>
          <w:rFonts w:ascii="Arial" w:hAnsi="Arial" w:cs="Arial"/>
          <w:b/>
          <w:sz w:val="24"/>
          <w:szCs w:val="24"/>
          <w:lang w:val="es-ES_tradnl"/>
        </w:rPr>
      </w:pPr>
      <w:r w:rsidRPr="00212F9C">
        <w:rPr>
          <w:rFonts w:ascii="Arial" w:hAnsi="Arial" w:cs="Arial"/>
          <w:b/>
          <w:sz w:val="24"/>
          <w:szCs w:val="24"/>
          <w:lang w:val="es-ES_tradnl"/>
        </w:rPr>
        <w:t>RESOLUCION ADOPTADA POR EL</w:t>
      </w:r>
    </w:p>
    <w:p w:rsidR="00212F9C" w:rsidRPr="00212F9C" w:rsidRDefault="00212F9C" w:rsidP="00212F9C">
      <w:pPr>
        <w:tabs>
          <w:tab w:val="left" w:pos="-720"/>
        </w:tabs>
        <w:suppressAutoHyphens/>
        <w:spacing w:after="0" w:line="240" w:lineRule="auto"/>
        <w:jc w:val="center"/>
        <w:rPr>
          <w:rFonts w:ascii="Arial" w:hAnsi="Arial" w:cs="Arial"/>
          <w:b/>
          <w:sz w:val="24"/>
          <w:szCs w:val="24"/>
          <w:lang w:val="es-ES_tradnl"/>
        </w:rPr>
      </w:pPr>
    </w:p>
    <w:p w:rsidR="00212F9C" w:rsidRPr="00212F9C" w:rsidRDefault="00212F9C" w:rsidP="00212F9C">
      <w:pPr>
        <w:tabs>
          <w:tab w:val="center" w:pos="4253"/>
        </w:tabs>
        <w:suppressAutoHyphens/>
        <w:spacing w:after="0" w:line="240" w:lineRule="auto"/>
        <w:jc w:val="center"/>
        <w:rPr>
          <w:rFonts w:ascii="Arial" w:hAnsi="Arial" w:cs="Arial"/>
          <w:b/>
          <w:sz w:val="24"/>
          <w:szCs w:val="24"/>
          <w:lang w:val="es-ES_tradnl"/>
        </w:rPr>
      </w:pPr>
      <w:r w:rsidRPr="00212F9C">
        <w:rPr>
          <w:rFonts w:ascii="Arial" w:hAnsi="Arial" w:cs="Arial"/>
          <w:b/>
          <w:sz w:val="24"/>
          <w:szCs w:val="24"/>
          <w:lang w:val="es-ES_tradnl"/>
        </w:rPr>
        <w:t>TRIBUNAL DE CUENTAS</w:t>
      </w:r>
    </w:p>
    <w:p w:rsidR="00212F9C" w:rsidRPr="00212F9C" w:rsidRDefault="00212F9C" w:rsidP="00212F9C">
      <w:pPr>
        <w:tabs>
          <w:tab w:val="left" w:pos="-720"/>
        </w:tabs>
        <w:suppressAutoHyphens/>
        <w:spacing w:after="0" w:line="240" w:lineRule="auto"/>
        <w:jc w:val="center"/>
        <w:rPr>
          <w:rFonts w:ascii="Arial" w:hAnsi="Arial" w:cs="Arial"/>
          <w:b/>
          <w:sz w:val="24"/>
          <w:szCs w:val="24"/>
          <w:lang w:val="es-ES_tradnl"/>
        </w:rPr>
      </w:pPr>
    </w:p>
    <w:p w:rsidR="00212F9C" w:rsidRPr="00212F9C" w:rsidRDefault="00212F9C" w:rsidP="00212F9C">
      <w:pPr>
        <w:tabs>
          <w:tab w:val="center" w:pos="4253"/>
        </w:tabs>
        <w:suppressAutoHyphens/>
        <w:spacing w:after="0" w:line="240" w:lineRule="auto"/>
        <w:jc w:val="center"/>
        <w:rPr>
          <w:rFonts w:ascii="Arial" w:hAnsi="Arial" w:cs="Arial"/>
          <w:b/>
          <w:sz w:val="24"/>
          <w:szCs w:val="24"/>
          <w:lang w:val="es-ES_tradnl"/>
        </w:rPr>
      </w:pPr>
      <w:r w:rsidRPr="00212F9C">
        <w:rPr>
          <w:rFonts w:ascii="Arial" w:hAnsi="Arial" w:cs="Arial"/>
          <w:b/>
          <w:sz w:val="24"/>
          <w:szCs w:val="24"/>
          <w:lang w:val="es-ES_tradnl"/>
        </w:rPr>
        <w:t xml:space="preserve">EN SESION DE FECHA 20 DE JUNIO </w:t>
      </w:r>
      <w:r w:rsidRPr="00212F9C">
        <w:rPr>
          <w:rFonts w:ascii="Helvetica" w:hAnsi="Helvetica"/>
          <w:b/>
          <w:sz w:val="24"/>
          <w:szCs w:val="24"/>
          <w:lang w:val="es-ES_tradnl"/>
        </w:rPr>
        <w:t>DE 2018</w:t>
      </w:r>
    </w:p>
    <w:p w:rsidR="00212F9C" w:rsidRPr="00212F9C" w:rsidRDefault="00212F9C" w:rsidP="00212F9C">
      <w:pPr>
        <w:tabs>
          <w:tab w:val="center" w:pos="4253"/>
        </w:tabs>
        <w:suppressAutoHyphens/>
        <w:spacing w:after="0" w:line="240" w:lineRule="auto"/>
        <w:jc w:val="center"/>
        <w:rPr>
          <w:rFonts w:ascii="Arial" w:hAnsi="Arial" w:cs="Arial"/>
          <w:b/>
          <w:sz w:val="24"/>
          <w:szCs w:val="24"/>
          <w:lang w:val="es-ES_tradnl"/>
        </w:rPr>
      </w:pPr>
    </w:p>
    <w:p w:rsidR="00212F9C" w:rsidRDefault="00212F9C" w:rsidP="00212F9C">
      <w:pPr>
        <w:tabs>
          <w:tab w:val="center" w:pos="4253"/>
        </w:tabs>
        <w:suppressAutoHyphens/>
        <w:spacing w:after="0" w:line="240" w:lineRule="auto"/>
        <w:jc w:val="center"/>
        <w:rPr>
          <w:rFonts w:ascii="Arial" w:hAnsi="Arial" w:cs="Arial"/>
          <w:b/>
          <w:sz w:val="24"/>
          <w:szCs w:val="24"/>
          <w:lang w:val="en-US"/>
        </w:rPr>
      </w:pPr>
      <w:r w:rsidRPr="00212F9C">
        <w:rPr>
          <w:rFonts w:ascii="Arial" w:hAnsi="Arial" w:cs="Arial"/>
          <w:b/>
          <w:sz w:val="24"/>
          <w:szCs w:val="24"/>
          <w:lang w:val="en-US"/>
        </w:rPr>
        <w:t>(E. E. Nº</w:t>
      </w:r>
      <w:r w:rsidRPr="00212F9C">
        <w:rPr>
          <w:rFonts w:ascii="Arial" w:hAnsi="Arial" w:cs="Arial"/>
          <w:b/>
          <w:sz w:val="24"/>
          <w:szCs w:val="24"/>
        </w:rPr>
        <w:t>2018-17-1-0003460</w:t>
      </w:r>
      <w:r w:rsidRPr="00212F9C">
        <w:rPr>
          <w:rFonts w:ascii="Arial" w:hAnsi="Arial" w:cs="Arial"/>
          <w:b/>
          <w:sz w:val="24"/>
          <w:szCs w:val="24"/>
          <w:lang w:val="en-US"/>
        </w:rPr>
        <w:t xml:space="preserve">, </w:t>
      </w:r>
      <w:proofErr w:type="gramStart"/>
      <w:r w:rsidRPr="00212F9C">
        <w:rPr>
          <w:rFonts w:ascii="Arial" w:hAnsi="Arial" w:cs="Arial"/>
          <w:b/>
          <w:sz w:val="24"/>
          <w:szCs w:val="24"/>
          <w:lang w:val="en-US"/>
        </w:rPr>
        <w:t>Ent</w:t>
      </w:r>
      <w:proofErr w:type="gramEnd"/>
      <w:r w:rsidRPr="00212F9C">
        <w:rPr>
          <w:rFonts w:ascii="Arial" w:hAnsi="Arial" w:cs="Arial"/>
          <w:b/>
          <w:sz w:val="24"/>
          <w:szCs w:val="24"/>
          <w:lang w:val="en-US"/>
        </w:rPr>
        <w:t>. N°</w:t>
      </w:r>
      <w:r w:rsidRPr="00212F9C">
        <w:rPr>
          <w:rFonts w:ascii="Arial" w:hAnsi="Arial" w:cs="Arial"/>
          <w:b/>
          <w:sz w:val="24"/>
          <w:szCs w:val="24"/>
        </w:rPr>
        <w:t>2708/18</w:t>
      </w:r>
      <w:r>
        <w:rPr>
          <w:rFonts w:ascii="Arial" w:hAnsi="Arial" w:cs="Arial"/>
          <w:b/>
          <w:sz w:val="24"/>
          <w:szCs w:val="24"/>
          <w:lang w:val="en-US"/>
        </w:rPr>
        <w:t>)</w:t>
      </w:r>
    </w:p>
    <w:p w:rsidR="00212F9C" w:rsidRPr="00212F9C" w:rsidRDefault="00212F9C" w:rsidP="00212F9C">
      <w:pPr>
        <w:tabs>
          <w:tab w:val="center" w:pos="4253"/>
        </w:tabs>
        <w:suppressAutoHyphens/>
        <w:spacing w:after="0" w:line="240" w:lineRule="auto"/>
        <w:jc w:val="center"/>
        <w:rPr>
          <w:rFonts w:ascii="Arial" w:hAnsi="Arial" w:cs="Arial"/>
          <w:b/>
          <w:sz w:val="24"/>
          <w:szCs w:val="24"/>
          <w:lang w:val="en-US"/>
        </w:rPr>
      </w:pPr>
    </w:p>
    <w:p w:rsidR="00BF4120" w:rsidRDefault="00BF4120" w:rsidP="00212F9C">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las actuaciones remitidas por la Administración Nacional de las Usinas y Trasmisiones Eléctricas, relacionadas con la </w:t>
      </w:r>
      <w:r w:rsidRPr="00F96158">
        <w:rPr>
          <w:rFonts w:ascii="Arial" w:hAnsi="Arial" w:cs="Arial"/>
          <w:sz w:val="24"/>
          <w:szCs w:val="24"/>
        </w:rPr>
        <w:t xml:space="preserve">Licitación Pública </w:t>
      </w:r>
      <w:r w:rsidR="00212F9C">
        <w:rPr>
          <w:rFonts w:ascii="Arial" w:hAnsi="Arial" w:cs="Arial"/>
          <w:sz w:val="24"/>
          <w:szCs w:val="24"/>
        </w:rPr>
        <w:t xml:space="preserve">         </w:t>
      </w:r>
      <w:r w:rsidRPr="00F96158">
        <w:rPr>
          <w:rFonts w:ascii="Arial" w:hAnsi="Arial" w:cs="Arial"/>
          <w:sz w:val="24"/>
          <w:szCs w:val="24"/>
        </w:rPr>
        <w:t>N°</w:t>
      </w:r>
      <w:r w:rsidRPr="00602653">
        <w:rPr>
          <w:rFonts w:ascii="Arial" w:hAnsi="Arial" w:cs="Arial"/>
          <w:b/>
          <w:sz w:val="24"/>
          <w:szCs w:val="24"/>
        </w:rPr>
        <w:t xml:space="preserve"> </w:t>
      </w:r>
      <w:r>
        <w:rPr>
          <w:rFonts w:ascii="Arial" w:hAnsi="Arial" w:cs="Arial"/>
          <w:sz w:val="24"/>
          <w:szCs w:val="24"/>
        </w:rPr>
        <w:t>P50726, convocada para la ejecución de trabajos de remodelación y extensión de la red de distribución en BT y MT, en el ámbito de la Gerencia Centro;</w:t>
      </w:r>
    </w:p>
    <w:p w:rsidR="00BF4120" w:rsidRDefault="00BF4120" w:rsidP="00212F9C">
      <w:pPr>
        <w:spacing w:after="0" w:line="360" w:lineRule="auto"/>
        <w:ind w:firstLine="851"/>
        <w:jc w:val="both"/>
        <w:rPr>
          <w:rFonts w:ascii="Arial" w:hAnsi="Arial" w:cs="Arial"/>
          <w:sz w:val="24"/>
          <w:szCs w:val="24"/>
        </w:rPr>
      </w:pPr>
      <w:r w:rsidRPr="00F96158">
        <w:rPr>
          <w:rFonts w:ascii="Arial" w:hAnsi="Arial" w:cs="Arial"/>
          <w:b/>
          <w:sz w:val="24"/>
          <w:szCs w:val="24"/>
        </w:rPr>
        <w:t>RESULTANDO:</w:t>
      </w:r>
      <w:r>
        <w:rPr>
          <w:rFonts w:ascii="Arial" w:hAnsi="Arial" w:cs="Arial"/>
          <w:b/>
          <w:sz w:val="24"/>
          <w:szCs w:val="24"/>
        </w:rPr>
        <w:tab/>
        <w:t xml:space="preserve">1) </w:t>
      </w:r>
      <w:r>
        <w:rPr>
          <w:rFonts w:ascii="Arial" w:hAnsi="Arial" w:cs="Arial"/>
          <w:sz w:val="24"/>
          <w:szCs w:val="24"/>
        </w:rPr>
        <w:t xml:space="preserve">que aprobado el llamado y realizadas las publicaciones de estilo con antelación suficiente, con fecha 27.10.17 se procedió al acto de apertura de ofertas, recibiéndose las propuestas de: </w:t>
      </w:r>
      <w:proofErr w:type="spellStart"/>
      <w:r>
        <w:rPr>
          <w:rFonts w:ascii="Arial" w:hAnsi="Arial" w:cs="Arial"/>
          <w:sz w:val="24"/>
          <w:szCs w:val="24"/>
        </w:rPr>
        <w:t>Stiler</w:t>
      </w:r>
      <w:proofErr w:type="spellEnd"/>
      <w:r>
        <w:rPr>
          <w:rFonts w:ascii="Arial" w:hAnsi="Arial" w:cs="Arial"/>
          <w:sz w:val="24"/>
          <w:szCs w:val="24"/>
        </w:rPr>
        <w:t xml:space="preserve"> S.A, Candelas S.A, </w:t>
      </w:r>
      <w:proofErr w:type="spellStart"/>
      <w:r w:rsidRPr="00890F38">
        <w:rPr>
          <w:rFonts w:ascii="Arial" w:hAnsi="Arial" w:cs="Arial"/>
          <w:sz w:val="24"/>
          <w:szCs w:val="24"/>
        </w:rPr>
        <w:t>Saceem</w:t>
      </w:r>
      <w:proofErr w:type="spellEnd"/>
      <w:r>
        <w:rPr>
          <w:rFonts w:ascii="Arial" w:hAnsi="Arial" w:cs="Arial"/>
          <w:sz w:val="24"/>
          <w:szCs w:val="24"/>
        </w:rPr>
        <w:t xml:space="preserve">, </w:t>
      </w:r>
      <w:proofErr w:type="spellStart"/>
      <w:r w:rsidRPr="00890F38">
        <w:rPr>
          <w:rFonts w:ascii="Arial" w:hAnsi="Arial" w:cs="Arial"/>
          <w:sz w:val="24"/>
          <w:szCs w:val="24"/>
        </w:rPr>
        <w:t>Teyma</w:t>
      </w:r>
      <w:proofErr w:type="spellEnd"/>
      <w:r w:rsidRPr="00890F38">
        <w:rPr>
          <w:rFonts w:ascii="Arial" w:hAnsi="Arial" w:cs="Arial"/>
          <w:sz w:val="24"/>
          <w:szCs w:val="24"/>
        </w:rPr>
        <w:t xml:space="preserve"> Uruguay S.A</w:t>
      </w:r>
      <w:r>
        <w:rPr>
          <w:rFonts w:ascii="Arial" w:hAnsi="Arial" w:cs="Arial"/>
          <w:sz w:val="24"/>
          <w:szCs w:val="24"/>
        </w:rPr>
        <w:t xml:space="preserve">, </w:t>
      </w:r>
      <w:r w:rsidRPr="0043364F">
        <w:rPr>
          <w:rFonts w:ascii="Arial" w:hAnsi="Arial" w:cs="Arial"/>
          <w:sz w:val="24"/>
          <w:szCs w:val="24"/>
        </w:rPr>
        <w:t>Compañía Electrotécnica Industrial</w:t>
      </w:r>
      <w:r>
        <w:rPr>
          <w:rFonts w:ascii="Arial" w:hAnsi="Arial" w:cs="Arial"/>
          <w:sz w:val="24"/>
          <w:szCs w:val="24"/>
        </w:rPr>
        <w:t xml:space="preserve"> S.R.L, </w:t>
      </w:r>
      <w:proofErr w:type="spellStart"/>
      <w:r>
        <w:rPr>
          <w:rFonts w:ascii="Arial" w:hAnsi="Arial" w:cs="Arial"/>
          <w:sz w:val="24"/>
          <w:szCs w:val="24"/>
        </w:rPr>
        <w:t>Berkes</w:t>
      </w:r>
      <w:proofErr w:type="spellEnd"/>
      <w:r>
        <w:rPr>
          <w:rFonts w:ascii="Arial" w:hAnsi="Arial" w:cs="Arial"/>
          <w:sz w:val="24"/>
          <w:szCs w:val="24"/>
        </w:rPr>
        <w:t xml:space="preserve"> Construcción y Montajes S.A, Proyección </w:t>
      </w:r>
      <w:proofErr w:type="spellStart"/>
      <w:r>
        <w:rPr>
          <w:rFonts w:ascii="Arial" w:hAnsi="Arial" w:cs="Arial"/>
          <w:sz w:val="24"/>
          <w:szCs w:val="24"/>
        </w:rPr>
        <w:t>Electroluz</w:t>
      </w:r>
      <w:proofErr w:type="spellEnd"/>
      <w:r>
        <w:rPr>
          <w:rFonts w:ascii="Arial" w:hAnsi="Arial" w:cs="Arial"/>
          <w:sz w:val="24"/>
          <w:szCs w:val="24"/>
        </w:rPr>
        <w:t xml:space="preserve"> Uruguay S.A, Electricidad Durazno S.R.L, </w:t>
      </w:r>
      <w:proofErr w:type="spellStart"/>
      <w:r>
        <w:rPr>
          <w:rFonts w:ascii="Arial" w:hAnsi="Arial" w:cs="Arial"/>
          <w:sz w:val="24"/>
          <w:szCs w:val="24"/>
        </w:rPr>
        <w:t>Clauger</w:t>
      </w:r>
      <w:proofErr w:type="spellEnd"/>
      <w:r>
        <w:rPr>
          <w:rFonts w:ascii="Arial" w:hAnsi="Arial" w:cs="Arial"/>
          <w:sz w:val="24"/>
          <w:szCs w:val="24"/>
        </w:rPr>
        <w:t xml:space="preserve"> S.A, Río Golf S.A, Servicios de Ingeniería Eléctrica Uruguay S.A, </w:t>
      </w:r>
      <w:proofErr w:type="spellStart"/>
      <w:r>
        <w:rPr>
          <w:rFonts w:ascii="Arial" w:hAnsi="Arial" w:cs="Arial"/>
          <w:sz w:val="24"/>
          <w:szCs w:val="24"/>
        </w:rPr>
        <w:t>Oritecno</w:t>
      </w:r>
      <w:proofErr w:type="spellEnd"/>
      <w:r>
        <w:rPr>
          <w:rFonts w:ascii="Arial" w:hAnsi="Arial" w:cs="Arial"/>
          <w:sz w:val="24"/>
          <w:szCs w:val="24"/>
        </w:rPr>
        <w:t xml:space="preserve"> S.A, Unión Eléctrica S.A y </w:t>
      </w:r>
      <w:proofErr w:type="spellStart"/>
      <w:r>
        <w:rPr>
          <w:rFonts w:ascii="Arial" w:hAnsi="Arial" w:cs="Arial"/>
          <w:sz w:val="24"/>
          <w:szCs w:val="24"/>
        </w:rPr>
        <w:t>Montelecnor</w:t>
      </w:r>
      <w:proofErr w:type="spellEnd"/>
      <w:r>
        <w:rPr>
          <w:rFonts w:ascii="Arial" w:hAnsi="Arial" w:cs="Arial"/>
          <w:sz w:val="24"/>
          <w:szCs w:val="24"/>
        </w:rPr>
        <w:t xml:space="preserve"> S.A;</w:t>
      </w:r>
    </w:p>
    <w:p w:rsidR="00BF4120" w:rsidRDefault="00BF4120" w:rsidP="00212F9C">
      <w:pPr>
        <w:spacing w:after="0" w:line="360" w:lineRule="auto"/>
        <w:ind w:firstLine="2835"/>
        <w:jc w:val="both"/>
        <w:rPr>
          <w:rFonts w:ascii="Arial" w:hAnsi="Arial" w:cs="Arial"/>
          <w:sz w:val="24"/>
          <w:szCs w:val="24"/>
        </w:rPr>
      </w:pPr>
      <w:r w:rsidRPr="009C7006">
        <w:rPr>
          <w:rFonts w:ascii="Arial" w:hAnsi="Arial" w:cs="Arial"/>
          <w:b/>
          <w:sz w:val="24"/>
          <w:szCs w:val="24"/>
        </w:rPr>
        <w:t xml:space="preserve">2) </w:t>
      </w:r>
      <w:r>
        <w:rPr>
          <w:rFonts w:ascii="Arial" w:hAnsi="Arial" w:cs="Arial"/>
          <w:sz w:val="24"/>
          <w:szCs w:val="24"/>
        </w:rPr>
        <w:t xml:space="preserve">que con fecha 04.12.17, la Administración solicitó a </w:t>
      </w:r>
      <w:proofErr w:type="spellStart"/>
      <w:r>
        <w:rPr>
          <w:rFonts w:ascii="Arial" w:hAnsi="Arial" w:cs="Arial"/>
          <w:sz w:val="24"/>
          <w:szCs w:val="24"/>
        </w:rPr>
        <w:t>Berkes</w:t>
      </w:r>
      <w:proofErr w:type="spellEnd"/>
      <w:r>
        <w:rPr>
          <w:rFonts w:ascii="Arial" w:hAnsi="Arial" w:cs="Arial"/>
          <w:sz w:val="24"/>
          <w:szCs w:val="24"/>
        </w:rPr>
        <w:t xml:space="preserve"> Construcción y Montajes S.A, </w:t>
      </w:r>
      <w:proofErr w:type="spellStart"/>
      <w:r>
        <w:rPr>
          <w:rFonts w:ascii="Arial" w:hAnsi="Arial" w:cs="Arial"/>
          <w:sz w:val="24"/>
          <w:szCs w:val="24"/>
        </w:rPr>
        <w:t>Saceem</w:t>
      </w:r>
      <w:proofErr w:type="spellEnd"/>
      <w:r>
        <w:rPr>
          <w:rFonts w:ascii="Arial" w:hAnsi="Arial" w:cs="Arial"/>
          <w:sz w:val="24"/>
          <w:szCs w:val="24"/>
        </w:rPr>
        <w:t xml:space="preserve"> y </w:t>
      </w:r>
      <w:proofErr w:type="spellStart"/>
      <w:r>
        <w:rPr>
          <w:rFonts w:ascii="Arial" w:hAnsi="Arial" w:cs="Arial"/>
          <w:sz w:val="24"/>
          <w:szCs w:val="24"/>
        </w:rPr>
        <w:t>Montelecnor</w:t>
      </w:r>
      <w:proofErr w:type="spellEnd"/>
      <w:r>
        <w:rPr>
          <w:rFonts w:ascii="Arial" w:hAnsi="Arial" w:cs="Arial"/>
          <w:sz w:val="24"/>
          <w:szCs w:val="24"/>
        </w:rPr>
        <w:t xml:space="preserve"> S.A, la presentación de información complementaria, al amparo de lo dispuesto en el artículo 65 del TOCAF, otorgándoles un plazo de dos días hábiles a tales efectos y dichos oferentes presentaron documentación dentro del término estipulado; </w:t>
      </w:r>
    </w:p>
    <w:p w:rsidR="00BF4120" w:rsidRDefault="00BF4120" w:rsidP="00212F9C">
      <w:pPr>
        <w:spacing w:after="0" w:line="360" w:lineRule="auto"/>
        <w:ind w:firstLine="2694"/>
        <w:jc w:val="both"/>
        <w:rPr>
          <w:rFonts w:ascii="Arial" w:hAnsi="Arial" w:cs="Arial"/>
          <w:sz w:val="24"/>
          <w:szCs w:val="24"/>
        </w:rPr>
      </w:pPr>
      <w:r w:rsidRPr="00855EFD">
        <w:rPr>
          <w:rFonts w:ascii="Arial" w:hAnsi="Arial" w:cs="Arial"/>
          <w:b/>
          <w:sz w:val="24"/>
          <w:szCs w:val="24"/>
        </w:rPr>
        <w:t xml:space="preserve">3) </w:t>
      </w:r>
      <w:r w:rsidRPr="00855EFD">
        <w:rPr>
          <w:rFonts w:ascii="Arial" w:hAnsi="Arial" w:cs="Arial"/>
          <w:sz w:val="24"/>
          <w:szCs w:val="24"/>
        </w:rPr>
        <w:t>que</w:t>
      </w:r>
      <w:r>
        <w:rPr>
          <w:rFonts w:ascii="Arial" w:hAnsi="Arial" w:cs="Arial"/>
          <w:b/>
          <w:sz w:val="24"/>
          <w:szCs w:val="24"/>
        </w:rPr>
        <w:t xml:space="preserve"> </w:t>
      </w:r>
      <w:r w:rsidRPr="00855EFD">
        <w:rPr>
          <w:rFonts w:ascii="Arial" w:hAnsi="Arial" w:cs="Arial"/>
          <w:sz w:val="24"/>
          <w:szCs w:val="24"/>
        </w:rPr>
        <w:t>c</w:t>
      </w:r>
      <w:r>
        <w:rPr>
          <w:rFonts w:ascii="Arial" w:hAnsi="Arial" w:cs="Arial"/>
          <w:sz w:val="24"/>
          <w:szCs w:val="24"/>
        </w:rPr>
        <w:t xml:space="preserve">on fecha 22.02.18, la Sub Gerencia de Compras y Contrataciones solicitó nuevamente a </w:t>
      </w:r>
      <w:proofErr w:type="spellStart"/>
      <w:r>
        <w:rPr>
          <w:rFonts w:ascii="Arial" w:hAnsi="Arial" w:cs="Arial"/>
          <w:sz w:val="24"/>
          <w:szCs w:val="24"/>
        </w:rPr>
        <w:t>Berkes</w:t>
      </w:r>
      <w:proofErr w:type="spellEnd"/>
      <w:r>
        <w:rPr>
          <w:rFonts w:ascii="Arial" w:hAnsi="Arial" w:cs="Arial"/>
          <w:sz w:val="24"/>
          <w:szCs w:val="24"/>
        </w:rPr>
        <w:t xml:space="preserve"> Construcción y Montajes que acreditara la experiencia declarada, en particular respecto de AC Constructora S.A, otorgando un plazo de 2 días hábiles a tales efectos, en </w:t>
      </w:r>
      <w:r>
        <w:rPr>
          <w:rFonts w:ascii="Arial" w:hAnsi="Arial" w:cs="Arial"/>
          <w:sz w:val="24"/>
          <w:szCs w:val="24"/>
        </w:rPr>
        <w:lastRenderedPageBreak/>
        <w:t>virtud de lo dispuesto en el artículo 66 del TOCAF y la referida firma presentó documentación dentro del plazo estipulado;</w:t>
      </w:r>
    </w:p>
    <w:p w:rsidR="00BF4120" w:rsidRDefault="00BF4120" w:rsidP="00212F9C">
      <w:pPr>
        <w:spacing w:after="0" w:line="360" w:lineRule="auto"/>
        <w:ind w:firstLine="2694"/>
        <w:jc w:val="both"/>
        <w:rPr>
          <w:rFonts w:ascii="Arial" w:hAnsi="Arial" w:cs="Arial"/>
          <w:sz w:val="24"/>
          <w:szCs w:val="24"/>
        </w:rPr>
      </w:pPr>
      <w:r w:rsidRPr="00437FA3">
        <w:rPr>
          <w:rFonts w:ascii="Arial" w:hAnsi="Arial" w:cs="Arial"/>
          <w:b/>
          <w:sz w:val="24"/>
          <w:szCs w:val="24"/>
        </w:rPr>
        <w:t>4)</w:t>
      </w:r>
      <w:r>
        <w:rPr>
          <w:rFonts w:ascii="Arial" w:hAnsi="Arial" w:cs="Arial"/>
          <w:b/>
          <w:sz w:val="24"/>
          <w:szCs w:val="24"/>
        </w:rPr>
        <w:t xml:space="preserve"> </w:t>
      </w:r>
      <w:r>
        <w:rPr>
          <w:rFonts w:ascii="Arial" w:hAnsi="Arial" w:cs="Arial"/>
          <w:sz w:val="24"/>
          <w:szCs w:val="24"/>
        </w:rPr>
        <w:t xml:space="preserve">que con fecha 09.03.18, la </w:t>
      </w:r>
      <w:r w:rsidRPr="00437FA3">
        <w:rPr>
          <w:rFonts w:ascii="Arial" w:hAnsi="Arial" w:cs="Arial"/>
          <w:sz w:val="24"/>
          <w:szCs w:val="24"/>
        </w:rPr>
        <w:t>Comisión Asesora de Adjudicaciones elaboró un informe de precalificación de ofertas estableciendo que</w:t>
      </w:r>
      <w:r>
        <w:rPr>
          <w:rFonts w:ascii="Arial" w:hAnsi="Arial" w:cs="Arial"/>
          <w:sz w:val="24"/>
          <w:szCs w:val="24"/>
        </w:rPr>
        <w:t>:</w:t>
      </w:r>
    </w:p>
    <w:p w:rsidR="00BF4120" w:rsidRDefault="00BF4120" w:rsidP="00212F9C">
      <w:pPr>
        <w:spacing w:after="0" w:line="360" w:lineRule="auto"/>
        <w:jc w:val="both"/>
        <w:rPr>
          <w:rFonts w:ascii="Arial" w:hAnsi="Arial" w:cs="Arial"/>
          <w:sz w:val="24"/>
          <w:szCs w:val="24"/>
        </w:rPr>
      </w:pPr>
      <w:r w:rsidRPr="00437FA3">
        <w:rPr>
          <w:rFonts w:ascii="Arial" w:hAnsi="Arial" w:cs="Arial"/>
          <w:b/>
          <w:sz w:val="24"/>
          <w:szCs w:val="24"/>
        </w:rPr>
        <w:t>4.1)</w:t>
      </w:r>
      <w:r>
        <w:rPr>
          <w:rFonts w:ascii="Arial" w:hAnsi="Arial" w:cs="Arial"/>
          <w:sz w:val="24"/>
          <w:szCs w:val="24"/>
        </w:rPr>
        <w:t xml:space="preserve"> habiéndose solicitado información a </w:t>
      </w:r>
      <w:proofErr w:type="spellStart"/>
      <w:r>
        <w:rPr>
          <w:rFonts w:ascii="Arial" w:hAnsi="Arial" w:cs="Arial"/>
          <w:sz w:val="24"/>
          <w:szCs w:val="24"/>
        </w:rPr>
        <w:t>Berkes</w:t>
      </w:r>
      <w:proofErr w:type="spellEnd"/>
      <w:r>
        <w:rPr>
          <w:rFonts w:ascii="Arial" w:hAnsi="Arial" w:cs="Arial"/>
          <w:sz w:val="24"/>
          <w:szCs w:val="24"/>
        </w:rPr>
        <w:t xml:space="preserve"> Construcción y Montajes S.A con fechas 05.12.17 y 22.02.18, del estudio de la documentación presentada se concluye que el personal técnico de la empresa no cumple con la experiencia solicitada en el Pliego de Condiciones Particulares, por lo que su oferta fue descartada; </w:t>
      </w:r>
    </w:p>
    <w:p w:rsidR="00BF4120" w:rsidRDefault="00BF4120" w:rsidP="00212F9C">
      <w:pPr>
        <w:spacing w:after="0" w:line="360" w:lineRule="auto"/>
        <w:jc w:val="both"/>
        <w:rPr>
          <w:rFonts w:ascii="Arial" w:hAnsi="Arial" w:cs="Arial"/>
          <w:sz w:val="24"/>
          <w:szCs w:val="24"/>
        </w:rPr>
      </w:pPr>
      <w:r w:rsidRPr="00D669F3">
        <w:rPr>
          <w:rFonts w:ascii="Arial" w:hAnsi="Arial" w:cs="Arial"/>
          <w:b/>
          <w:sz w:val="24"/>
          <w:szCs w:val="24"/>
        </w:rPr>
        <w:t xml:space="preserve">4.2) </w:t>
      </w:r>
      <w:r w:rsidRPr="00D669F3">
        <w:rPr>
          <w:rFonts w:ascii="Arial" w:hAnsi="Arial" w:cs="Arial"/>
          <w:sz w:val="24"/>
          <w:szCs w:val="24"/>
        </w:rPr>
        <w:t>res</w:t>
      </w:r>
      <w:r>
        <w:rPr>
          <w:rFonts w:ascii="Arial" w:hAnsi="Arial" w:cs="Arial"/>
          <w:sz w:val="24"/>
          <w:szCs w:val="24"/>
        </w:rPr>
        <w:t xml:space="preserve">pecto de la propuesta presentada por </w:t>
      </w:r>
      <w:proofErr w:type="spellStart"/>
      <w:r>
        <w:rPr>
          <w:rFonts w:ascii="Arial" w:hAnsi="Arial" w:cs="Arial"/>
          <w:sz w:val="24"/>
          <w:szCs w:val="24"/>
        </w:rPr>
        <w:t>Saceem</w:t>
      </w:r>
      <w:proofErr w:type="spellEnd"/>
      <w:r>
        <w:rPr>
          <w:rFonts w:ascii="Arial" w:hAnsi="Arial" w:cs="Arial"/>
          <w:sz w:val="24"/>
          <w:szCs w:val="24"/>
        </w:rPr>
        <w:t>, habiéndose solicitado información complementaria con fecha 05.12.17 acerca de la experiencia del personal técnico propuesto, la misma también fue descartada;</w:t>
      </w:r>
    </w:p>
    <w:p w:rsidR="00212F9C" w:rsidRDefault="00BF4120" w:rsidP="00212F9C">
      <w:pPr>
        <w:spacing w:after="0" w:line="360" w:lineRule="auto"/>
        <w:jc w:val="both"/>
        <w:rPr>
          <w:rFonts w:ascii="Arial" w:hAnsi="Arial" w:cs="Arial"/>
          <w:sz w:val="24"/>
          <w:szCs w:val="24"/>
        </w:rPr>
      </w:pPr>
      <w:r w:rsidRPr="00D669F3">
        <w:rPr>
          <w:rFonts w:ascii="Arial" w:hAnsi="Arial" w:cs="Arial"/>
          <w:b/>
          <w:sz w:val="24"/>
          <w:szCs w:val="24"/>
        </w:rPr>
        <w:t>4.3)</w:t>
      </w:r>
      <w:r>
        <w:rPr>
          <w:rFonts w:ascii="Arial" w:hAnsi="Arial" w:cs="Arial"/>
          <w:sz w:val="24"/>
          <w:szCs w:val="24"/>
        </w:rPr>
        <w:t xml:space="preserve"> con las restantes ofertas, consideradas admisibles, se procedió a realizar un cuadro creciente de precios del que surge que las presentadas por </w:t>
      </w:r>
      <w:proofErr w:type="spellStart"/>
      <w:r>
        <w:rPr>
          <w:rFonts w:ascii="Arial" w:hAnsi="Arial" w:cs="Arial"/>
          <w:sz w:val="24"/>
          <w:szCs w:val="24"/>
        </w:rPr>
        <w:t>Montelecnor</w:t>
      </w:r>
      <w:proofErr w:type="spellEnd"/>
      <w:r>
        <w:rPr>
          <w:rFonts w:ascii="Arial" w:hAnsi="Arial" w:cs="Arial"/>
          <w:sz w:val="24"/>
          <w:szCs w:val="24"/>
        </w:rPr>
        <w:t xml:space="preserve"> S.A y </w:t>
      </w:r>
      <w:proofErr w:type="spellStart"/>
      <w:r>
        <w:rPr>
          <w:rFonts w:ascii="Arial" w:hAnsi="Arial" w:cs="Arial"/>
          <w:sz w:val="24"/>
          <w:szCs w:val="24"/>
        </w:rPr>
        <w:t>Stiler</w:t>
      </w:r>
      <w:proofErr w:type="spellEnd"/>
      <w:r>
        <w:rPr>
          <w:rFonts w:ascii="Arial" w:hAnsi="Arial" w:cs="Arial"/>
          <w:sz w:val="24"/>
          <w:szCs w:val="24"/>
        </w:rPr>
        <w:t xml:space="preserve"> S.A cumplen con las especificaciones del Pliego de Condiciones Particulares y, siendo las de menor precio, se encuentran en el entorno del 5%;</w:t>
      </w:r>
    </w:p>
    <w:p w:rsidR="00212F9C" w:rsidRDefault="00BF4120" w:rsidP="00212F9C">
      <w:pPr>
        <w:spacing w:after="0" w:line="360" w:lineRule="auto"/>
        <w:ind w:firstLine="2694"/>
        <w:jc w:val="both"/>
        <w:rPr>
          <w:rFonts w:ascii="Arial" w:hAnsi="Arial" w:cs="Arial"/>
          <w:sz w:val="24"/>
          <w:szCs w:val="24"/>
        </w:rPr>
      </w:pPr>
      <w:r w:rsidRPr="00D669F3">
        <w:rPr>
          <w:rFonts w:ascii="Arial" w:hAnsi="Arial" w:cs="Arial"/>
          <w:b/>
          <w:sz w:val="24"/>
          <w:szCs w:val="24"/>
        </w:rPr>
        <w:t xml:space="preserve">5) </w:t>
      </w:r>
      <w:r w:rsidRPr="00B413B3">
        <w:rPr>
          <w:rFonts w:ascii="Arial" w:hAnsi="Arial" w:cs="Arial"/>
          <w:sz w:val="24"/>
          <w:szCs w:val="24"/>
        </w:rPr>
        <w:t>que los</w:t>
      </w:r>
      <w:r>
        <w:rPr>
          <w:rFonts w:ascii="Arial" w:hAnsi="Arial" w:cs="Arial"/>
          <w:sz w:val="24"/>
          <w:szCs w:val="24"/>
        </w:rPr>
        <w:t xml:space="preserve"> referidos</w:t>
      </w:r>
      <w:r w:rsidRPr="000D3B1D">
        <w:rPr>
          <w:rFonts w:ascii="Arial" w:hAnsi="Arial" w:cs="Arial"/>
          <w:sz w:val="24"/>
          <w:szCs w:val="24"/>
        </w:rPr>
        <w:t xml:space="preserve"> oferentes </w:t>
      </w:r>
      <w:r>
        <w:rPr>
          <w:rFonts w:ascii="Arial" w:hAnsi="Arial" w:cs="Arial"/>
          <w:sz w:val="24"/>
          <w:szCs w:val="24"/>
        </w:rPr>
        <w:t xml:space="preserve">fueron convocados a mejorar sus ofertas para el 14.03.18, al amparo de lo dispuesto en el artículo 66 del TOCAF y se constató que </w:t>
      </w:r>
      <w:proofErr w:type="spellStart"/>
      <w:r>
        <w:rPr>
          <w:rFonts w:ascii="Arial" w:hAnsi="Arial" w:cs="Arial"/>
          <w:sz w:val="24"/>
          <w:szCs w:val="24"/>
        </w:rPr>
        <w:t>Stiler</w:t>
      </w:r>
      <w:proofErr w:type="spellEnd"/>
      <w:r>
        <w:rPr>
          <w:rFonts w:ascii="Arial" w:hAnsi="Arial" w:cs="Arial"/>
          <w:sz w:val="24"/>
          <w:szCs w:val="24"/>
        </w:rPr>
        <w:t xml:space="preserve"> S.A no se presentó a la mejora ni remitió su propuesta, en tanto </w:t>
      </w:r>
      <w:proofErr w:type="spellStart"/>
      <w:r>
        <w:rPr>
          <w:rFonts w:ascii="Arial" w:hAnsi="Arial" w:cs="Arial"/>
          <w:sz w:val="24"/>
          <w:szCs w:val="24"/>
        </w:rPr>
        <w:t>Montelecrnor</w:t>
      </w:r>
      <w:proofErr w:type="spellEnd"/>
      <w:r>
        <w:rPr>
          <w:rFonts w:ascii="Arial" w:hAnsi="Arial" w:cs="Arial"/>
          <w:sz w:val="24"/>
          <w:szCs w:val="24"/>
        </w:rPr>
        <w:t xml:space="preserve"> S.A manifestó que no puede mejorar el precio ofertado, ratificando su oferta original;</w:t>
      </w:r>
    </w:p>
    <w:p w:rsidR="00212F9C" w:rsidRDefault="00BF4120" w:rsidP="00212F9C">
      <w:pPr>
        <w:spacing w:after="0" w:line="360" w:lineRule="auto"/>
        <w:ind w:firstLine="2694"/>
        <w:jc w:val="both"/>
        <w:rPr>
          <w:rFonts w:ascii="Arial" w:hAnsi="Arial" w:cs="Arial"/>
          <w:sz w:val="24"/>
          <w:szCs w:val="24"/>
        </w:rPr>
      </w:pPr>
      <w:r w:rsidRPr="00B413B3">
        <w:rPr>
          <w:rFonts w:ascii="Arial" w:hAnsi="Arial" w:cs="Arial"/>
          <w:b/>
          <w:sz w:val="24"/>
          <w:szCs w:val="24"/>
        </w:rPr>
        <w:t>6)</w:t>
      </w:r>
      <w:r>
        <w:rPr>
          <w:rFonts w:ascii="Arial" w:hAnsi="Arial" w:cs="Arial"/>
          <w:b/>
          <w:sz w:val="24"/>
          <w:szCs w:val="24"/>
        </w:rPr>
        <w:t xml:space="preserve"> </w:t>
      </w:r>
      <w:r>
        <w:rPr>
          <w:rFonts w:ascii="Arial" w:hAnsi="Arial" w:cs="Arial"/>
          <w:sz w:val="24"/>
          <w:szCs w:val="24"/>
        </w:rPr>
        <w:t>que con fecha 20.03.18</w:t>
      </w:r>
      <w:r w:rsidRPr="00833CB9">
        <w:rPr>
          <w:rFonts w:ascii="Arial" w:hAnsi="Arial" w:cs="Arial"/>
          <w:sz w:val="24"/>
          <w:szCs w:val="24"/>
        </w:rPr>
        <w:t>, la Com</w:t>
      </w:r>
      <w:r>
        <w:rPr>
          <w:rFonts w:ascii="Arial" w:hAnsi="Arial" w:cs="Arial"/>
          <w:sz w:val="24"/>
          <w:szCs w:val="24"/>
        </w:rPr>
        <w:t xml:space="preserve">isión Asesora de Adjudicaciones elaboró un nuevo informe manteniendo el orden de precios ya expresado, en tanto ninguna de las firmas mejoró su oferta, concluyendo que la presentada por </w:t>
      </w:r>
      <w:proofErr w:type="spellStart"/>
      <w:r>
        <w:rPr>
          <w:rFonts w:ascii="Arial" w:hAnsi="Arial" w:cs="Arial"/>
          <w:sz w:val="24"/>
          <w:szCs w:val="24"/>
        </w:rPr>
        <w:t>Montelecnor</w:t>
      </w:r>
      <w:proofErr w:type="spellEnd"/>
      <w:r>
        <w:rPr>
          <w:rFonts w:ascii="Arial" w:hAnsi="Arial" w:cs="Arial"/>
          <w:sz w:val="24"/>
          <w:szCs w:val="24"/>
        </w:rPr>
        <w:t xml:space="preserve"> S.A se ajusta sustancialmente a las especificaciones del Pliego de Condiciones Particulares, constituyendo una oferta admisible y, por encontrarse en el primer lugar del orden de precios, es la más conveniente, por lo que propuso la adjudicación en su favor, por los </w:t>
      </w:r>
      <w:r>
        <w:rPr>
          <w:rFonts w:ascii="Arial" w:hAnsi="Arial" w:cs="Arial"/>
          <w:sz w:val="24"/>
          <w:szCs w:val="24"/>
        </w:rPr>
        <w:lastRenderedPageBreak/>
        <w:t xml:space="preserve">montos de: </w:t>
      </w:r>
      <w:r w:rsidRPr="00A435A5">
        <w:rPr>
          <w:rFonts w:ascii="Arial" w:hAnsi="Arial" w:cs="Arial"/>
          <w:sz w:val="24"/>
          <w:szCs w:val="24"/>
        </w:rPr>
        <w:t>$136:800.000 por concepto de montaje y materiales, $20:520.000 por concepto de imprevistos y $48:748.500 por previsión de ajuste de precios</w:t>
      </w:r>
      <w:r>
        <w:rPr>
          <w:rFonts w:ascii="Arial" w:hAnsi="Arial" w:cs="Arial"/>
          <w:sz w:val="24"/>
          <w:szCs w:val="24"/>
        </w:rPr>
        <w:t xml:space="preserve">, lo que suma un total de </w:t>
      </w:r>
      <w:r w:rsidRPr="00A435A5">
        <w:rPr>
          <w:rFonts w:ascii="Arial" w:hAnsi="Arial" w:cs="Arial"/>
          <w:sz w:val="24"/>
          <w:szCs w:val="24"/>
        </w:rPr>
        <w:t>$206:068.500</w:t>
      </w:r>
      <w:r>
        <w:rPr>
          <w:rFonts w:ascii="Arial" w:hAnsi="Arial" w:cs="Arial"/>
          <w:sz w:val="24"/>
          <w:szCs w:val="24"/>
        </w:rPr>
        <w:t xml:space="preserve">, -todos los montos expresados </w:t>
      </w:r>
      <w:r w:rsidRPr="00A435A5">
        <w:rPr>
          <w:rFonts w:ascii="Arial" w:hAnsi="Arial" w:cs="Arial"/>
          <w:sz w:val="24"/>
          <w:szCs w:val="24"/>
        </w:rPr>
        <w:t xml:space="preserve">con </w:t>
      </w:r>
      <w:r>
        <w:rPr>
          <w:rFonts w:ascii="Arial" w:hAnsi="Arial" w:cs="Arial"/>
          <w:sz w:val="24"/>
          <w:szCs w:val="24"/>
        </w:rPr>
        <w:t>cargas sociales e IVA incluidos-, por un plazo de ejecución de los trabajos de 24 meses o hasta finalizar alguno de estos montos: montaje o cargas sociales, contados a partir del perfeccionamiento del contrato, de acuerdo a lo establecido en el numeral 8 del Volumen VI del Pliego de Condiciones Particulares;</w:t>
      </w:r>
    </w:p>
    <w:p w:rsidR="00212F9C" w:rsidRDefault="00BF4120" w:rsidP="00212F9C">
      <w:pPr>
        <w:spacing w:after="0" w:line="360" w:lineRule="auto"/>
        <w:ind w:firstLine="2694"/>
        <w:jc w:val="both"/>
        <w:rPr>
          <w:rFonts w:ascii="Arial" w:hAnsi="Arial" w:cs="Arial"/>
          <w:sz w:val="24"/>
          <w:szCs w:val="24"/>
        </w:rPr>
      </w:pPr>
      <w:r w:rsidRPr="00A435A5">
        <w:rPr>
          <w:rFonts w:ascii="Arial" w:hAnsi="Arial" w:cs="Arial"/>
          <w:b/>
          <w:sz w:val="24"/>
          <w:szCs w:val="24"/>
        </w:rPr>
        <w:t xml:space="preserve">7) </w:t>
      </w:r>
      <w:r>
        <w:rPr>
          <w:rFonts w:ascii="Arial" w:hAnsi="Arial" w:cs="Arial"/>
          <w:sz w:val="24"/>
          <w:szCs w:val="24"/>
        </w:rPr>
        <w:t>que con fecha 21.03.18, el Departamen</w:t>
      </w:r>
      <w:r w:rsidRPr="00A435A5">
        <w:rPr>
          <w:rFonts w:ascii="Arial" w:hAnsi="Arial" w:cs="Arial"/>
          <w:sz w:val="24"/>
          <w:szCs w:val="24"/>
        </w:rPr>
        <w:t>to de Registro y Control Presupuestal</w:t>
      </w:r>
      <w:r>
        <w:rPr>
          <w:rFonts w:ascii="Arial" w:hAnsi="Arial" w:cs="Arial"/>
          <w:sz w:val="24"/>
          <w:szCs w:val="24"/>
        </w:rPr>
        <w:t xml:space="preserve"> informó que, de acuerdo a las asignaciones aprobadas según Decreto 017/2018 de fecha 19.01.18 para el Presupuesto 2018 a precios promedio enero-junio 2017, el Grupo 3 ha sido imputado sin disponibilidad presupuestal suficiente para comprometer el monto de $38:362.500 (neto de impuestos) en el Ejercicio 2018, agregando que ha sido imputado con disponibilidad presupuestal suficiente el Grupo 3 para incorporar y comprometer el importe de $138:105.000 en el Ejercicio 2019 y siguientes;</w:t>
      </w:r>
    </w:p>
    <w:p w:rsidR="00BF4120" w:rsidRDefault="00BF4120" w:rsidP="00212F9C">
      <w:pPr>
        <w:spacing w:after="0" w:line="360" w:lineRule="auto"/>
        <w:ind w:firstLine="2694"/>
        <w:jc w:val="both"/>
        <w:rPr>
          <w:rFonts w:ascii="Arial" w:hAnsi="Arial" w:cs="Arial"/>
          <w:sz w:val="24"/>
          <w:szCs w:val="24"/>
        </w:rPr>
      </w:pPr>
      <w:r w:rsidRPr="006C204E">
        <w:rPr>
          <w:rFonts w:ascii="Arial" w:hAnsi="Arial" w:cs="Arial"/>
          <w:b/>
          <w:sz w:val="24"/>
          <w:szCs w:val="24"/>
        </w:rPr>
        <w:t>8)</w:t>
      </w:r>
      <w:r>
        <w:rPr>
          <w:rFonts w:ascii="Arial" w:hAnsi="Arial" w:cs="Arial"/>
          <w:sz w:val="24"/>
          <w:szCs w:val="24"/>
        </w:rPr>
        <w:t xml:space="preserve"> que por Resolución G.G N° 28/18 de fecha 16.05.18, el Gerente General, en uso de atribuciones delegadas por Resolución de Directorio R.11.-1990 de fecha 22.12.11, dispuso la adjudicación, ad-referéndum de la intervención preventiva de legalidad de este Tribunal, a </w:t>
      </w:r>
      <w:proofErr w:type="spellStart"/>
      <w:r>
        <w:rPr>
          <w:rFonts w:ascii="Arial" w:hAnsi="Arial" w:cs="Arial"/>
          <w:sz w:val="24"/>
          <w:szCs w:val="24"/>
        </w:rPr>
        <w:t>Montelecnor</w:t>
      </w:r>
      <w:proofErr w:type="spellEnd"/>
      <w:r>
        <w:rPr>
          <w:rFonts w:ascii="Arial" w:hAnsi="Arial" w:cs="Arial"/>
          <w:sz w:val="24"/>
          <w:szCs w:val="24"/>
        </w:rPr>
        <w:t xml:space="preserve"> S.A, de acuerdo a lo sugerido por la Comisión Asesora;</w:t>
      </w:r>
    </w:p>
    <w:p w:rsidR="00BF4120" w:rsidRDefault="00BF4120" w:rsidP="00212F9C">
      <w:pPr>
        <w:spacing w:after="0" w:line="360" w:lineRule="auto"/>
        <w:ind w:firstLine="851"/>
        <w:jc w:val="both"/>
        <w:rPr>
          <w:rFonts w:ascii="Arial" w:hAnsi="Arial" w:cs="Arial"/>
          <w:sz w:val="24"/>
          <w:szCs w:val="24"/>
        </w:rPr>
      </w:pPr>
      <w:r w:rsidRPr="0042455B">
        <w:rPr>
          <w:rFonts w:ascii="Arial" w:hAnsi="Arial" w:cs="Arial"/>
          <w:b/>
          <w:sz w:val="24"/>
          <w:szCs w:val="24"/>
        </w:rPr>
        <w:t>CONSIDERANDO:</w:t>
      </w:r>
      <w:r w:rsidR="00212F9C" w:rsidRPr="0042455B">
        <w:rPr>
          <w:rFonts w:ascii="Arial" w:hAnsi="Arial" w:cs="Arial"/>
          <w:b/>
          <w:sz w:val="24"/>
          <w:szCs w:val="24"/>
        </w:rPr>
        <w:t xml:space="preserve"> </w:t>
      </w:r>
      <w:r w:rsidRPr="0042455B">
        <w:rPr>
          <w:rFonts w:ascii="Arial" w:hAnsi="Arial" w:cs="Arial"/>
          <w:b/>
          <w:sz w:val="24"/>
          <w:szCs w:val="24"/>
        </w:rPr>
        <w:t>1)</w:t>
      </w:r>
      <w:r w:rsidRPr="00BF4120">
        <w:rPr>
          <w:rFonts w:ascii="Arial" w:hAnsi="Arial" w:cs="Arial"/>
          <w:b/>
          <w:sz w:val="24"/>
          <w:szCs w:val="24"/>
        </w:rPr>
        <w:t xml:space="preserve"> </w:t>
      </w:r>
      <w:r w:rsidRPr="00BF4120">
        <w:rPr>
          <w:rFonts w:ascii="Arial" w:hAnsi="Arial" w:cs="Arial"/>
          <w:sz w:val="24"/>
          <w:szCs w:val="24"/>
        </w:rPr>
        <w:t>que el artículo 10.1 de las bases del llamado</w:t>
      </w:r>
      <w:r>
        <w:rPr>
          <w:rFonts w:ascii="Arial" w:hAnsi="Arial" w:cs="Arial"/>
          <w:sz w:val="24"/>
          <w:szCs w:val="24"/>
        </w:rPr>
        <w:t xml:space="preserve"> establece en su literal e) que una oferta puede ser rechazada </w:t>
      </w:r>
      <w:r w:rsidRPr="00BF4120">
        <w:rPr>
          <w:rFonts w:ascii="Arial" w:hAnsi="Arial" w:cs="Arial"/>
          <w:sz w:val="24"/>
          <w:szCs w:val="24"/>
        </w:rPr>
        <w:t>cuando el oferente registre</w:t>
      </w:r>
      <w:r>
        <w:rPr>
          <w:rFonts w:ascii="Arial" w:hAnsi="Arial" w:cs="Arial"/>
          <w:sz w:val="24"/>
          <w:szCs w:val="24"/>
        </w:rPr>
        <w:t xml:space="preserve"> </w:t>
      </w:r>
      <w:r w:rsidRPr="00BF4120">
        <w:rPr>
          <w:rFonts w:ascii="Arial" w:hAnsi="Arial" w:cs="Arial"/>
          <w:sz w:val="24"/>
          <w:szCs w:val="24"/>
        </w:rPr>
        <w:t>antecedentes negati</w:t>
      </w:r>
      <w:r>
        <w:rPr>
          <w:rFonts w:ascii="Arial" w:hAnsi="Arial" w:cs="Arial"/>
          <w:sz w:val="24"/>
          <w:szCs w:val="24"/>
        </w:rPr>
        <w:t xml:space="preserve">vos en la Administración, </w:t>
      </w:r>
      <w:r w:rsidR="00253206">
        <w:rPr>
          <w:rFonts w:ascii="Arial" w:hAnsi="Arial" w:cs="Arial"/>
          <w:sz w:val="24"/>
          <w:szCs w:val="24"/>
        </w:rPr>
        <w:t>en contravención d</w:t>
      </w:r>
      <w:r w:rsidRPr="00BF4120">
        <w:rPr>
          <w:rFonts w:ascii="Arial" w:hAnsi="Arial" w:cs="Arial"/>
          <w:sz w:val="24"/>
          <w:szCs w:val="24"/>
        </w:rPr>
        <w:t>el principio de concurrencia</w:t>
      </w:r>
      <w:r>
        <w:rPr>
          <w:rFonts w:ascii="Arial" w:hAnsi="Arial" w:cs="Arial"/>
          <w:sz w:val="24"/>
          <w:szCs w:val="24"/>
        </w:rPr>
        <w:t xml:space="preserve"> </w:t>
      </w:r>
      <w:r w:rsidRPr="00BF4120">
        <w:rPr>
          <w:rFonts w:ascii="Arial" w:hAnsi="Arial" w:cs="Arial"/>
          <w:sz w:val="24"/>
          <w:szCs w:val="24"/>
        </w:rPr>
        <w:t xml:space="preserve">de oferentes </w:t>
      </w:r>
      <w:r w:rsidR="00253206">
        <w:rPr>
          <w:rFonts w:ascii="Arial" w:hAnsi="Arial" w:cs="Arial"/>
          <w:sz w:val="24"/>
          <w:szCs w:val="24"/>
        </w:rPr>
        <w:t>consagrado</w:t>
      </w:r>
      <w:r>
        <w:rPr>
          <w:rFonts w:ascii="Arial" w:hAnsi="Arial" w:cs="Arial"/>
          <w:sz w:val="24"/>
          <w:szCs w:val="24"/>
        </w:rPr>
        <w:t xml:space="preserve"> en el artículo 149 del TOCAF, en tanto no consta de manera clara y determinada qué antecedente negativo -y la duración de la respectiva sanción- amerita el total descarte de la oferta, </w:t>
      </w:r>
      <w:r w:rsidR="005A6337">
        <w:rPr>
          <w:rFonts w:ascii="Arial" w:hAnsi="Arial" w:cs="Arial"/>
          <w:sz w:val="24"/>
          <w:szCs w:val="24"/>
        </w:rPr>
        <w:t>en tanto</w:t>
      </w:r>
      <w:r w:rsidR="00253206">
        <w:rPr>
          <w:rFonts w:ascii="Arial" w:hAnsi="Arial" w:cs="Arial"/>
          <w:sz w:val="24"/>
          <w:szCs w:val="24"/>
        </w:rPr>
        <w:t xml:space="preserve"> la mencionada norma</w:t>
      </w:r>
      <w:r w:rsidR="005A6337">
        <w:rPr>
          <w:rFonts w:ascii="Arial" w:hAnsi="Arial" w:cs="Arial"/>
          <w:sz w:val="24"/>
          <w:szCs w:val="24"/>
        </w:rPr>
        <w:t xml:space="preserve"> refiera a </w:t>
      </w:r>
      <w:r>
        <w:rPr>
          <w:rFonts w:ascii="Arial" w:hAnsi="Arial" w:cs="Arial"/>
          <w:sz w:val="24"/>
          <w:szCs w:val="24"/>
        </w:rPr>
        <w:t>“antecedentes negativos”</w:t>
      </w:r>
      <w:r w:rsidR="00843987">
        <w:rPr>
          <w:rFonts w:ascii="Arial" w:hAnsi="Arial" w:cs="Arial"/>
          <w:sz w:val="24"/>
          <w:szCs w:val="24"/>
        </w:rPr>
        <w:t xml:space="preserve"> en </w:t>
      </w:r>
      <w:r w:rsidR="00253206">
        <w:rPr>
          <w:rFonts w:ascii="Arial" w:hAnsi="Arial" w:cs="Arial"/>
          <w:sz w:val="24"/>
          <w:szCs w:val="24"/>
        </w:rPr>
        <w:t xml:space="preserve">carácter </w:t>
      </w:r>
      <w:r w:rsidR="00843987">
        <w:rPr>
          <w:rFonts w:ascii="Arial" w:hAnsi="Arial" w:cs="Arial"/>
          <w:sz w:val="24"/>
          <w:szCs w:val="24"/>
        </w:rPr>
        <w:t>general;</w:t>
      </w:r>
    </w:p>
    <w:p w:rsidR="00BF4120" w:rsidRDefault="00BF4120" w:rsidP="00212F9C">
      <w:pPr>
        <w:spacing w:after="0" w:line="360" w:lineRule="auto"/>
        <w:ind w:firstLine="2977"/>
        <w:jc w:val="both"/>
        <w:rPr>
          <w:rFonts w:ascii="Arial" w:hAnsi="Arial" w:cs="Arial"/>
          <w:sz w:val="24"/>
          <w:szCs w:val="24"/>
        </w:rPr>
      </w:pPr>
      <w:r w:rsidRPr="00BF4120">
        <w:rPr>
          <w:rFonts w:ascii="Arial" w:hAnsi="Arial" w:cs="Arial"/>
          <w:b/>
          <w:sz w:val="24"/>
          <w:szCs w:val="24"/>
        </w:rPr>
        <w:t>2)</w:t>
      </w:r>
      <w:r>
        <w:rPr>
          <w:rFonts w:ascii="Arial" w:hAnsi="Arial" w:cs="Arial"/>
          <w:b/>
          <w:sz w:val="24"/>
          <w:szCs w:val="24"/>
        </w:rPr>
        <w:t xml:space="preserve"> </w:t>
      </w:r>
      <w:r w:rsidR="005A6337" w:rsidRPr="005A6337">
        <w:rPr>
          <w:rFonts w:ascii="Arial" w:hAnsi="Arial" w:cs="Arial"/>
          <w:sz w:val="24"/>
          <w:szCs w:val="24"/>
        </w:rPr>
        <w:t>que</w:t>
      </w:r>
      <w:r w:rsidR="005A6337">
        <w:rPr>
          <w:rFonts w:ascii="Arial" w:hAnsi="Arial" w:cs="Arial"/>
          <w:b/>
          <w:sz w:val="24"/>
          <w:szCs w:val="24"/>
        </w:rPr>
        <w:t xml:space="preserve"> </w:t>
      </w:r>
      <w:r w:rsidRPr="00BF4120">
        <w:rPr>
          <w:rFonts w:ascii="Arial" w:hAnsi="Arial" w:cs="Arial"/>
          <w:sz w:val="24"/>
          <w:szCs w:val="24"/>
        </w:rPr>
        <w:t>la</w:t>
      </w:r>
      <w:r>
        <w:rPr>
          <w:rFonts w:ascii="Arial" w:hAnsi="Arial" w:cs="Arial"/>
          <w:sz w:val="24"/>
          <w:szCs w:val="24"/>
        </w:rPr>
        <w:t xml:space="preserve"> </w:t>
      </w:r>
      <w:r w:rsidRPr="00BF4120">
        <w:rPr>
          <w:rFonts w:ascii="Arial" w:hAnsi="Arial" w:cs="Arial"/>
          <w:sz w:val="24"/>
          <w:szCs w:val="24"/>
        </w:rPr>
        <w:t xml:space="preserve">circunstancia de </w:t>
      </w:r>
      <w:r w:rsidR="005A6337">
        <w:rPr>
          <w:rFonts w:ascii="Arial" w:hAnsi="Arial" w:cs="Arial"/>
          <w:sz w:val="24"/>
          <w:szCs w:val="24"/>
        </w:rPr>
        <w:t>contar con</w:t>
      </w:r>
      <w:r w:rsidRPr="00BF4120">
        <w:rPr>
          <w:rFonts w:ascii="Arial" w:hAnsi="Arial" w:cs="Arial"/>
          <w:sz w:val="24"/>
          <w:szCs w:val="24"/>
        </w:rPr>
        <w:t xml:space="preserve"> antecedentes negativos en el Registro de</w:t>
      </w:r>
      <w:r>
        <w:rPr>
          <w:rFonts w:ascii="Arial" w:hAnsi="Arial" w:cs="Arial"/>
          <w:sz w:val="24"/>
          <w:szCs w:val="24"/>
        </w:rPr>
        <w:t xml:space="preserve"> </w:t>
      </w:r>
      <w:r w:rsidRPr="00BF4120">
        <w:rPr>
          <w:rFonts w:ascii="Arial" w:hAnsi="Arial" w:cs="Arial"/>
          <w:sz w:val="24"/>
          <w:szCs w:val="24"/>
        </w:rPr>
        <w:t>Proveedores del Organismo puede establecerse en los Pliegos de Condiciones</w:t>
      </w:r>
      <w:r>
        <w:rPr>
          <w:rFonts w:ascii="Arial" w:hAnsi="Arial" w:cs="Arial"/>
          <w:sz w:val="24"/>
          <w:szCs w:val="24"/>
        </w:rPr>
        <w:t xml:space="preserve"> </w:t>
      </w:r>
      <w:r w:rsidRPr="00BF4120">
        <w:rPr>
          <w:rFonts w:ascii="Arial" w:hAnsi="Arial" w:cs="Arial"/>
          <w:sz w:val="24"/>
          <w:szCs w:val="24"/>
        </w:rPr>
        <w:t xml:space="preserve">Particulares como factor </w:t>
      </w:r>
      <w:r w:rsidR="00843987">
        <w:rPr>
          <w:rFonts w:ascii="Arial" w:hAnsi="Arial" w:cs="Arial"/>
          <w:sz w:val="24"/>
          <w:szCs w:val="24"/>
        </w:rPr>
        <w:t xml:space="preserve">de ponderación, a </w:t>
      </w:r>
      <w:r w:rsidR="005A6337">
        <w:rPr>
          <w:rFonts w:ascii="Arial" w:hAnsi="Arial" w:cs="Arial"/>
          <w:sz w:val="24"/>
          <w:szCs w:val="24"/>
        </w:rPr>
        <w:t xml:space="preserve">ser considerado </w:t>
      </w:r>
      <w:r w:rsidR="00843987">
        <w:rPr>
          <w:rFonts w:ascii="Arial" w:hAnsi="Arial" w:cs="Arial"/>
          <w:sz w:val="24"/>
          <w:szCs w:val="24"/>
        </w:rPr>
        <w:t>en la etapa de evaluación de las ofertas</w:t>
      </w:r>
      <w:r w:rsidRPr="00BF4120">
        <w:rPr>
          <w:rFonts w:ascii="Arial" w:hAnsi="Arial" w:cs="Arial"/>
          <w:sz w:val="24"/>
          <w:szCs w:val="24"/>
        </w:rPr>
        <w:t xml:space="preserve">, </w:t>
      </w:r>
      <w:r w:rsidR="005A6337">
        <w:rPr>
          <w:rFonts w:ascii="Arial" w:hAnsi="Arial" w:cs="Arial"/>
          <w:sz w:val="24"/>
          <w:szCs w:val="24"/>
        </w:rPr>
        <w:t>no pudiendo</w:t>
      </w:r>
      <w:r w:rsidRPr="00BF4120">
        <w:rPr>
          <w:rFonts w:ascii="Arial" w:hAnsi="Arial" w:cs="Arial"/>
          <w:sz w:val="24"/>
          <w:szCs w:val="24"/>
        </w:rPr>
        <w:t xml:space="preserve"> constituir un</w:t>
      </w:r>
      <w:r>
        <w:rPr>
          <w:rFonts w:ascii="Arial" w:hAnsi="Arial" w:cs="Arial"/>
          <w:sz w:val="24"/>
          <w:szCs w:val="24"/>
        </w:rPr>
        <w:t xml:space="preserve"> </w:t>
      </w:r>
      <w:r w:rsidR="00253206">
        <w:rPr>
          <w:rFonts w:ascii="Arial" w:hAnsi="Arial" w:cs="Arial"/>
          <w:sz w:val="24"/>
          <w:szCs w:val="24"/>
        </w:rPr>
        <w:t>requisito</w:t>
      </w:r>
      <w:r w:rsidRPr="00BF4120">
        <w:rPr>
          <w:rFonts w:ascii="Arial" w:hAnsi="Arial" w:cs="Arial"/>
          <w:sz w:val="24"/>
          <w:szCs w:val="24"/>
        </w:rPr>
        <w:t xml:space="preserve"> de inadmisibilidad, </w:t>
      </w:r>
      <w:r w:rsidR="00843987">
        <w:rPr>
          <w:rFonts w:ascii="Arial" w:hAnsi="Arial" w:cs="Arial"/>
          <w:sz w:val="24"/>
          <w:szCs w:val="24"/>
        </w:rPr>
        <w:t>puesto</w:t>
      </w:r>
      <w:r w:rsidRPr="00BF4120">
        <w:rPr>
          <w:rFonts w:ascii="Arial" w:hAnsi="Arial" w:cs="Arial"/>
          <w:sz w:val="24"/>
          <w:szCs w:val="24"/>
        </w:rPr>
        <w:t xml:space="preserve"> que los únicos extremos que</w:t>
      </w:r>
      <w:r>
        <w:rPr>
          <w:rFonts w:ascii="Arial" w:hAnsi="Arial" w:cs="Arial"/>
          <w:sz w:val="24"/>
          <w:szCs w:val="24"/>
        </w:rPr>
        <w:t xml:space="preserve"> </w:t>
      </w:r>
      <w:r w:rsidRPr="00BF4120">
        <w:rPr>
          <w:rFonts w:ascii="Arial" w:hAnsi="Arial" w:cs="Arial"/>
          <w:sz w:val="24"/>
          <w:szCs w:val="24"/>
        </w:rPr>
        <w:t>habilitan a una Administración a determinar que un oferente no se encuentra</w:t>
      </w:r>
      <w:r>
        <w:rPr>
          <w:rFonts w:ascii="Arial" w:hAnsi="Arial" w:cs="Arial"/>
          <w:sz w:val="24"/>
          <w:szCs w:val="24"/>
        </w:rPr>
        <w:t xml:space="preserve"> </w:t>
      </w:r>
      <w:r w:rsidRPr="00BF4120">
        <w:rPr>
          <w:rFonts w:ascii="Arial" w:hAnsi="Arial" w:cs="Arial"/>
          <w:sz w:val="24"/>
          <w:szCs w:val="24"/>
        </w:rPr>
        <w:t>apto para presentarse en</w:t>
      </w:r>
      <w:r w:rsidR="00843987">
        <w:rPr>
          <w:rFonts w:ascii="Arial" w:hAnsi="Arial" w:cs="Arial"/>
          <w:sz w:val="24"/>
          <w:szCs w:val="24"/>
        </w:rPr>
        <w:t xml:space="preserve"> una convocatoria del Organismo, </w:t>
      </w:r>
      <w:r w:rsidRPr="00BF4120">
        <w:rPr>
          <w:rFonts w:ascii="Arial" w:hAnsi="Arial" w:cs="Arial"/>
          <w:sz w:val="24"/>
          <w:szCs w:val="24"/>
        </w:rPr>
        <w:t>son las sanciones</w:t>
      </w:r>
      <w:r>
        <w:rPr>
          <w:rFonts w:ascii="Arial" w:hAnsi="Arial" w:cs="Arial"/>
          <w:sz w:val="24"/>
          <w:szCs w:val="24"/>
        </w:rPr>
        <w:t xml:space="preserve"> </w:t>
      </w:r>
      <w:r w:rsidRPr="00BF4120">
        <w:rPr>
          <w:rFonts w:ascii="Arial" w:hAnsi="Arial" w:cs="Arial"/>
          <w:sz w:val="24"/>
          <w:szCs w:val="24"/>
        </w:rPr>
        <w:t xml:space="preserve">de </w:t>
      </w:r>
      <w:r w:rsidR="005A6337">
        <w:rPr>
          <w:rFonts w:ascii="Arial" w:hAnsi="Arial" w:cs="Arial"/>
          <w:sz w:val="24"/>
          <w:szCs w:val="24"/>
        </w:rPr>
        <w:t>suspensión -</w:t>
      </w:r>
      <w:r w:rsidRPr="00BF4120">
        <w:rPr>
          <w:rFonts w:ascii="Arial" w:hAnsi="Arial" w:cs="Arial"/>
          <w:sz w:val="24"/>
          <w:szCs w:val="24"/>
        </w:rPr>
        <w:t>por el período y alcance que en cada caso el Organismo</w:t>
      </w:r>
      <w:r>
        <w:rPr>
          <w:rFonts w:ascii="Arial" w:hAnsi="Arial" w:cs="Arial"/>
          <w:sz w:val="24"/>
          <w:szCs w:val="24"/>
        </w:rPr>
        <w:t xml:space="preserve"> </w:t>
      </w:r>
      <w:r w:rsidR="005A6337">
        <w:rPr>
          <w:rFonts w:ascii="Arial" w:hAnsi="Arial" w:cs="Arial"/>
          <w:sz w:val="24"/>
          <w:szCs w:val="24"/>
        </w:rPr>
        <w:t>determine-</w:t>
      </w:r>
      <w:r w:rsidRPr="00BF4120">
        <w:rPr>
          <w:rFonts w:ascii="Arial" w:hAnsi="Arial" w:cs="Arial"/>
          <w:sz w:val="24"/>
          <w:szCs w:val="24"/>
        </w:rPr>
        <w:t xml:space="preserve"> y la eliminación del infractor como proveedor del Organismo</w:t>
      </w:r>
      <w:r>
        <w:rPr>
          <w:rFonts w:ascii="Arial" w:hAnsi="Arial" w:cs="Arial"/>
          <w:sz w:val="24"/>
          <w:szCs w:val="24"/>
        </w:rPr>
        <w:t xml:space="preserve"> </w:t>
      </w:r>
      <w:r w:rsidRPr="00BF4120">
        <w:rPr>
          <w:rFonts w:ascii="Arial" w:hAnsi="Arial" w:cs="Arial"/>
          <w:sz w:val="24"/>
          <w:szCs w:val="24"/>
        </w:rPr>
        <w:t>sancionador, todo ello en la forma establecida en los artículos 17, literal e) y 18</w:t>
      </w:r>
      <w:r>
        <w:rPr>
          <w:rFonts w:ascii="Arial" w:hAnsi="Arial" w:cs="Arial"/>
          <w:sz w:val="24"/>
          <w:szCs w:val="24"/>
        </w:rPr>
        <w:t xml:space="preserve"> </w:t>
      </w:r>
      <w:r w:rsidRPr="00BF4120">
        <w:rPr>
          <w:rFonts w:ascii="Arial" w:hAnsi="Arial" w:cs="Arial"/>
          <w:sz w:val="24"/>
          <w:szCs w:val="24"/>
        </w:rPr>
        <w:t>del Decreto 155/013 de fecha 21/5/13;</w:t>
      </w:r>
    </w:p>
    <w:p w:rsidR="00843987" w:rsidRDefault="00843987" w:rsidP="00212F9C">
      <w:pPr>
        <w:spacing w:after="0" w:line="360" w:lineRule="auto"/>
        <w:ind w:firstLine="2977"/>
        <w:jc w:val="both"/>
        <w:rPr>
          <w:rFonts w:ascii="Arial" w:hAnsi="Arial" w:cs="Arial"/>
          <w:sz w:val="24"/>
          <w:szCs w:val="24"/>
        </w:rPr>
      </w:pPr>
      <w:r>
        <w:rPr>
          <w:rFonts w:ascii="Arial" w:hAnsi="Arial" w:cs="Arial"/>
          <w:b/>
          <w:sz w:val="24"/>
          <w:szCs w:val="24"/>
        </w:rPr>
        <w:t>3</w:t>
      </w:r>
      <w:r w:rsidR="00BF4120" w:rsidRPr="00BF4120">
        <w:rPr>
          <w:rFonts w:ascii="Arial" w:hAnsi="Arial" w:cs="Arial"/>
          <w:b/>
          <w:sz w:val="24"/>
          <w:szCs w:val="24"/>
        </w:rPr>
        <w:t>)</w:t>
      </w:r>
      <w:r>
        <w:rPr>
          <w:rFonts w:ascii="Arial" w:hAnsi="Arial" w:cs="Arial"/>
          <w:b/>
          <w:sz w:val="24"/>
          <w:szCs w:val="24"/>
        </w:rPr>
        <w:t xml:space="preserve"> </w:t>
      </w:r>
      <w:r w:rsidR="005A6337">
        <w:rPr>
          <w:rFonts w:ascii="Arial" w:hAnsi="Arial" w:cs="Arial"/>
          <w:sz w:val="24"/>
          <w:szCs w:val="24"/>
        </w:rPr>
        <w:t xml:space="preserve">que para la acreditación de su experiencia, </w:t>
      </w:r>
      <w:proofErr w:type="spellStart"/>
      <w:r w:rsidR="005A6337">
        <w:rPr>
          <w:rFonts w:ascii="Arial" w:hAnsi="Arial" w:cs="Arial"/>
          <w:sz w:val="24"/>
          <w:szCs w:val="24"/>
        </w:rPr>
        <w:t>Berkes</w:t>
      </w:r>
      <w:proofErr w:type="spellEnd"/>
      <w:r w:rsidR="005A6337">
        <w:rPr>
          <w:rFonts w:ascii="Arial" w:hAnsi="Arial" w:cs="Arial"/>
          <w:sz w:val="24"/>
          <w:szCs w:val="24"/>
        </w:rPr>
        <w:t xml:space="preserve"> Construcción y Montajes S.A contó con dos oportunidades otorgadas por la Administración: una </w:t>
      </w:r>
      <w:r w:rsidR="00253206">
        <w:rPr>
          <w:rFonts w:ascii="Arial" w:hAnsi="Arial" w:cs="Arial"/>
          <w:sz w:val="24"/>
          <w:szCs w:val="24"/>
        </w:rPr>
        <w:t xml:space="preserve">según lo dispuesto en </w:t>
      </w:r>
      <w:r w:rsidR="005A6337">
        <w:rPr>
          <w:rFonts w:ascii="Arial" w:hAnsi="Arial" w:cs="Arial"/>
          <w:sz w:val="24"/>
          <w:szCs w:val="24"/>
        </w:rPr>
        <w:t xml:space="preserve">el artículo 65 del TOCAF y la segunda </w:t>
      </w:r>
      <w:r w:rsidR="00253206">
        <w:rPr>
          <w:rFonts w:ascii="Arial" w:hAnsi="Arial" w:cs="Arial"/>
          <w:sz w:val="24"/>
          <w:szCs w:val="24"/>
        </w:rPr>
        <w:t>al amparo de</w:t>
      </w:r>
      <w:r w:rsidR="005A6337">
        <w:rPr>
          <w:rFonts w:ascii="Arial" w:hAnsi="Arial" w:cs="Arial"/>
          <w:sz w:val="24"/>
          <w:szCs w:val="24"/>
        </w:rPr>
        <w:t xml:space="preserve"> lo </w:t>
      </w:r>
      <w:r w:rsidR="00253206">
        <w:rPr>
          <w:rFonts w:ascii="Arial" w:hAnsi="Arial" w:cs="Arial"/>
          <w:sz w:val="24"/>
          <w:szCs w:val="24"/>
        </w:rPr>
        <w:t>establecido</w:t>
      </w:r>
      <w:r w:rsidR="005A6337">
        <w:rPr>
          <w:rFonts w:ascii="Arial" w:hAnsi="Arial" w:cs="Arial"/>
          <w:sz w:val="24"/>
          <w:szCs w:val="24"/>
        </w:rPr>
        <w:t xml:space="preserve"> en el artículo 66, el que dispone que </w:t>
      </w:r>
      <w:r w:rsidR="005A6337">
        <w:rPr>
          <w:rFonts w:ascii="Arial" w:hAnsi="Arial" w:cs="Arial"/>
          <w:i/>
          <w:sz w:val="24"/>
          <w:szCs w:val="24"/>
        </w:rPr>
        <w:t>“a los efectos de producir su informe, la Comisión Asesora podrá solicitar a cualquier oferente las aclaraciones necesarias, no pudiendo pedir ni permitir que se modifique el contenido de la oferta”</w:t>
      </w:r>
      <w:r w:rsidR="005A6337">
        <w:rPr>
          <w:rFonts w:ascii="Arial" w:hAnsi="Arial" w:cs="Arial"/>
          <w:sz w:val="24"/>
          <w:szCs w:val="24"/>
        </w:rPr>
        <w:t xml:space="preserve">; </w:t>
      </w:r>
    </w:p>
    <w:p w:rsidR="00843987" w:rsidRDefault="00843987" w:rsidP="00212F9C">
      <w:pPr>
        <w:spacing w:after="0" w:line="360" w:lineRule="auto"/>
        <w:ind w:firstLine="2977"/>
        <w:jc w:val="both"/>
        <w:rPr>
          <w:rFonts w:ascii="Arial" w:hAnsi="Arial" w:cs="Arial"/>
          <w:sz w:val="24"/>
          <w:szCs w:val="24"/>
        </w:rPr>
      </w:pPr>
      <w:r w:rsidRPr="00D12BC0">
        <w:rPr>
          <w:rFonts w:ascii="Arial" w:hAnsi="Arial" w:cs="Arial"/>
          <w:b/>
          <w:sz w:val="24"/>
          <w:szCs w:val="24"/>
        </w:rPr>
        <w:t>4)</w:t>
      </w:r>
      <w:r>
        <w:rPr>
          <w:rFonts w:ascii="Arial" w:hAnsi="Arial" w:cs="Arial"/>
          <w:sz w:val="24"/>
          <w:szCs w:val="24"/>
        </w:rPr>
        <w:t xml:space="preserve"> que </w:t>
      </w:r>
      <w:r w:rsidR="005A6337">
        <w:rPr>
          <w:rFonts w:ascii="Arial" w:hAnsi="Arial" w:cs="Arial"/>
          <w:sz w:val="24"/>
          <w:szCs w:val="24"/>
        </w:rPr>
        <w:t>si bien</w:t>
      </w:r>
      <w:r>
        <w:rPr>
          <w:rFonts w:ascii="Arial" w:hAnsi="Arial" w:cs="Arial"/>
          <w:sz w:val="24"/>
          <w:szCs w:val="24"/>
        </w:rPr>
        <w:t xml:space="preserve"> la solicitud de fecha 22.02.18 fue realizada bajo el acápite de </w:t>
      </w:r>
      <w:r w:rsidRPr="00A85BC2">
        <w:rPr>
          <w:rFonts w:ascii="Arial" w:hAnsi="Arial" w:cs="Arial"/>
          <w:sz w:val="24"/>
          <w:szCs w:val="24"/>
        </w:rPr>
        <w:t>“aclaración”</w:t>
      </w:r>
      <w:r>
        <w:rPr>
          <w:rFonts w:ascii="Arial" w:hAnsi="Arial" w:cs="Arial"/>
          <w:sz w:val="24"/>
          <w:szCs w:val="24"/>
        </w:rPr>
        <w:t xml:space="preserve"> </w:t>
      </w:r>
      <w:r w:rsidR="005A6337">
        <w:rPr>
          <w:rFonts w:ascii="Arial" w:hAnsi="Arial" w:cs="Arial"/>
          <w:sz w:val="24"/>
          <w:szCs w:val="24"/>
        </w:rPr>
        <w:t>-</w:t>
      </w:r>
      <w:r>
        <w:rPr>
          <w:rFonts w:ascii="Arial" w:hAnsi="Arial" w:cs="Arial"/>
          <w:sz w:val="24"/>
          <w:szCs w:val="24"/>
        </w:rPr>
        <w:t>invocando el artículo 66 del TOCAF</w:t>
      </w:r>
      <w:r w:rsidR="005A6337">
        <w:rPr>
          <w:rFonts w:ascii="Arial" w:hAnsi="Arial" w:cs="Arial"/>
          <w:sz w:val="24"/>
          <w:szCs w:val="24"/>
        </w:rPr>
        <w:t>-,</w:t>
      </w:r>
      <w:r>
        <w:rPr>
          <w:rFonts w:ascii="Arial" w:hAnsi="Arial" w:cs="Arial"/>
          <w:sz w:val="24"/>
          <w:szCs w:val="24"/>
        </w:rPr>
        <w:t xml:space="preserve"> la Administración no requirió al oferente que aclarara algún aspecto dudoso respecto de lo ya presentado, sino que le solicitó</w:t>
      </w:r>
      <w:r w:rsidRPr="00101A33">
        <w:rPr>
          <w:rFonts w:ascii="Arial" w:hAnsi="Arial" w:cs="Arial"/>
          <w:sz w:val="24"/>
          <w:szCs w:val="24"/>
        </w:rPr>
        <w:t xml:space="preserve"> </w:t>
      </w:r>
      <w:r>
        <w:rPr>
          <w:rFonts w:ascii="Arial" w:hAnsi="Arial" w:cs="Arial"/>
          <w:sz w:val="24"/>
          <w:szCs w:val="24"/>
        </w:rPr>
        <w:t xml:space="preserve">que avale la experiencia declarada -en particular, respecto de AC Constructora S.A- argumentando que </w:t>
      </w:r>
      <w:r w:rsidRPr="002337D2">
        <w:rPr>
          <w:rFonts w:ascii="Arial" w:hAnsi="Arial" w:cs="Arial"/>
          <w:i/>
          <w:sz w:val="24"/>
          <w:szCs w:val="24"/>
        </w:rPr>
        <w:t>“no se pudo acreditar la experiencia declarada mediante la información complementaria entregada el 07.12.17”</w:t>
      </w:r>
      <w:r w:rsidR="0008337B">
        <w:rPr>
          <w:rFonts w:ascii="Arial" w:hAnsi="Arial" w:cs="Arial"/>
          <w:sz w:val="24"/>
          <w:szCs w:val="24"/>
        </w:rPr>
        <w:t xml:space="preserve">, por lo que, en consecuencia, </w:t>
      </w:r>
      <w:r>
        <w:rPr>
          <w:rFonts w:ascii="Arial" w:hAnsi="Arial" w:cs="Arial"/>
          <w:sz w:val="24"/>
          <w:szCs w:val="24"/>
        </w:rPr>
        <w:t xml:space="preserve">se otorgó a </w:t>
      </w:r>
      <w:r w:rsidR="005A6337">
        <w:rPr>
          <w:rFonts w:ascii="Arial" w:hAnsi="Arial" w:cs="Arial"/>
          <w:sz w:val="24"/>
          <w:szCs w:val="24"/>
        </w:rPr>
        <w:t>la referida firma</w:t>
      </w:r>
      <w:r>
        <w:rPr>
          <w:rFonts w:ascii="Arial" w:hAnsi="Arial" w:cs="Arial"/>
          <w:sz w:val="24"/>
          <w:szCs w:val="24"/>
        </w:rPr>
        <w:t xml:space="preserve"> una segunda oportunidad para presentar esta documentación, lo que afectó el principio de igualdad de oferentes</w:t>
      </w:r>
      <w:r w:rsidR="00253206">
        <w:rPr>
          <w:rFonts w:ascii="Arial" w:hAnsi="Arial" w:cs="Arial"/>
          <w:sz w:val="24"/>
          <w:szCs w:val="24"/>
        </w:rPr>
        <w:t xml:space="preserve"> consagrado en el artículo 149 del TOCAF</w:t>
      </w:r>
      <w:r w:rsidR="0008337B">
        <w:rPr>
          <w:rFonts w:ascii="Arial" w:hAnsi="Arial" w:cs="Arial"/>
          <w:sz w:val="24"/>
          <w:szCs w:val="24"/>
        </w:rPr>
        <w:t xml:space="preserve">, no obstante la oferta fuera </w:t>
      </w:r>
      <w:r w:rsidR="00253206">
        <w:rPr>
          <w:rFonts w:ascii="Arial" w:hAnsi="Arial" w:cs="Arial"/>
          <w:sz w:val="24"/>
          <w:szCs w:val="24"/>
        </w:rPr>
        <w:t xml:space="preserve">finalmente </w:t>
      </w:r>
      <w:r w:rsidR="0008337B">
        <w:rPr>
          <w:rFonts w:ascii="Arial" w:hAnsi="Arial" w:cs="Arial"/>
          <w:sz w:val="24"/>
          <w:szCs w:val="24"/>
        </w:rPr>
        <w:t>descartada</w:t>
      </w:r>
      <w:r>
        <w:rPr>
          <w:rFonts w:ascii="Arial" w:hAnsi="Arial" w:cs="Arial"/>
          <w:sz w:val="24"/>
          <w:szCs w:val="24"/>
        </w:rPr>
        <w:t>;</w:t>
      </w:r>
    </w:p>
    <w:p w:rsidR="00F26B37" w:rsidRDefault="00F26B37" w:rsidP="00212F9C">
      <w:pPr>
        <w:pStyle w:val="Textoindependiente"/>
        <w:ind w:firstLine="2977"/>
      </w:pPr>
      <w:r>
        <w:rPr>
          <w:rFonts w:cs="Arial"/>
          <w:b/>
          <w:szCs w:val="24"/>
        </w:rPr>
        <w:t xml:space="preserve">5) </w:t>
      </w:r>
      <w:r>
        <w:rPr>
          <w:lang w:val="es-AR"/>
        </w:rPr>
        <w:t xml:space="preserve">que </w:t>
      </w:r>
      <w:r>
        <w:t xml:space="preserve">no obra </w:t>
      </w:r>
      <w:r w:rsidR="00751479">
        <w:t>en los informes de la Comisión Asesora de Adjudicaciones</w:t>
      </w:r>
      <w:r>
        <w:t xml:space="preserve"> el análisis del cumplimiento por parte de los oferentes de to</w:t>
      </w:r>
      <w:r w:rsidR="00751479">
        <w:t>dos los requisitos exigidos en las bases del llamado</w:t>
      </w:r>
      <w:r>
        <w:t xml:space="preserve">, de conformidad con lo dispuesto en los artículos 10.2 y 10.3 del Pliego de Condiciones Particulares </w:t>
      </w:r>
      <w:r w:rsidR="00751479">
        <w:t>-</w:t>
      </w:r>
      <w:r>
        <w:t>referidos a la acreditación de la experiencia y a la</w:t>
      </w:r>
      <w:r w:rsidR="0008337B">
        <w:t>s</w:t>
      </w:r>
      <w:r>
        <w:t xml:space="preserve"> etapa</w:t>
      </w:r>
      <w:r w:rsidR="0008337B">
        <w:t>s</w:t>
      </w:r>
      <w:r>
        <w:t xml:space="preserve"> de admisibilidad y de evaluación de las propuestas</w:t>
      </w:r>
      <w:r w:rsidR="00751479">
        <w:t>-</w:t>
      </w:r>
      <w:r>
        <w:t xml:space="preserve">, </w:t>
      </w:r>
      <w:r w:rsidR="0008337B">
        <w:t xml:space="preserve">de conformidad con </w:t>
      </w:r>
      <w:r>
        <w:t xml:space="preserve">los criterios allí previstos; </w:t>
      </w:r>
    </w:p>
    <w:p w:rsidR="00BF4120" w:rsidRDefault="00F26B37" w:rsidP="00212F9C">
      <w:pPr>
        <w:pStyle w:val="Textoindependiente"/>
        <w:ind w:firstLine="2977"/>
        <w:rPr>
          <w:rFonts w:cs="Arial"/>
          <w:szCs w:val="24"/>
        </w:rPr>
      </w:pPr>
      <w:r w:rsidRPr="00F26B37">
        <w:rPr>
          <w:b/>
        </w:rPr>
        <w:t>6)</w:t>
      </w:r>
      <w:r>
        <w:rPr>
          <w:b/>
        </w:rPr>
        <w:t xml:space="preserve"> </w:t>
      </w:r>
      <w:r w:rsidR="00BF4120">
        <w:rPr>
          <w:rFonts w:cs="Arial"/>
          <w:szCs w:val="24"/>
        </w:rPr>
        <w:t>que</w:t>
      </w:r>
      <w:r w:rsidR="00BF4120" w:rsidRPr="0042455B">
        <w:rPr>
          <w:rFonts w:cs="Arial"/>
          <w:szCs w:val="24"/>
        </w:rPr>
        <w:t xml:space="preserve"> </w:t>
      </w:r>
      <w:r w:rsidR="00BF4120">
        <w:rPr>
          <w:rFonts w:cs="Arial"/>
          <w:szCs w:val="24"/>
        </w:rPr>
        <w:t>no se dio cumplimiento a lo dispuesto en el artículo 15 del TOCAF en tanto, según lo informado por el Departamento de</w:t>
      </w:r>
      <w:r w:rsidR="00BF4120" w:rsidRPr="00574D07">
        <w:rPr>
          <w:rFonts w:cs="Arial"/>
          <w:szCs w:val="24"/>
        </w:rPr>
        <w:t xml:space="preserve"> </w:t>
      </w:r>
      <w:r w:rsidR="00BF4120">
        <w:rPr>
          <w:rFonts w:cs="Arial"/>
          <w:szCs w:val="24"/>
        </w:rPr>
        <w:t>Registro y Control Presupuestal con fecha 21.03.18, no existe disponibilidad presupuestal suficiente para comprometer el monto de $38:362.500 (neto de impuestos) en el Ejercicio 2018;</w:t>
      </w:r>
      <w:r>
        <w:rPr>
          <w:rFonts w:cs="Arial"/>
          <w:szCs w:val="24"/>
        </w:rPr>
        <w:t xml:space="preserve"> </w:t>
      </w:r>
    </w:p>
    <w:p w:rsidR="00BF4120" w:rsidRPr="00855338" w:rsidRDefault="00BF4120" w:rsidP="00212F9C">
      <w:pPr>
        <w:tabs>
          <w:tab w:val="left" w:pos="-3420"/>
        </w:tabs>
        <w:spacing w:after="0" w:line="360" w:lineRule="auto"/>
        <w:ind w:firstLine="851"/>
        <w:jc w:val="both"/>
        <w:rPr>
          <w:rFonts w:ascii="Arial" w:hAnsi="Arial" w:cs="Arial"/>
          <w:sz w:val="24"/>
          <w:szCs w:val="24"/>
        </w:rPr>
      </w:pPr>
      <w:r>
        <w:rPr>
          <w:rFonts w:ascii="Arial" w:hAnsi="Arial" w:cs="Arial"/>
          <w:b/>
          <w:sz w:val="24"/>
          <w:szCs w:val="24"/>
        </w:rPr>
        <w:t xml:space="preserve">ATENTO: </w:t>
      </w:r>
      <w:r w:rsidRPr="00855338">
        <w:rPr>
          <w:rFonts w:ascii="Arial" w:hAnsi="Arial" w:cs="Arial"/>
          <w:sz w:val="24"/>
          <w:szCs w:val="24"/>
        </w:rPr>
        <w:t>a lo expuesto y a lo dispuesto por el  artículo 211 literal B) de la Constitución de la República;</w:t>
      </w:r>
    </w:p>
    <w:p w:rsidR="00BF4120" w:rsidRDefault="00BF4120" w:rsidP="00212F9C">
      <w:pPr>
        <w:pStyle w:val="Ttulo1"/>
        <w:jc w:val="center"/>
        <w:rPr>
          <w:szCs w:val="24"/>
        </w:rPr>
      </w:pPr>
      <w:r w:rsidRPr="00855338">
        <w:rPr>
          <w:szCs w:val="24"/>
        </w:rPr>
        <w:t>EL TRIBUNAL ACUERDA</w:t>
      </w:r>
    </w:p>
    <w:p w:rsidR="00BF4120" w:rsidRDefault="00BF4120" w:rsidP="00212F9C">
      <w:pPr>
        <w:spacing w:after="0" w:line="360" w:lineRule="auto"/>
        <w:jc w:val="both"/>
        <w:rPr>
          <w:rFonts w:ascii="Arial" w:hAnsi="Arial" w:cs="Arial"/>
          <w:sz w:val="24"/>
          <w:szCs w:val="24"/>
          <w:lang w:val="es-MX"/>
        </w:rPr>
      </w:pPr>
      <w:r w:rsidRPr="00855338">
        <w:rPr>
          <w:rFonts w:ascii="Arial" w:hAnsi="Arial" w:cs="Arial"/>
          <w:b/>
          <w:sz w:val="24"/>
          <w:szCs w:val="24"/>
          <w:lang w:val="es-MX"/>
        </w:rPr>
        <w:t>1)</w:t>
      </w:r>
      <w:r>
        <w:rPr>
          <w:rFonts w:ascii="Arial" w:hAnsi="Arial" w:cs="Arial"/>
          <w:sz w:val="24"/>
          <w:szCs w:val="24"/>
          <w:lang w:val="es-MX"/>
        </w:rPr>
        <w:t xml:space="preserve"> Observar el gasto </w:t>
      </w:r>
    </w:p>
    <w:p w:rsidR="00BF4120" w:rsidRDefault="00F26B37" w:rsidP="00212F9C">
      <w:pPr>
        <w:spacing w:after="0" w:line="360" w:lineRule="auto"/>
        <w:jc w:val="both"/>
        <w:rPr>
          <w:rFonts w:ascii="Arial" w:hAnsi="Arial" w:cs="Arial"/>
          <w:sz w:val="24"/>
          <w:szCs w:val="24"/>
          <w:lang w:val="es-MX"/>
        </w:rPr>
      </w:pPr>
      <w:r>
        <w:rPr>
          <w:rFonts w:ascii="Arial" w:hAnsi="Arial" w:cs="Arial"/>
          <w:b/>
          <w:sz w:val="24"/>
          <w:szCs w:val="24"/>
          <w:lang w:val="es-MX"/>
        </w:rPr>
        <w:t>2</w:t>
      </w:r>
      <w:r w:rsidR="00BF4120" w:rsidRPr="006F4F84">
        <w:rPr>
          <w:rFonts w:ascii="Arial" w:hAnsi="Arial" w:cs="Arial"/>
          <w:b/>
          <w:sz w:val="24"/>
          <w:szCs w:val="24"/>
          <w:lang w:val="es-MX"/>
        </w:rPr>
        <w:t>)</w:t>
      </w:r>
      <w:r w:rsidR="00BF4120">
        <w:rPr>
          <w:rFonts w:ascii="Arial" w:hAnsi="Arial" w:cs="Arial"/>
          <w:sz w:val="24"/>
          <w:szCs w:val="24"/>
          <w:lang w:val="es-MX"/>
        </w:rPr>
        <w:t xml:space="preserve"> Comunica</w:t>
      </w:r>
      <w:r w:rsidR="00AB2452">
        <w:rPr>
          <w:rFonts w:ascii="Arial" w:hAnsi="Arial" w:cs="Arial"/>
          <w:sz w:val="24"/>
          <w:szCs w:val="24"/>
          <w:lang w:val="es-MX"/>
        </w:rPr>
        <w:t>r</w:t>
      </w:r>
      <w:bookmarkStart w:id="0" w:name="_GoBack"/>
      <w:bookmarkEnd w:id="0"/>
      <w:r w:rsidR="00BF4120">
        <w:rPr>
          <w:rFonts w:ascii="Arial" w:hAnsi="Arial" w:cs="Arial"/>
          <w:sz w:val="24"/>
          <w:szCs w:val="24"/>
          <w:lang w:val="es-MX"/>
        </w:rPr>
        <w:t xml:space="preserve"> al Contador Delegado.</w:t>
      </w:r>
    </w:p>
    <w:p w:rsidR="00212F9C" w:rsidRDefault="00F26B37" w:rsidP="00212F9C">
      <w:pPr>
        <w:spacing w:after="0" w:line="360" w:lineRule="auto"/>
        <w:jc w:val="both"/>
        <w:rPr>
          <w:rFonts w:ascii="Arial" w:hAnsi="Arial" w:cs="Arial"/>
          <w:sz w:val="24"/>
          <w:szCs w:val="24"/>
          <w:lang w:val="es-MX"/>
        </w:rPr>
      </w:pPr>
      <w:r>
        <w:rPr>
          <w:rFonts w:ascii="Arial" w:hAnsi="Arial" w:cs="Arial"/>
          <w:b/>
          <w:sz w:val="24"/>
          <w:szCs w:val="24"/>
          <w:lang w:val="es-MX"/>
        </w:rPr>
        <w:t>3</w:t>
      </w:r>
      <w:r w:rsidR="00BF4120" w:rsidRPr="00855338">
        <w:rPr>
          <w:rFonts w:ascii="Arial" w:hAnsi="Arial" w:cs="Arial"/>
          <w:b/>
          <w:sz w:val="24"/>
          <w:szCs w:val="24"/>
          <w:lang w:val="es-MX"/>
        </w:rPr>
        <w:t>)</w:t>
      </w:r>
      <w:r w:rsidR="00BF4120">
        <w:rPr>
          <w:rFonts w:ascii="Arial" w:hAnsi="Arial" w:cs="Arial"/>
          <w:sz w:val="24"/>
          <w:szCs w:val="24"/>
          <w:lang w:val="es-MX"/>
        </w:rPr>
        <w:t xml:space="preserve"> Devolver las actuaciones.</w:t>
      </w:r>
    </w:p>
    <w:p w:rsidR="00212F9C" w:rsidRPr="00212F9C" w:rsidRDefault="00212F9C" w:rsidP="00212F9C">
      <w:pPr>
        <w:spacing w:after="0" w:line="360" w:lineRule="auto"/>
        <w:jc w:val="both"/>
        <w:rPr>
          <w:rFonts w:ascii="Arial" w:hAnsi="Arial" w:cs="Arial"/>
          <w:sz w:val="20"/>
          <w:szCs w:val="20"/>
          <w:lang w:val="es-MX"/>
        </w:rPr>
      </w:pPr>
      <w:r>
        <w:rPr>
          <w:rFonts w:ascii="Arial" w:hAnsi="Arial" w:cs="Arial"/>
          <w:sz w:val="20"/>
          <w:szCs w:val="20"/>
          <w:lang w:val="es-MX"/>
        </w:rPr>
        <w:t>CLC</w:t>
      </w:r>
    </w:p>
    <w:p w:rsidR="00212F9C" w:rsidRPr="00212F9C" w:rsidRDefault="00212F9C" w:rsidP="00212F9C">
      <w:pPr>
        <w:spacing w:after="0" w:line="360" w:lineRule="auto"/>
        <w:jc w:val="both"/>
        <w:rPr>
          <w:rFonts w:ascii="Arial" w:hAnsi="Arial" w:cs="Arial"/>
          <w:sz w:val="24"/>
          <w:szCs w:val="24"/>
          <w:lang w:val="es-MX"/>
        </w:rPr>
      </w:pPr>
    </w:p>
    <w:p w:rsidR="00BF4120" w:rsidRDefault="00BF4120" w:rsidP="00212F9C">
      <w:pPr>
        <w:spacing w:after="0" w:line="360" w:lineRule="auto"/>
        <w:jc w:val="both"/>
        <w:rPr>
          <w:rFonts w:ascii="Arial" w:hAnsi="Arial" w:cs="Arial"/>
          <w:i/>
          <w:sz w:val="20"/>
          <w:szCs w:val="20"/>
          <w:lang w:val="es-MX"/>
        </w:rPr>
      </w:pPr>
    </w:p>
    <w:sectPr w:rsidR="00BF4120" w:rsidSect="00AB2452">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120"/>
    <w:rsid w:val="00050448"/>
    <w:rsid w:val="0008337B"/>
    <w:rsid w:val="00212F9C"/>
    <w:rsid w:val="00253206"/>
    <w:rsid w:val="005A6337"/>
    <w:rsid w:val="00751479"/>
    <w:rsid w:val="00843987"/>
    <w:rsid w:val="00AB2452"/>
    <w:rsid w:val="00B36E8B"/>
    <w:rsid w:val="00BF4120"/>
    <w:rsid w:val="00E40658"/>
    <w:rsid w:val="00F26B3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120"/>
  </w:style>
  <w:style w:type="paragraph" w:styleId="Ttulo1">
    <w:name w:val="heading 1"/>
    <w:basedOn w:val="Normal"/>
    <w:next w:val="Normal"/>
    <w:link w:val="Ttulo1Car"/>
    <w:qFormat/>
    <w:rsid w:val="00BF4120"/>
    <w:pPr>
      <w:keepNext/>
      <w:spacing w:after="0" w:line="360" w:lineRule="auto"/>
      <w:jc w:val="both"/>
      <w:outlineLvl w:val="0"/>
    </w:pPr>
    <w:rPr>
      <w:rFonts w:ascii="Arial" w:eastAsia="Times New Roman" w:hAnsi="Arial" w:cs="Arial"/>
      <w:b/>
      <w:bCs/>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F4120"/>
    <w:rPr>
      <w:rFonts w:ascii="Arial" w:eastAsia="Times New Roman" w:hAnsi="Arial" w:cs="Arial"/>
      <w:b/>
      <w:bCs/>
      <w:sz w:val="24"/>
      <w:szCs w:val="20"/>
      <w:lang w:val="es-MX" w:eastAsia="es-ES"/>
    </w:rPr>
  </w:style>
  <w:style w:type="paragraph" w:styleId="Textoindependiente">
    <w:name w:val="Body Text"/>
    <w:basedOn w:val="Normal"/>
    <w:link w:val="TextoindependienteCar"/>
    <w:rsid w:val="00BF4120"/>
    <w:pPr>
      <w:spacing w:after="0" w:line="360" w:lineRule="auto"/>
      <w:jc w:val="both"/>
    </w:pPr>
    <w:rPr>
      <w:rFonts w:ascii="Arial" w:eastAsia="Times New Roman" w:hAnsi="Arial" w:cs="Times New Roman"/>
      <w:bCs/>
      <w:sz w:val="24"/>
      <w:szCs w:val="20"/>
      <w:lang w:val="es-MX" w:eastAsia="es-ES"/>
    </w:rPr>
  </w:style>
  <w:style w:type="character" w:customStyle="1" w:styleId="TextoindependienteCar">
    <w:name w:val="Texto independiente Car"/>
    <w:basedOn w:val="Fuentedeprrafopredeter"/>
    <w:link w:val="Textoindependiente"/>
    <w:rsid w:val="00BF4120"/>
    <w:rPr>
      <w:rFonts w:ascii="Arial" w:eastAsia="Times New Roman" w:hAnsi="Arial" w:cs="Times New Roman"/>
      <w:bCs/>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120"/>
  </w:style>
  <w:style w:type="paragraph" w:styleId="Ttulo1">
    <w:name w:val="heading 1"/>
    <w:basedOn w:val="Normal"/>
    <w:next w:val="Normal"/>
    <w:link w:val="Ttulo1Car"/>
    <w:qFormat/>
    <w:rsid w:val="00BF4120"/>
    <w:pPr>
      <w:keepNext/>
      <w:spacing w:after="0" w:line="360" w:lineRule="auto"/>
      <w:jc w:val="both"/>
      <w:outlineLvl w:val="0"/>
    </w:pPr>
    <w:rPr>
      <w:rFonts w:ascii="Arial" w:eastAsia="Times New Roman" w:hAnsi="Arial" w:cs="Arial"/>
      <w:b/>
      <w:bCs/>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F4120"/>
    <w:rPr>
      <w:rFonts w:ascii="Arial" w:eastAsia="Times New Roman" w:hAnsi="Arial" w:cs="Arial"/>
      <w:b/>
      <w:bCs/>
      <w:sz w:val="24"/>
      <w:szCs w:val="20"/>
      <w:lang w:val="es-MX" w:eastAsia="es-ES"/>
    </w:rPr>
  </w:style>
  <w:style w:type="paragraph" w:styleId="Textoindependiente">
    <w:name w:val="Body Text"/>
    <w:basedOn w:val="Normal"/>
    <w:link w:val="TextoindependienteCar"/>
    <w:rsid w:val="00BF4120"/>
    <w:pPr>
      <w:spacing w:after="0" w:line="360" w:lineRule="auto"/>
      <w:jc w:val="both"/>
    </w:pPr>
    <w:rPr>
      <w:rFonts w:ascii="Arial" w:eastAsia="Times New Roman" w:hAnsi="Arial" w:cs="Times New Roman"/>
      <w:bCs/>
      <w:sz w:val="24"/>
      <w:szCs w:val="20"/>
      <w:lang w:val="es-MX" w:eastAsia="es-ES"/>
    </w:rPr>
  </w:style>
  <w:style w:type="character" w:customStyle="1" w:styleId="TextoindependienteCar">
    <w:name w:val="Texto independiente Car"/>
    <w:basedOn w:val="Fuentedeprrafopredeter"/>
    <w:link w:val="Textoindependiente"/>
    <w:rsid w:val="00BF4120"/>
    <w:rPr>
      <w:rFonts w:ascii="Arial" w:eastAsia="Times New Roman" w:hAnsi="Arial" w:cs="Times New Roman"/>
      <w:bCs/>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1300</Words>
  <Characters>7153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2018-06-18T14:32:00Z</cp:lastPrinted>
  <dcterms:created xsi:type="dcterms:W3CDTF">2018-06-27T18:16:00Z</dcterms:created>
  <dcterms:modified xsi:type="dcterms:W3CDTF">2018-07-02T14:38:00Z</dcterms:modified>
</cp:coreProperties>
</file>