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1D45A2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F2E8C">
        <w:rPr>
          <w:rFonts w:ascii="Arial" w:hAnsi="Arial" w:cs="Arial"/>
          <w:b/>
          <w:sz w:val="28"/>
          <w:szCs w:val="28"/>
          <w:lang w:val="es-ES_tradnl"/>
        </w:rPr>
        <w:t>1375</w:t>
      </w:r>
      <w:r w:rsidRPr="001D45A2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1D45A2">
        <w:rPr>
          <w:rFonts w:ascii="Helvetica" w:hAnsi="Helvetica"/>
          <w:b/>
          <w:lang w:val="es-ES_tradnl"/>
        </w:rPr>
        <w:t>RESOLUCION ADOPTADA POR EL</w:t>
      </w:r>
    </w:p>
    <w:p w:rsidR="001D45A2" w:rsidRPr="001D45A2" w:rsidRDefault="001D45A2" w:rsidP="001D45A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1D45A2">
        <w:rPr>
          <w:rFonts w:ascii="Helvetica" w:hAnsi="Helvetica"/>
          <w:b/>
          <w:lang w:val="es-ES_tradnl"/>
        </w:rPr>
        <w:t>TRIBUNAL DE CUENTAS</w:t>
      </w:r>
    </w:p>
    <w:p w:rsidR="001D45A2" w:rsidRPr="001D45A2" w:rsidRDefault="001D45A2" w:rsidP="001D45A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1D45A2">
        <w:rPr>
          <w:rFonts w:ascii="Helvetica" w:hAnsi="Helvetica"/>
          <w:b/>
          <w:lang w:val="es-ES_tradnl"/>
        </w:rPr>
        <w:t xml:space="preserve">EN SESION DE FECHA 26 </w:t>
      </w:r>
      <w:r w:rsidRPr="001D45A2">
        <w:rPr>
          <w:rFonts w:ascii="Arial" w:hAnsi="Arial" w:cs="Arial"/>
          <w:b/>
          <w:lang w:val="es-ES_tradnl"/>
        </w:rPr>
        <w:t xml:space="preserve">DE ABRIL </w:t>
      </w:r>
      <w:r w:rsidRPr="001D45A2">
        <w:rPr>
          <w:rFonts w:ascii="Helvetica" w:hAnsi="Helvetica"/>
          <w:b/>
          <w:lang w:val="es-ES_tradnl"/>
        </w:rPr>
        <w:t>DE 2018</w:t>
      </w: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D45A2" w:rsidRPr="001D45A2" w:rsidRDefault="001D45A2" w:rsidP="001D45A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</w:rPr>
      </w:pPr>
      <w:r w:rsidRPr="001D45A2">
        <w:rPr>
          <w:rFonts w:ascii="Helvetica" w:hAnsi="Helvetica"/>
          <w:b/>
        </w:rPr>
        <w:t>(E. E. Nº 201</w:t>
      </w:r>
      <w:r w:rsidR="00CF2E8C">
        <w:rPr>
          <w:rFonts w:ascii="Helvetica" w:hAnsi="Helvetica"/>
          <w:b/>
        </w:rPr>
        <w:t>8</w:t>
      </w:r>
      <w:r w:rsidRPr="001D45A2">
        <w:rPr>
          <w:rFonts w:ascii="Helvetica" w:hAnsi="Helvetica"/>
          <w:b/>
        </w:rPr>
        <w:t>-17-1-000</w:t>
      </w:r>
      <w:r w:rsidR="00CF2E8C">
        <w:rPr>
          <w:rFonts w:ascii="Helvetica" w:hAnsi="Helvetica"/>
          <w:b/>
        </w:rPr>
        <w:t>2172</w:t>
      </w:r>
      <w:r w:rsidRPr="001D45A2">
        <w:rPr>
          <w:rFonts w:ascii="Helvetica" w:hAnsi="Helvetica"/>
          <w:b/>
        </w:rPr>
        <w:t xml:space="preserve">, </w:t>
      </w:r>
      <w:proofErr w:type="spellStart"/>
      <w:r w:rsidRPr="001D45A2">
        <w:rPr>
          <w:rFonts w:ascii="Helvetica" w:hAnsi="Helvetica"/>
          <w:b/>
        </w:rPr>
        <w:t>Ent</w:t>
      </w:r>
      <w:proofErr w:type="spellEnd"/>
      <w:r w:rsidRPr="001D45A2">
        <w:rPr>
          <w:rFonts w:ascii="Helvetica" w:hAnsi="Helvetica"/>
          <w:b/>
        </w:rPr>
        <w:t xml:space="preserve">. N° </w:t>
      </w:r>
      <w:r w:rsidR="00CF2E8C">
        <w:rPr>
          <w:rFonts w:ascii="Helvetica" w:hAnsi="Helvetica"/>
          <w:b/>
        </w:rPr>
        <w:t>1651</w:t>
      </w:r>
      <w:r w:rsidRPr="001D45A2">
        <w:rPr>
          <w:rFonts w:ascii="Helvetica" w:hAnsi="Helvetica"/>
          <w:b/>
        </w:rPr>
        <w:t>/</w:t>
      </w:r>
      <w:r w:rsidR="00CF2E8C">
        <w:rPr>
          <w:rFonts w:ascii="Helvetica" w:hAnsi="Helvetica"/>
          <w:b/>
        </w:rPr>
        <w:t>18</w:t>
      </w:r>
      <w:r w:rsidRPr="001D45A2">
        <w:rPr>
          <w:rFonts w:ascii="Helvetica" w:hAnsi="Helvetica"/>
          <w:b/>
        </w:rPr>
        <w:t>)</w:t>
      </w:r>
    </w:p>
    <w:p w:rsidR="001D45A2" w:rsidRDefault="001D45A2">
      <w:pPr>
        <w:pStyle w:val="Ttulo1"/>
        <w:rPr>
          <w:rFonts w:ascii="Arial" w:hAnsi="Arial" w:cs="Arial"/>
        </w:rPr>
      </w:pPr>
    </w:p>
    <w:p w:rsidR="000609EC" w:rsidRDefault="000609EC" w:rsidP="00CF2E8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nota de fecha </w:t>
      </w:r>
      <w:r w:rsidR="00173F65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173F65">
        <w:rPr>
          <w:rFonts w:ascii="Arial" w:hAnsi="Arial"/>
        </w:rPr>
        <w:t>marzo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A29B2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1F5CD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37422">
        <w:rPr>
          <w:rFonts w:ascii="Arial" w:hAnsi="Arial"/>
        </w:rPr>
        <w:t xml:space="preserve">Baltasar </w:t>
      </w:r>
      <w:proofErr w:type="spellStart"/>
      <w:r w:rsidR="00037422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DA29B2">
        <w:rPr>
          <w:rFonts w:ascii="Arial" w:hAnsi="Arial"/>
        </w:rPr>
        <w:t xml:space="preserve"> </w:t>
      </w:r>
      <w:r w:rsidR="00EE0D2C">
        <w:rPr>
          <w:rFonts w:ascii="Arial" w:hAnsi="Arial"/>
        </w:rPr>
        <w:t xml:space="preserve"> </w:t>
      </w:r>
      <w:r w:rsidR="00DA29B2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A29B2">
        <w:rPr>
          <w:rFonts w:ascii="Arial" w:hAnsi="Arial"/>
        </w:rPr>
        <w:t>diciembre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CF2E8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1F5CDB">
        <w:rPr>
          <w:rFonts w:ascii="Arial" w:hAnsi="Arial"/>
          <w:lang w:val="es-MX"/>
        </w:rPr>
        <w:t>e</w:t>
      </w:r>
      <w:r w:rsidR="00DA29B2">
        <w:rPr>
          <w:rFonts w:ascii="Arial" w:hAnsi="Arial"/>
          <w:lang w:val="es-MX"/>
        </w:rPr>
        <w:t>l</w:t>
      </w:r>
      <w:r w:rsidR="00855913">
        <w:rPr>
          <w:rFonts w:ascii="Arial" w:hAnsi="Arial"/>
          <w:lang w:val="es-MX"/>
        </w:rPr>
        <w:t xml:space="preserve"> Municipio de </w:t>
      </w:r>
      <w:r w:rsidR="00037422">
        <w:rPr>
          <w:rFonts w:ascii="Arial" w:hAnsi="Arial"/>
          <w:lang w:val="es-MX"/>
        </w:rPr>
        <w:t xml:space="preserve">Baltasar </w:t>
      </w:r>
      <w:proofErr w:type="spellStart"/>
      <w:r w:rsidR="00037422">
        <w:rPr>
          <w:rFonts w:ascii="Arial" w:hAnsi="Arial"/>
          <w:lang w:val="es-MX"/>
        </w:rPr>
        <w:t>Brum</w:t>
      </w:r>
      <w:proofErr w:type="spellEnd"/>
      <w:r w:rsidR="00290E83">
        <w:rPr>
          <w:rFonts w:ascii="Arial" w:hAnsi="Arial"/>
          <w:lang w:val="es-MX"/>
        </w:rPr>
        <w:t>,</w:t>
      </w:r>
      <w:r w:rsidR="003320A5">
        <w:rPr>
          <w:rFonts w:ascii="Arial" w:hAnsi="Arial"/>
          <w:lang w:val="es-MX"/>
        </w:rPr>
        <w:t xml:space="preserve"> </w:t>
      </w:r>
      <w:r w:rsidR="00173F65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173F65">
        <w:rPr>
          <w:rFonts w:ascii="Arial" w:hAnsi="Arial"/>
          <w:lang w:val="es-MX"/>
        </w:rPr>
        <w:t>277.291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173F65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DA29B2">
        <w:rPr>
          <w:rFonts w:ascii="Arial" w:hAnsi="Arial"/>
          <w:lang w:val="es-MX"/>
        </w:rPr>
        <w:t xml:space="preserve"> diciembre</w:t>
      </w:r>
      <w:r w:rsidR="003320A5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9"/>
        <w:gridCol w:w="1870"/>
        <w:gridCol w:w="1722"/>
      </w:tblGrid>
      <w:tr w:rsidR="001F5CDB" w:rsidTr="001F5CDB">
        <w:tc>
          <w:tcPr>
            <w:tcW w:w="2941" w:type="pct"/>
          </w:tcPr>
          <w:p w:rsidR="001F5CDB" w:rsidRPr="00A84CE6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072" w:type="pct"/>
          </w:tcPr>
          <w:p w:rsidR="001F5CDB" w:rsidRPr="00A84CE6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87" w:type="pct"/>
          </w:tcPr>
          <w:p w:rsidR="001F5CDB" w:rsidRPr="00A84CE6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1F5CDB" w:rsidTr="001F5CDB">
        <w:tc>
          <w:tcPr>
            <w:tcW w:w="2941" w:type="pct"/>
          </w:tcPr>
          <w:p w:rsidR="001F5CDB" w:rsidRDefault="001F5CDB" w:rsidP="000374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1072" w:type="pct"/>
          </w:tcPr>
          <w:p w:rsidR="001F5CDB" w:rsidRDefault="00173F65" w:rsidP="0003742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173F65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181.411</w:t>
            </w:r>
          </w:p>
        </w:tc>
      </w:tr>
      <w:tr w:rsidR="001F5CDB" w:rsidTr="001F5CDB">
        <w:tc>
          <w:tcPr>
            <w:tcW w:w="2941" w:type="pct"/>
          </w:tcPr>
          <w:p w:rsidR="001F5CDB" w:rsidRDefault="001F5CDB" w:rsidP="00FD4AD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14 del TOCAF</w:t>
            </w:r>
          </w:p>
        </w:tc>
        <w:tc>
          <w:tcPr>
            <w:tcW w:w="1072" w:type="pct"/>
          </w:tcPr>
          <w:p w:rsidR="001F5CDB" w:rsidRDefault="001F5CDB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173F65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6.000</w:t>
            </w:r>
          </w:p>
        </w:tc>
      </w:tr>
      <w:tr w:rsidR="00173F65" w:rsidTr="001F5CDB">
        <w:tc>
          <w:tcPr>
            <w:tcW w:w="2941" w:type="pct"/>
          </w:tcPr>
          <w:p w:rsidR="00173F65" w:rsidRDefault="00173F65" w:rsidP="00F440D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arts. 15</w:t>
            </w:r>
            <w:r w:rsidR="00F440D5">
              <w:rPr>
                <w:rFonts w:ascii="Arial" w:hAnsi="Arial"/>
                <w:lang w:val="es-MX"/>
              </w:rPr>
              <w:t>,</w:t>
            </w:r>
            <w:r>
              <w:rPr>
                <w:rFonts w:ascii="Arial" w:hAnsi="Arial"/>
                <w:lang w:val="es-MX"/>
              </w:rPr>
              <w:t>32</w:t>
            </w:r>
            <w:r w:rsidR="00F440D5">
              <w:rPr>
                <w:rFonts w:ascii="Arial" w:hAnsi="Arial"/>
                <w:lang w:val="es-MX"/>
              </w:rPr>
              <w:t xml:space="preserve"> y 33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1072" w:type="pct"/>
          </w:tcPr>
          <w:p w:rsidR="00173F65" w:rsidRDefault="00173F65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987" w:type="pct"/>
          </w:tcPr>
          <w:p w:rsidR="00173F65" w:rsidRDefault="00173F65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90.280</w:t>
            </w:r>
          </w:p>
        </w:tc>
      </w:tr>
      <w:tr w:rsidR="001F5CDB" w:rsidRPr="00A84CE6" w:rsidTr="001F5CDB">
        <w:tc>
          <w:tcPr>
            <w:tcW w:w="2941" w:type="pct"/>
          </w:tcPr>
          <w:p w:rsidR="001F5CDB" w:rsidRPr="00A84CE6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072" w:type="pct"/>
          </w:tcPr>
          <w:p w:rsidR="001F5CDB" w:rsidRPr="00A84CE6" w:rsidRDefault="00173F65" w:rsidP="000C3941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987" w:type="pct"/>
          </w:tcPr>
          <w:p w:rsidR="001F5CDB" w:rsidRPr="00A84CE6" w:rsidRDefault="00173F65" w:rsidP="00654D5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84CE6">
              <w:rPr>
                <w:rFonts w:ascii="Arial" w:hAnsi="Arial"/>
                <w:b/>
                <w:lang w:val="es-MX"/>
              </w:rPr>
              <w:t>277.691</w:t>
            </w:r>
          </w:p>
        </w:tc>
      </w:tr>
    </w:tbl>
    <w:p w:rsidR="00F02EA7" w:rsidRDefault="005317AB" w:rsidP="00A84CE6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CF2E8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F2E8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F2E8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F2E8C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F2E8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F2E8C">
        <w:rPr>
          <w:rFonts w:ascii="Arial" w:hAnsi="Arial"/>
          <w:lang w:val="es-MX"/>
        </w:rPr>
        <w:t xml:space="preserve"> 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A84CE6">
        <w:rPr>
          <w:rFonts w:ascii="Arial" w:hAnsi="Arial"/>
          <w:spacing w:val="-3"/>
          <w:lang w:val="es-ES_tradnl"/>
        </w:rPr>
        <w:t>;</w:t>
      </w:r>
    </w:p>
    <w:p w:rsidR="00001DAD" w:rsidRDefault="00001DAD" w:rsidP="00CF2E8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F2E8C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F2E8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F2E8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F2E8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F2E8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CF2E8C" w:rsidRDefault="000609EC" w:rsidP="00CF2E8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F2E8C">
        <w:rPr>
          <w:rFonts w:ascii="Arial" w:hAnsi="Arial"/>
          <w:lang w:val="es-MX"/>
        </w:rPr>
        <w:t>Ratificar la</w:t>
      </w:r>
      <w:r w:rsidR="00855913" w:rsidRPr="00CF2E8C">
        <w:rPr>
          <w:rFonts w:ascii="Arial" w:hAnsi="Arial"/>
          <w:lang w:val="es-MX"/>
        </w:rPr>
        <w:t>s</w:t>
      </w:r>
      <w:r w:rsidRPr="00CF2E8C">
        <w:rPr>
          <w:rFonts w:ascii="Arial" w:hAnsi="Arial"/>
          <w:lang w:val="es-MX"/>
        </w:rPr>
        <w:t xml:space="preserve"> observaci</w:t>
      </w:r>
      <w:r w:rsidR="00855913" w:rsidRPr="00CF2E8C">
        <w:rPr>
          <w:rFonts w:ascii="Arial" w:hAnsi="Arial"/>
          <w:lang w:val="es-MX"/>
        </w:rPr>
        <w:t>ones</w:t>
      </w:r>
      <w:r w:rsidRPr="00CF2E8C">
        <w:rPr>
          <w:rFonts w:ascii="Arial" w:hAnsi="Arial"/>
          <w:lang w:val="es-MX"/>
        </w:rPr>
        <w:t xml:space="preserve"> formulada</w:t>
      </w:r>
      <w:r w:rsidR="00855913" w:rsidRPr="00CF2E8C">
        <w:rPr>
          <w:rFonts w:ascii="Arial" w:hAnsi="Arial"/>
          <w:lang w:val="es-MX"/>
        </w:rPr>
        <w:t>s</w:t>
      </w:r>
      <w:r w:rsidRPr="00CF2E8C">
        <w:rPr>
          <w:rFonts w:ascii="Arial" w:hAnsi="Arial"/>
          <w:lang w:val="es-MX"/>
        </w:rPr>
        <w:t xml:space="preserve"> por el Contador Delegado en </w:t>
      </w:r>
      <w:r w:rsidR="000C3941" w:rsidRPr="00CF2E8C">
        <w:rPr>
          <w:rFonts w:ascii="Arial" w:hAnsi="Arial"/>
          <w:lang w:val="es-MX"/>
        </w:rPr>
        <w:t>e</w:t>
      </w:r>
      <w:r w:rsidRPr="00CF2E8C">
        <w:rPr>
          <w:rFonts w:ascii="Arial" w:hAnsi="Arial"/>
          <w:lang w:val="es-MX"/>
        </w:rPr>
        <w:t xml:space="preserve">l </w:t>
      </w:r>
      <w:r w:rsidR="007C78DC" w:rsidRPr="00CF2E8C">
        <w:rPr>
          <w:rFonts w:ascii="Arial" w:hAnsi="Arial"/>
          <w:lang w:val="es-MX"/>
        </w:rPr>
        <w:t>Municipio</w:t>
      </w:r>
      <w:r w:rsidR="00855913" w:rsidRPr="00CF2E8C">
        <w:rPr>
          <w:rFonts w:ascii="Arial" w:hAnsi="Arial"/>
          <w:lang w:val="es-MX"/>
        </w:rPr>
        <w:t>s</w:t>
      </w:r>
      <w:r w:rsidR="007C78DC" w:rsidRPr="00CF2E8C">
        <w:rPr>
          <w:rFonts w:ascii="Arial" w:hAnsi="Arial"/>
          <w:lang w:val="es-MX"/>
        </w:rPr>
        <w:t xml:space="preserve"> de </w:t>
      </w:r>
      <w:r w:rsidR="00FD4AD6" w:rsidRPr="00CF2E8C">
        <w:rPr>
          <w:rFonts w:ascii="Arial" w:hAnsi="Arial"/>
          <w:lang w:val="es-MX"/>
        </w:rPr>
        <w:t xml:space="preserve">Baltasar </w:t>
      </w:r>
      <w:proofErr w:type="spellStart"/>
      <w:r w:rsidR="00FD4AD6" w:rsidRPr="00CF2E8C">
        <w:rPr>
          <w:rFonts w:ascii="Arial" w:hAnsi="Arial"/>
          <w:lang w:val="es-MX"/>
        </w:rPr>
        <w:t>Brum</w:t>
      </w:r>
      <w:proofErr w:type="spellEnd"/>
      <w:r w:rsidR="00855913" w:rsidRPr="00CF2E8C">
        <w:rPr>
          <w:rFonts w:ascii="Arial" w:hAnsi="Arial"/>
          <w:lang w:val="es-MX"/>
        </w:rPr>
        <w:t xml:space="preserve"> </w:t>
      </w:r>
      <w:r w:rsidR="007C78DC" w:rsidRPr="00CF2E8C">
        <w:rPr>
          <w:rFonts w:ascii="Arial" w:hAnsi="Arial"/>
          <w:lang w:val="es-MX"/>
        </w:rPr>
        <w:t>de la Intendencia</w:t>
      </w:r>
      <w:r w:rsidRPr="00CF2E8C">
        <w:rPr>
          <w:rFonts w:ascii="Arial" w:hAnsi="Arial"/>
          <w:lang w:val="es-MX"/>
        </w:rPr>
        <w:t xml:space="preserve"> de Artigas</w:t>
      </w:r>
      <w:r w:rsidRPr="00CF2E8C">
        <w:rPr>
          <w:rFonts w:ascii="Arial" w:hAnsi="Arial"/>
        </w:rPr>
        <w:t>;</w:t>
      </w:r>
    </w:p>
    <w:p w:rsidR="007C78DC" w:rsidRPr="00CF2E8C" w:rsidRDefault="007C78DC" w:rsidP="00CF2E8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F2E8C">
        <w:rPr>
          <w:rFonts w:ascii="Arial" w:hAnsi="Arial"/>
        </w:rPr>
        <w:t>Dar cuenta a la Junta Departamental de Artigas;</w:t>
      </w:r>
    </w:p>
    <w:p w:rsidR="000609EC" w:rsidRDefault="000609EC" w:rsidP="00CF2E8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FD4AD6">
        <w:rPr>
          <w:rFonts w:ascii="Arial" w:hAnsi="Arial"/>
          <w:lang w:val="es-MX"/>
        </w:rPr>
        <w:t xml:space="preserve">Baltasar </w:t>
      </w:r>
      <w:proofErr w:type="spellStart"/>
      <w:r w:rsidR="00FD4AD6">
        <w:rPr>
          <w:rFonts w:ascii="Arial" w:hAnsi="Arial"/>
          <w:lang w:val="es-MX"/>
        </w:rPr>
        <w:t>Brum</w:t>
      </w:r>
      <w:proofErr w:type="spellEnd"/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CF2E8C" w:rsidRDefault="00CF2E8C" w:rsidP="00CF2E8C">
      <w:pPr>
        <w:rPr>
          <w:rFonts w:ascii="Arial" w:hAnsi="Arial"/>
          <w:lang w:val="es-MX"/>
        </w:rPr>
      </w:pPr>
    </w:p>
    <w:p w:rsidR="007C78DC" w:rsidRPr="00A84CE6" w:rsidRDefault="00CF2E8C" w:rsidP="00CF2E8C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7C78DC" w:rsidRPr="00A84CE6" w:rsidSect="001D45A2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B2" w:rsidRDefault="00DA29B2">
      <w:r>
        <w:separator/>
      </w:r>
    </w:p>
  </w:endnote>
  <w:endnote w:type="continuationSeparator" w:id="0">
    <w:p w:rsidR="00DA29B2" w:rsidRDefault="00D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B2" w:rsidRDefault="00DA29B2">
      <w:r>
        <w:separator/>
      </w:r>
    </w:p>
  </w:footnote>
  <w:footnote w:type="continuationSeparator" w:id="0">
    <w:p w:rsidR="00DA29B2" w:rsidRDefault="00DA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6756AE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422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445F1"/>
    <w:rsid w:val="0016227D"/>
    <w:rsid w:val="00173F65"/>
    <w:rsid w:val="00184233"/>
    <w:rsid w:val="001C2710"/>
    <w:rsid w:val="001D45A2"/>
    <w:rsid w:val="001F5CDB"/>
    <w:rsid w:val="00200B53"/>
    <w:rsid w:val="00206AA7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320A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4D5F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4CE6"/>
    <w:rsid w:val="00A86E69"/>
    <w:rsid w:val="00AC720E"/>
    <w:rsid w:val="00AE67E0"/>
    <w:rsid w:val="00B02E00"/>
    <w:rsid w:val="00B30523"/>
    <w:rsid w:val="00B71AF0"/>
    <w:rsid w:val="00B745DB"/>
    <w:rsid w:val="00BB4EDD"/>
    <w:rsid w:val="00BB5448"/>
    <w:rsid w:val="00BC71D5"/>
    <w:rsid w:val="00BD651A"/>
    <w:rsid w:val="00BF1076"/>
    <w:rsid w:val="00BF5B3C"/>
    <w:rsid w:val="00C06DFB"/>
    <w:rsid w:val="00C3206B"/>
    <w:rsid w:val="00C96B86"/>
    <w:rsid w:val="00CD216B"/>
    <w:rsid w:val="00CF2E8C"/>
    <w:rsid w:val="00D01251"/>
    <w:rsid w:val="00D65093"/>
    <w:rsid w:val="00D66F6E"/>
    <w:rsid w:val="00D92F42"/>
    <w:rsid w:val="00DA29B2"/>
    <w:rsid w:val="00DC441B"/>
    <w:rsid w:val="00E61933"/>
    <w:rsid w:val="00E62F0C"/>
    <w:rsid w:val="00E70CC4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440D5"/>
    <w:rsid w:val="00F51334"/>
    <w:rsid w:val="00F90820"/>
    <w:rsid w:val="00FA4018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DF36-E10B-475B-92C5-42C144E6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2018-04-12T18:59:00Z</cp:lastPrinted>
  <dcterms:created xsi:type="dcterms:W3CDTF">2018-04-26T18:44:00Z</dcterms:created>
  <dcterms:modified xsi:type="dcterms:W3CDTF">2018-07-24T16:59:00Z</dcterms:modified>
</cp:coreProperties>
</file>