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3E6C" w:rsidRPr="00786EEB" w:rsidRDefault="00C73E6C" w:rsidP="00786EEB">
      <w:pPr>
        <w:tabs>
          <w:tab w:val="center" w:pos="4253"/>
        </w:tabs>
        <w:suppressAutoHyphens/>
        <w:jc w:val="right"/>
        <w:rPr>
          <w:rFonts w:ascii="Arial" w:hAnsi="Arial" w:cs="Arial"/>
          <w:b/>
          <w:sz w:val="28"/>
          <w:szCs w:val="28"/>
          <w:lang w:val="es-ES_tradnl"/>
        </w:rPr>
      </w:pPr>
      <w:r>
        <w:rPr>
          <w:rFonts w:ascii="Arial" w:hAnsi="Arial" w:cs="Arial"/>
          <w:b/>
          <w:sz w:val="28"/>
          <w:szCs w:val="28"/>
          <w:lang w:val="es-ES_tradnl"/>
        </w:rPr>
        <w:t>RES. 1912/18</w:t>
      </w:r>
    </w:p>
    <w:p w:rsidR="00C73E6C" w:rsidRPr="00762B34" w:rsidRDefault="00C73E6C">
      <w:pPr>
        <w:tabs>
          <w:tab w:val="center" w:pos="4253"/>
        </w:tabs>
        <w:suppressAutoHyphens/>
        <w:jc w:val="center"/>
        <w:rPr>
          <w:rFonts w:ascii="Arial" w:hAnsi="Arial" w:cs="Arial"/>
          <w:b/>
          <w:lang w:val="es-ES_tradnl"/>
        </w:rPr>
      </w:pPr>
      <w:r w:rsidRPr="00762B34">
        <w:rPr>
          <w:rFonts w:ascii="Arial" w:hAnsi="Arial" w:cs="Arial"/>
          <w:b/>
          <w:lang w:val="es-ES_tradnl"/>
        </w:rPr>
        <w:t>RESOLUCION ADOPTADA POR EL</w:t>
      </w:r>
    </w:p>
    <w:p w:rsidR="00C73E6C" w:rsidRPr="00762B34" w:rsidRDefault="00C73E6C">
      <w:pPr>
        <w:tabs>
          <w:tab w:val="center" w:pos="4253"/>
        </w:tabs>
        <w:suppressAutoHyphens/>
        <w:jc w:val="center"/>
        <w:rPr>
          <w:rFonts w:ascii="Arial" w:hAnsi="Arial" w:cs="Arial"/>
          <w:b/>
          <w:lang w:val="es-ES_tradnl"/>
        </w:rPr>
      </w:pPr>
      <w:r w:rsidRPr="00762B34">
        <w:rPr>
          <w:rFonts w:ascii="Arial" w:hAnsi="Arial" w:cs="Arial"/>
          <w:b/>
          <w:lang w:val="es-ES_tradnl"/>
        </w:rPr>
        <w:t>TRIBUNAL DE CUENTAS</w:t>
      </w:r>
    </w:p>
    <w:p w:rsidR="00C73E6C" w:rsidRPr="00762B34" w:rsidRDefault="00C73E6C">
      <w:pPr>
        <w:tabs>
          <w:tab w:val="center" w:pos="4253"/>
        </w:tabs>
        <w:suppressAutoHyphens/>
        <w:jc w:val="center"/>
        <w:rPr>
          <w:rFonts w:ascii="Arial" w:hAnsi="Arial" w:cs="Arial"/>
          <w:b/>
          <w:lang w:val="es-ES_tradnl"/>
        </w:rPr>
      </w:pPr>
      <w:r w:rsidRPr="00762B34">
        <w:rPr>
          <w:rFonts w:ascii="Arial" w:hAnsi="Arial" w:cs="Arial"/>
          <w:b/>
          <w:lang w:val="es-ES_tradnl"/>
        </w:rPr>
        <w:t xml:space="preserve">EN SESION DE FECHA </w:t>
      </w:r>
      <w:r>
        <w:rPr>
          <w:rFonts w:ascii="Arial" w:hAnsi="Arial" w:cs="Arial"/>
          <w:b/>
          <w:lang w:val="es-ES_tradnl"/>
        </w:rPr>
        <w:t xml:space="preserve">13 DE JUNIO </w:t>
      </w:r>
      <w:r>
        <w:rPr>
          <w:rFonts w:ascii="Helvetica" w:hAnsi="Helvetica"/>
          <w:b/>
          <w:lang w:val="es-ES_tradnl"/>
        </w:rPr>
        <w:t>DE 2018</w:t>
      </w:r>
    </w:p>
    <w:p w:rsidR="00C73E6C" w:rsidRDefault="00C73E6C">
      <w:pPr>
        <w:tabs>
          <w:tab w:val="center" w:pos="4253"/>
        </w:tabs>
        <w:suppressAutoHyphens/>
        <w:jc w:val="center"/>
        <w:rPr>
          <w:rFonts w:ascii="Arial" w:hAnsi="Arial" w:cs="Arial"/>
          <w:b/>
        </w:rPr>
      </w:pPr>
      <w:r w:rsidRPr="00C73E6C">
        <w:rPr>
          <w:rFonts w:ascii="Arial" w:hAnsi="Arial" w:cs="Arial"/>
          <w:b/>
        </w:rPr>
        <w:t xml:space="preserve">(E. E. Nº </w:t>
      </w:r>
      <w:r>
        <w:rPr>
          <w:rFonts w:ascii="Arial" w:hAnsi="Arial" w:cs="Arial"/>
          <w:b/>
        </w:rPr>
        <w:t>2018-17-1-0000551</w:t>
      </w:r>
      <w:r w:rsidRPr="00C73E6C">
        <w:rPr>
          <w:rFonts w:ascii="Arial" w:hAnsi="Arial" w:cs="Arial"/>
          <w:b/>
        </w:rPr>
        <w:t xml:space="preserve">, </w:t>
      </w:r>
      <w:proofErr w:type="spellStart"/>
      <w:r w:rsidRPr="00C73E6C">
        <w:rPr>
          <w:rFonts w:ascii="Arial" w:hAnsi="Arial" w:cs="Arial"/>
          <w:b/>
        </w:rPr>
        <w:t>Ent</w:t>
      </w:r>
      <w:proofErr w:type="spellEnd"/>
      <w:r w:rsidRPr="00C73E6C">
        <w:rPr>
          <w:rFonts w:ascii="Arial" w:hAnsi="Arial" w:cs="Arial"/>
          <w:b/>
        </w:rPr>
        <w:t xml:space="preserve">. N° </w:t>
      </w:r>
      <w:r>
        <w:rPr>
          <w:rFonts w:ascii="Arial" w:hAnsi="Arial" w:cs="Arial"/>
          <w:b/>
        </w:rPr>
        <w:t>2519/18</w:t>
      </w:r>
      <w:r w:rsidRPr="00C73E6C">
        <w:rPr>
          <w:rFonts w:ascii="Arial" w:hAnsi="Arial" w:cs="Arial"/>
          <w:b/>
        </w:rPr>
        <w:t>)</w:t>
      </w:r>
    </w:p>
    <w:p w:rsidR="00C73E6C" w:rsidRPr="00C73E6C" w:rsidRDefault="00C73E6C">
      <w:pPr>
        <w:tabs>
          <w:tab w:val="center" w:pos="4253"/>
        </w:tabs>
        <w:suppressAutoHyphens/>
        <w:jc w:val="center"/>
        <w:rPr>
          <w:rFonts w:ascii="Arial" w:hAnsi="Arial" w:cs="Arial"/>
          <w:b/>
        </w:rPr>
      </w:pPr>
      <w:bookmarkStart w:id="0" w:name="_GoBack"/>
      <w:bookmarkEnd w:id="0"/>
    </w:p>
    <w:p w:rsidR="003F383C" w:rsidRDefault="0016316A" w:rsidP="00AB688B">
      <w:pPr>
        <w:spacing w:after="0" w:line="360" w:lineRule="auto"/>
        <w:ind w:firstLine="708"/>
        <w:jc w:val="both"/>
        <w:rPr>
          <w:rFonts w:ascii="Arial" w:hAnsi="Arial" w:cs="Arial"/>
          <w:sz w:val="24"/>
          <w:szCs w:val="24"/>
        </w:rPr>
      </w:pPr>
      <w:r w:rsidRPr="003F383C">
        <w:rPr>
          <w:rFonts w:ascii="Arial" w:hAnsi="Arial" w:cs="Arial"/>
          <w:b/>
          <w:sz w:val="24"/>
          <w:szCs w:val="24"/>
        </w:rPr>
        <w:t>VISTO:</w:t>
      </w:r>
      <w:r>
        <w:rPr>
          <w:rFonts w:ascii="Arial" w:hAnsi="Arial" w:cs="Arial"/>
          <w:sz w:val="24"/>
          <w:szCs w:val="24"/>
        </w:rPr>
        <w:t xml:space="preserve"> el Oficio N° </w:t>
      </w:r>
      <w:r w:rsidR="00A00766">
        <w:rPr>
          <w:rFonts w:ascii="Arial" w:hAnsi="Arial" w:cs="Arial"/>
          <w:sz w:val="24"/>
          <w:szCs w:val="24"/>
        </w:rPr>
        <w:t>108-2018-d/251404/1</w:t>
      </w:r>
      <w:r w:rsidR="00AF0EFC">
        <w:rPr>
          <w:rFonts w:ascii="Arial" w:hAnsi="Arial" w:cs="Arial"/>
          <w:sz w:val="24"/>
          <w:szCs w:val="24"/>
        </w:rPr>
        <w:t>, de</w:t>
      </w:r>
      <w:r>
        <w:rPr>
          <w:rFonts w:ascii="Arial" w:hAnsi="Arial" w:cs="Arial"/>
          <w:sz w:val="24"/>
          <w:szCs w:val="24"/>
        </w:rPr>
        <w:t xml:space="preserve"> </w:t>
      </w:r>
      <w:r w:rsidR="00A00766">
        <w:rPr>
          <w:rFonts w:ascii="Arial" w:hAnsi="Arial" w:cs="Arial"/>
          <w:sz w:val="24"/>
          <w:szCs w:val="24"/>
        </w:rPr>
        <w:t>fecha 10/05/18</w:t>
      </w:r>
      <w:r>
        <w:rPr>
          <w:rFonts w:ascii="Arial" w:hAnsi="Arial" w:cs="Arial"/>
          <w:sz w:val="24"/>
          <w:szCs w:val="24"/>
        </w:rPr>
        <w:t>, remitido</w:t>
      </w:r>
      <w:r w:rsidR="00AF0EFC">
        <w:rPr>
          <w:rFonts w:ascii="Arial" w:hAnsi="Arial" w:cs="Arial"/>
          <w:sz w:val="24"/>
          <w:szCs w:val="24"/>
        </w:rPr>
        <w:t xml:space="preserve"> por </w:t>
      </w:r>
      <w:r>
        <w:rPr>
          <w:rFonts w:ascii="Arial" w:hAnsi="Arial" w:cs="Arial"/>
          <w:sz w:val="24"/>
          <w:szCs w:val="24"/>
        </w:rPr>
        <w:t xml:space="preserve"> </w:t>
      </w:r>
      <w:r w:rsidR="00A278D9">
        <w:rPr>
          <w:rFonts w:ascii="Arial" w:hAnsi="Arial" w:cs="Arial"/>
          <w:sz w:val="24"/>
          <w:szCs w:val="24"/>
        </w:rPr>
        <w:t xml:space="preserve">la Administración Nacional de Combustibles Alcohol y Portland, relacionado con </w:t>
      </w:r>
      <w:r w:rsidR="003F383C">
        <w:rPr>
          <w:rFonts w:ascii="Arial" w:hAnsi="Arial" w:cs="Arial"/>
          <w:sz w:val="24"/>
          <w:szCs w:val="24"/>
        </w:rPr>
        <w:t xml:space="preserve">la reiteración </w:t>
      </w:r>
      <w:r w:rsidR="00AF0EFC">
        <w:rPr>
          <w:rFonts w:ascii="Arial" w:hAnsi="Arial" w:cs="Arial"/>
          <w:sz w:val="24"/>
          <w:szCs w:val="24"/>
        </w:rPr>
        <w:t xml:space="preserve">del gasto derivado </w:t>
      </w:r>
      <w:r w:rsidR="003F383C">
        <w:rPr>
          <w:rFonts w:ascii="Arial" w:hAnsi="Arial" w:cs="Arial"/>
          <w:sz w:val="24"/>
          <w:szCs w:val="24"/>
        </w:rPr>
        <w:t xml:space="preserve">de </w:t>
      </w:r>
      <w:r w:rsidR="00A278D9">
        <w:rPr>
          <w:rFonts w:ascii="Arial" w:hAnsi="Arial" w:cs="Arial"/>
          <w:sz w:val="24"/>
          <w:szCs w:val="24"/>
        </w:rPr>
        <w:t xml:space="preserve">la </w:t>
      </w:r>
      <w:r w:rsidR="00A00766" w:rsidRPr="00A00766">
        <w:rPr>
          <w:rFonts w:ascii="Arial" w:hAnsi="Arial" w:cs="Arial"/>
          <w:sz w:val="24"/>
          <w:szCs w:val="24"/>
        </w:rPr>
        <w:t>Licitación Pública 4600003600 convocada para la c</w:t>
      </w:r>
      <w:r w:rsidR="00A00766" w:rsidRPr="00A00766">
        <w:rPr>
          <w:rFonts w:ascii="Arial" w:hAnsi="Arial" w:cs="Arial"/>
          <w:color w:val="000000"/>
          <w:sz w:val="24"/>
          <w:szCs w:val="24"/>
        </w:rPr>
        <w:t>ontratación de u</w:t>
      </w:r>
      <w:r w:rsidR="00A00766" w:rsidRPr="00A00766">
        <w:rPr>
          <w:rFonts w:ascii="Arial" w:hAnsi="Arial" w:cs="Arial"/>
          <w:bCs/>
          <w:sz w:val="24"/>
          <w:szCs w:val="24"/>
        </w:rPr>
        <w:t>n servicio “</w:t>
      </w:r>
      <w:proofErr w:type="spellStart"/>
      <w:r w:rsidR="00A00766" w:rsidRPr="00A00766">
        <w:rPr>
          <w:rFonts w:ascii="Arial" w:hAnsi="Arial" w:cs="Arial"/>
          <w:bCs/>
          <w:sz w:val="24"/>
          <w:szCs w:val="24"/>
        </w:rPr>
        <w:t>On</w:t>
      </w:r>
      <w:proofErr w:type="spellEnd"/>
      <w:r w:rsidR="00A00766" w:rsidRPr="00A00766">
        <w:rPr>
          <w:rFonts w:ascii="Arial" w:hAnsi="Arial" w:cs="Arial"/>
          <w:bCs/>
          <w:sz w:val="24"/>
          <w:szCs w:val="24"/>
        </w:rPr>
        <w:t xml:space="preserve"> </w:t>
      </w:r>
      <w:proofErr w:type="spellStart"/>
      <w:r w:rsidR="00A00766" w:rsidRPr="00A00766">
        <w:rPr>
          <w:rFonts w:ascii="Arial" w:hAnsi="Arial" w:cs="Arial"/>
          <w:bCs/>
          <w:sz w:val="24"/>
          <w:szCs w:val="24"/>
        </w:rPr>
        <w:t>Site</w:t>
      </w:r>
      <w:proofErr w:type="spellEnd"/>
      <w:r w:rsidR="00A00766" w:rsidRPr="00A00766">
        <w:rPr>
          <w:rFonts w:ascii="Arial" w:hAnsi="Arial" w:cs="Arial"/>
          <w:bCs/>
          <w:sz w:val="24"/>
          <w:szCs w:val="24"/>
        </w:rPr>
        <w:t xml:space="preserve">” de administración, operación y monitoreo de Infraestructura informática de la </w:t>
      </w:r>
      <w:r w:rsidR="00E852D4">
        <w:rPr>
          <w:rFonts w:ascii="Arial" w:hAnsi="Arial" w:cs="Arial"/>
          <w:bCs/>
          <w:sz w:val="24"/>
          <w:szCs w:val="24"/>
        </w:rPr>
        <w:t>G</w:t>
      </w:r>
      <w:r w:rsidR="00A00766" w:rsidRPr="00A00766">
        <w:rPr>
          <w:rFonts w:ascii="Arial" w:hAnsi="Arial" w:cs="Arial"/>
          <w:bCs/>
          <w:sz w:val="24"/>
          <w:szCs w:val="24"/>
        </w:rPr>
        <w:t xml:space="preserve">erencia de </w:t>
      </w:r>
      <w:r w:rsidR="00E852D4">
        <w:rPr>
          <w:rFonts w:ascii="Arial" w:hAnsi="Arial" w:cs="Arial"/>
          <w:bCs/>
          <w:sz w:val="24"/>
          <w:szCs w:val="24"/>
        </w:rPr>
        <w:t>T</w:t>
      </w:r>
      <w:r w:rsidR="00A00766" w:rsidRPr="00A00766">
        <w:rPr>
          <w:rFonts w:ascii="Arial" w:hAnsi="Arial" w:cs="Arial"/>
          <w:bCs/>
          <w:sz w:val="24"/>
          <w:szCs w:val="24"/>
        </w:rPr>
        <w:t>ecnología de la Información</w:t>
      </w:r>
      <w:r w:rsidR="00A00766">
        <w:rPr>
          <w:rFonts w:cs="Arial"/>
          <w:bCs/>
          <w:szCs w:val="24"/>
        </w:rPr>
        <w:t>;</w:t>
      </w:r>
      <w:r w:rsidR="00A278D9">
        <w:rPr>
          <w:rFonts w:ascii="Arial" w:hAnsi="Arial" w:cs="Arial"/>
          <w:sz w:val="24"/>
          <w:szCs w:val="24"/>
        </w:rPr>
        <w:t>.</w:t>
      </w:r>
    </w:p>
    <w:p w:rsidR="00A00766" w:rsidRPr="00A00766" w:rsidRDefault="0016316A" w:rsidP="00AB688B">
      <w:pPr>
        <w:spacing w:after="0" w:line="360" w:lineRule="auto"/>
        <w:ind w:firstLine="708"/>
        <w:jc w:val="both"/>
        <w:rPr>
          <w:rFonts w:ascii="Arial" w:hAnsi="Arial" w:cs="Arial"/>
          <w:b/>
          <w:sz w:val="24"/>
          <w:szCs w:val="24"/>
        </w:rPr>
      </w:pPr>
      <w:r w:rsidRPr="003F383C">
        <w:rPr>
          <w:rFonts w:ascii="Arial" w:hAnsi="Arial" w:cs="Arial"/>
          <w:b/>
          <w:sz w:val="24"/>
          <w:szCs w:val="24"/>
        </w:rPr>
        <w:t>RESULTANDO: 1)</w:t>
      </w:r>
      <w:r w:rsidR="00AF0EFC">
        <w:rPr>
          <w:rFonts w:ascii="Arial" w:hAnsi="Arial" w:cs="Arial"/>
          <w:sz w:val="24"/>
          <w:szCs w:val="24"/>
        </w:rPr>
        <w:t xml:space="preserve">  </w:t>
      </w:r>
      <w:r w:rsidR="00A00766" w:rsidRPr="00A00766">
        <w:rPr>
          <w:rFonts w:ascii="Arial" w:hAnsi="Arial" w:cs="Arial"/>
          <w:sz w:val="24"/>
          <w:szCs w:val="24"/>
        </w:rPr>
        <w:t xml:space="preserve">que por Resolución </w:t>
      </w:r>
      <w:r w:rsidR="00A00766" w:rsidRPr="00A00766">
        <w:rPr>
          <w:rFonts w:ascii="Arial" w:hAnsi="Arial" w:cs="Arial"/>
          <w:color w:val="000000"/>
          <w:sz w:val="24"/>
          <w:szCs w:val="24"/>
        </w:rPr>
        <w:t>N° 39/1/2018 de fecha 18.01.18</w:t>
      </w:r>
      <w:r w:rsidR="00A00766" w:rsidRPr="00A00766">
        <w:rPr>
          <w:rFonts w:ascii="Arial" w:hAnsi="Arial" w:cs="Arial"/>
          <w:sz w:val="24"/>
          <w:szCs w:val="24"/>
        </w:rPr>
        <w:t>, el Directorio dispuso</w:t>
      </w:r>
      <w:r w:rsidR="00E852D4">
        <w:rPr>
          <w:rFonts w:ascii="Arial" w:hAnsi="Arial" w:cs="Arial"/>
          <w:sz w:val="24"/>
          <w:szCs w:val="24"/>
        </w:rPr>
        <w:t xml:space="preserve">, </w:t>
      </w:r>
      <w:r w:rsidR="00E852D4" w:rsidRPr="00A00766">
        <w:rPr>
          <w:rFonts w:ascii="Arial" w:hAnsi="Arial" w:cs="Arial"/>
          <w:sz w:val="24"/>
          <w:szCs w:val="24"/>
        </w:rPr>
        <w:t>condicionado a la intervención preventiva de este Tribunal</w:t>
      </w:r>
      <w:r w:rsidR="00E852D4">
        <w:rPr>
          <w:rFonts w:ascii="Arial" w:hAnsi="Arial" w:cs="Arial"/>
          <w:sz w:val="24"/>
          <w:szCs w:val="24"/>
        </w:rPr>
        <w:t>,</w:t>
      </w:r>
      <w:r w:rsidR="00A00766" w:rsidRPr="00A00766">
        <w:rPr>
          <w:rFonts w:ascii="Arial" w:hAnsi="Arial" w:cs="Arial"/>
          <w:sz w:val="24"/>
          <w:szCs w:val="24"/>
        </w:rPr>
        <w:t xml:space="preserve"> la adjudicación </w:t>
      </w:r>
      <w:r w:rsidR="00A00766" w:rsidRPr="00A00766">
        <w:rPr>
          <w:rFonts w:ascii="Arial" w:hAnsi="Arial" w:cs="Arial"/>
          <w:color w:val="000000"/>
          <w:sz w:val="24"/>
          <w:szCs w:val="24"/>
        </w:rPr>
        <w:t xml:space="preserve">a </w:t>
      </w:r>
      <w:r w:rsidR="00A00766" w:rsidRPr="00A00766">
        <w:rPr>
          <w:rFonts w:ascii="Arial" w:hAnsi="Arial" w:cs="Arial"/>
          <w:sz w:val="24"/>
          <w:szCs w:val="24"/>
        </w:rPr>
        <w:t>SONDA URUGUAY S.A. (incluido el servicio de operación y monitoreo opcional), por un monto de hasta $50.000.000</w:t>
      </w:r>
      <w:r w:rsidR="00DA65C5">
        <w:rPr>
          <w:rFonts w:ascii="Arial" w:hAnsi="Arial" w:cs="Arial"/>
          <w:sz w:val="24"/>
          <w:szCs w:val="24"/>
        </w:rPr>
        <w:t xml:space="preserve">, </w:t>
      </w:r>
      <w:r w:rsidR="00A00766" w:rsidRPr="00A00766">
        <w:rPr>
          <w:rFonts w:ascii="Arial" w:hAnsi="Arial" w:cs="Arial"/>
          <w:sz w:val="24"/>
          <w:szCs w:val="24"/>
        </w:rPr>
        <w:t xml:space="preserve">más el 22% de I.V.A. por un monto de $ 11.000.000, con opción a renovación por hasta </w:t>
      </w:r>
      <w:r w:rsidR="00EC5491">
        <w:rPr>
          <w:rFonts w:ascii="Arial" w:hAnsi="Arial" w:cs="Arial"/>
          <w:sz w:val="24"/>
          <w:szCs w:val="24"/>
        </w:rPr>
        <w:t>igual monto a criterio de ANCAP</w:t>
      </w:r>
      <w:r w:rsidR="00E852D4">
        <w:rPr>
          <w:rFonts w:ascii="Arial" w:hAnsi="Arial" w:cs="Arial"/>
          <w:sz w:val="24"/>
          <w:szCs w:val="24"/>
        </w:rPr>
        <w:t>,</w:t>
      </w:r>
      <w:r w:rsidR="00EC5491">
        <w:rPr>
          <w:rFonts w:ascii="Arial" w:hAnsi="Arial" w:cs="Arial"/>
          <w:sz w:val="24"/>
          <w:szCs w:val="24"/>
        </w:rPr>
        <w:t xml:space="preserve"> en iguales condiciones</w:t>
      </w:r>
      <w:r w:rsidR="00A00766" w:rsidRPr="00A00766">
        <w:rPr>
          <w:rFonts w:ascii="Arial" w:hAnsi="Arial" w:cs="Arial"/>
          <w:sz w:val="24"/>
          <w:szCs w:val="24"/>
        </w:rPr>
        <w:t>;</w:t>
      </w:r>
    </w:p>
    <w:p w:rsidR="00A00766" w:rsidRDefault="00A00766" w:rsidP="00AB688B">
      <w:pPr>
        <w:autoSpaceDE w:val="0"/>
        <w:autoSpaceDN w:val="0"/>
        <w:adjustRightInd w:val="0"/>
        <w:spacing w:after="0" w:line="360" w:lineRule="auto"/>
        <w:ind w:firstLine="2552"/>
        <w:jc w:val="both"/>
        <w:rPr>
          <w:rFonts w:cs="Arial"/>
          <w:szCs w:val="24"/>
        </w:rPr>
      </w:pPr>
      <w:r>
        <w:rPr>
          <w:rFonts w:ascii="Arial" w:hAnsi="Arial" w:cs="Arial"/>
          <w:b/>
          <w:sz w:val="24"/>
          <w:szCs w:val="24"/>
        </w:rPr>
        <w:t>2</w:t>
      </w:r>
      <w:r w:rsidR="0016316A" w:rsidRPr="003F383C">
        <w:rPr>
          <w:rFonts w:ascii="Arial" w:hAnsi="Arial" w:cs="Arial"/>
          <w:b/>
          <w:sz w:val="24"/>
          <w:szCs w:val="24"/>
        </w:rPr>
        <w:t>)</w:t>
      </w:r>
      <w:r w:rsidR="0016316A">
        <w:rPr>
          <w:rFonts w:ascii="Arial" w:hAnsi="Arial" w:cs="Arial"/>
          <w:sz w:val="24"/>
          <w:szCs w:val="24"/>
        </w:rPr>
        <w:t xml:space="preserve"> que este Tribunal por Resolución  N° </w:t>
      </w:r>
      <w:r>
        <w:rPr>
          <w:rFonts w:ascii="Arial" w:hAnsi="Arial" w:cs="Arial"/>
          <w:sz w:val="24"/>
          <w:szCs w:val="24"/>
        </w:rPr>
        <w:t>795/</w:t>
      </w:r>
      <w:r w:rsidR="0016316A">
        <w:rPr>
          <w:rFonts w:ascii="Arial" w:hAnsi="Arial" w:cs="Arial"/>
          <w:sz w:val="24"/>
          <w:szCs w:val="24"/>
        </w:rPr>
        <w:t xml:space="preserve">18 de fecha </w:t>
      </w:r>
      <w:r>
        <w:rPr>
          <w:rFonts w:ascii="Arial" w:hAnsi="Arial" w:cs="Arial"/>
          <w:sz w:val="24"/>
          <w:szCs w:val="24"/>
        </w:rPr>
        <w:t>28</w:t>
      </w:r>
      <w:r w:rsidR="0016316A">
        <w:rPr>
          <w:rFonts w:ascii="Arial" w:hAnsi="Arial" w:cs="Arial"/>
          <w:sz w:val="24"/>
          <w:szCs w:val="24"/>
        </w:rPr>
        <w:t>.2.</w:t>
      </w:r>
      <w:r w:rsidR="00AF0EFC">
        <w:rPr>
          <w:rFonts w:ascii="Arial" w:hAnsi="Arial" w:cs="Arial"/>
          <w:sz w:val="24"/>
          <w:szCs w:val="24"/>
        </w:rPr>
        <w:t>20</w:t>
      </w:r>
      <w:r w:rsidR="0016316A">
        <w:rPr>
          <w:rFonts w:ascii="Arial" w:hAnsi="Arial" w:cs="Arial"/>
          <w:sz w:val="24"/>
          <w:szCs w:val="24"/>
        </w:rPr>
        <w:t>18 observ</w:t>
      </w:r>
      <w:r w:rsidR="00DA65C5">
        <w:rPr>
          <w:rFonts w:ascii="Arial" w:hAnsi="Arial" w:cs="Arial"/>
          <w:sz w:val="24"/>
          <w:szCs w:val="24"/>
        </w:rPr>
        <w:t>ó</w:t>
      </w:r>
      <w:r w:rsidR="0016316A">
        <w:rPr>
          <w:rFonts w:ascii="Arial" w:hAnsi="Arial" w:cs="Arial"/>
          <w:sz w:val="24"/>
          <w:szCs w:val="24"/>
        </w:rPr>
        <w:t xml:space="preserve"> el gasto, </w:t>
      </w:r>
      <w:r w:rsidR="00EC5491">
        <w:rPr>
          <w:rFonts w:ascii="Arial" w:hAnsi="Arial" w:cs="Arial"/>
          <w:sz w:val="24"/>
          <w:szCs w:val="24"/>
        </w:rPr>
        <w:t>en razón de que</w:t>
      </w:r>
      <w:r>
        <w:rPr>
          <w:rFonts w:ascii="Arial" w:hAnsi="Arial" w:cs="Arial"/>
          <w:sz w:val="24"/>
          <w:szCs w:val="24"/>
        </w:rPr>
        <w:t>:</w:t>
      </w:r>
      <w:r w:rsidRPr="00A00766">
        <w:rPr>
          <w:rFonts w:cs="Arial"/>
          <w:szCs w:val="24"/>
        </w:rPr>
        <w:t xml:space="preserve"> </w:t>
      </w:r>
    </w:p>
    <w:p w:rsidR="00A00766" w:rsidRPr="00A00766" w:rsidRDefault="00A00766" w:rsidP="00AB688B">
      <w:pPr>
        <w:autoSpaceDE w:val="0"/>
        <w:autoSpaceDN w:val="0"/>
        <w:adjustRightInd w:val="0"/>
        <w:spacing w:after="0" w:line="360" w:lineRule="auto"/>
        <w:jc w:val="both"/>
        <w:rPr>
          <w:rFonts w:ascii="Arial" w:hAnsi="Arial" w:cs="Arial"/>
          <w:sz w:val="24"/>
          <w:szCs w:val="24"/>
        </w:rPr>
      </w:pPr>
      <w:r>
        <w:rPr>
          <w:rFonts w:ascii="Arial" w:hAnsi="Arial" w:cs="Arial"/>
          <w:b/>
          <w:sz w:val="24"/>
          <w:szCs w:val="24"/>
        </w:rPr>
        <w:t>2.1)</w:t>
      </w:r>
      <w:r w:rsidRPr="00A00766">
        <w:rPr>
          <w:rFonts w:ascii="Arial" w:hAnsi="Arial" w:cs="Arial"/>
          <w:sz w:val="24"/>
          <w:szCs w:val="24"/>
        </w:rPr>
        <w:t xml:space="preserve"> el </w:t>
      </w:r>
      <w:r w:rsidR="00AB688B">
        <w:rPr>
          <w:rFonts w:ascii="Arial" w:hAnsi="Arial" w:cs="Arial"/>
          <w:sz w:val="24"/>
          <w:szCs w:val="24"/>
        </w:rPr>
        <w:t>Artículo</w:t>
      </w:r>
      <w:r w:rsidRPr="00A00766">
        <w:rPr>
          <w:rFonts w:ascii="Arial" w:hAnsi="Arial" w:cs="Arial"/>
          <w:sz w:val="24"/>
          <w:szCs w:val="24"/>
        </w:rPr>
        <w:t xml:space="preserve"> II</w:t>
      </w:r>
      <w:r w:rsidRPr="00A00766">
        <w:rPr>
          <w:rFonts w:ascii="Arial" w:hAnsi="Arial" w:cs="Arial"/>
          <w:color w:val="000000"/>
          <w:sz w:val="24"/>
          <w:szCs w:val="24"/>
        </w:rPr>
        <w:t xml:space="preserve">.5 del Pliego: “Información </w:t>
      </w:r>
      <w:r w:rsidR="00E852D4">
        <w:rPr>
          <w:rFonts w:ascii="Arial" w:hAnsi="Arial" w:cs="Arial"/>
          <w:color w:val="000000"/>
          <w:sz w:val="24"/>
          <w:szCs w:val="24"/>
        </w:rPr>
        <w:t>a</w:t>
      </w:r>
      <w:r w:rsidRPr="00A00766">
        <w:rPr>
          <w:rFonts w:ascii="Arial" w:hAnsi="Arial" w:cs="Arial"/>
          <w:color w:val="000000"/>
          <w:sz w:val="24"/>
          <w:szCs w:val="24"/>
        </w:rPr>
        <w:t xml:space="preserve"> </w:t>
      </w:r>
      <w:r w:rsidR="00E852D4">
        <w:rPr>
          <w:rFonts w:ascii="Arial" w:hAnsi="Arial" w:cs="Arial"/>
          <w:color w:val="000000"/>
          <w:sz w:val="24"/>
          <w:szCs w:val="24"/>
        </w:rPr>
        <w:t>s</w:t>
      </w:r>
      <w:r w:rsidRPr="00A00766">
        <w:rPr>
          <w:rFonts w:ascii="Arial" w:hAnsi="Arial" w:cs="Arial"/>
          <w:color w:val="000000"/>
          <w:sz w:val="24"/>
          <w:szCs w:val="24"/>
        </w:rPr>
        <w:t>uministrar con la Oferta”, solicita la presentación de dat</w:t>
      </w:r>
      <w:r w:rsidR="00EC5491">
        <w:rPr>
          <w:rFonts w:ascii="Arial" w:hAnsi="Arial" w:cs="Arial"/>
          <w:color w:val="000000"/>
          <w:sz w:val="24"/>
          <w:szCs w:val="24"/>
        </w:rPr>
        <w:t>os de los oferentes, tales como</w:t>
      </w:r>
      <w:r w:rsidRPr="00A00766">
        <w:rPr>
          <w:rFonts w:ascii="Arial" w:hAnsi="Arial" w:cs="Arial"/>
          <w:color w:val="000000"/>
          <w:sz w:val="24"/>
          <w:szCs w:val="24"/>
        </w:rPr>
        <w:t>:</w:t>
      </w:r>
      <w:r w:rsidRPr="00A00766">
        <w:rPr>
          <w:rFonts w:ascii="Arial" w:hAnsi="Arial" w:cs="Arial"/>
          <w:sz w:val="24"/>
          <w:szCs w:val="24"/>
        </w:rPr>
        <w:t xml:space="preserve"> </w:t>
      </w:r>
      <w:r w:rsidR="00E852D4">
        <w:rPr>
          <w:rFonts w:ascii="Arial" w:hAnsi="Arial" w:cs="Arial"/>
          <w:sz w:val="24"/>
          <w:szCs w:val="24"/>
        </w:rPr>
        <w:t>t</w:t>
      </w:r>
      <w:r w:rsidRPr="00A00766">
        <w:rPr>
          <w:rFonts w:ascii="Arial" w:hAnsi="Arial" w:cs="Arial"/>
          <w:sz w:val="24"/>
          <w:szCs w:val="24"/>
        </w:rPr>
        <w:t>ipo de Sociedad</w:t>
      </w:r>
      <w:r w:rsidR="00E852D4">
        <w:rPr>
          <w:rFonts w:ascii="Arial" w:hAnsi="Arial" w:cs="Arial"/>
          <w:sz w:val="24"/>
          <w:szCs w:val="24"/>
        </w:rPr>
        <w:t>,</w:t>
      </w:r>
      <w:r w:rsidRPr="00A00766">
        <w:rPr>
          <w:rFonts w:ascii="Arial" w:hAnsi="Arial" w:cs="Arial"/>
          <w:sz w:val="24"/>
          <w:szCs w:val="24"/>
        </w:rPr>
        <w:t xml:space="preserve"> </w:t>
      </w:r>
      <w:r w:rsidR="00E852D4">
        <w:rPr>
          <w:rFonts w:ascii="Arial" w:hAnsi="Arial" w:cs="Arial"/>
          <w:sz w:val="24"/>
          <w:szCs w:val="24"/>
        </w:rPr>
        <w:t>an</w:t>
      </w:r>
      <w:r w:rsidRPr="00A00766">
        <w:rPr>
          <w:rFonts w:ascii="Arial" w:hAnsi="Arial" w:cs="Arial"/>
          <w:sz w:val="24"/>
          <w:szCs w:val="24"/>
        </w:rPr>
        <w:t xml:space="preserve">tigüedad (fecha </w:t>
      </w:r>
      <w:r w:rsidR="00EC5491">
        <w:rPr>
          <w:rFonts w:ascii="Arial" w:hAnsi="Arial" w:cs="Arial"/>
          <w:sz w:val="24"/>
          <w:szCs w:val="24"/>
        </w:rPr>
        <w:t xml:space="preserve">de constitución de la misma); </w:t>
      </w:r>
      <w:r w:rsidRPr="00A00766">
        <w:rPr>
          <w:rFonts w:ascii="Arial" w:hAnsi="Arial" w:cs="Arial"/>
          <w:sz w:val="24"/>
          <w:szCs w:val="24"/>
        </w:rPr>
        <w:t xml:space="preserve"> </w:t>
      </w:r>
      <w:r w:rsidR="00E852D4">
        <w:rPr>
          <w:rFonts w:ascii="Arial" w:hAnsi="Arial" w:cs="Arial"/>
          <w:sz w:val="24"/>
          <w:szCs w:val="24"/>
        </w:rPr>
        <w:t>n</w:t>
      </w:r>
      <w:r w:rsidRPr="00A00766">
        <w:rPr>
          <w:rFonts w:ascii="Arial" w:hAnsi="Arial" w:cs="Arial"/>
          <w:sz w:val="24"/>
          <w:szCs w:val="24"/>
        </w:rPr>
        <w:t xml:space="preserve">ombre de los representantes legales de la empresa, de los titulares que la componen </w:t>
      </w:r>
      <w:r w:rsidR="00E852D4">
        <w:rPr>
          <w:rFonts w:ascii="Arial" w:hAnsi="Arial" w:cs="Arial"/>
          <w:sz w:val="24"/>
          <w:szCs w:val="24"/>
        </w:rPr>
        <w:t>las</w:t>
      </w:r>
      <w:r w:rsidRPr="00A00766">
        <w:rPr>
          <w:rFonts w:ascii="Arial" w:hAnsi="Arial" w:cs="Arial"/>
          <w:sz w:val="24"/>
          <w:szCs w:val="24"/>
        </w:rPr>
        <w:t xml:space="preserve"> Sociedades Anónimas, de los integrantes del Directorio; información que está disponible en el  Registro </w:t>
      </w:r>
      <w:r w:rsidR="00DA65C5">
        <w:rPr>
          <w:rFonts w:ascii="Arial" w:hAnsi="Arial" w:cs="Arial"/>
          <w:sz w:val="24"/>
          <w:szCs w:val="24"/>
        </w:rPr>
        <w:t>Ú</w:t>
      </w:r>
      <w:r w:rsidRPr="00A00766">
        <w:rPr>
          <w:rFonts w:ascii="Arial" w:hAnsi="Arial" w:cs="Arial"/>
          <w:sz w:val="24"/>
          <w:szCs w:val="24"/>
        </w:rPr>
        <w:t xml:space="preserve">nico de Proveedores del Estado  (RUPE), por lo cual </w:t>
      </w:r>
      <w:r w:rsidR="00E852D4">
        <w:rPr>
          <w:rFonts w:ascii="Arial" w:hAnsi="Arial" w:cs="Arial"/>
          <w:sz w:val="24"/>
          <w:szCs w:val="24"/>
        </w:rPr>
        <w:t xml:space="preserve">en </w:t>
      </w:r>
      <w:r w:rsidRPr="00A00766">
        <w:rPr>
          <w:rFonts w:ascii="Arial" w:hAnsi="Arial" w:cs="Arial"/>
          <w:sz w:val="24"/>
          <w:szCs w:val="24"/>
        </w:rPr>
        <w:t>dicha disposición</w:t>
      </w:r>
      <w:r w:rsidR="00E852D4">
        <w:rPr>
          <w:rFonts w:ascii="Arial" w:hAnsi="Arial" w:cs="Arial"/>
          <w:sz w:val="24"/>
          <w:szCs w:val="24"/>
        </w:rPr>
        <w:t xml:space="preserve"> se</w:t>
      </w:r>
      <w:r w:rsidRPr="00A00766">
        <w:rPr>
          <w:rFonts w:ascii="Arial" w:hAnsi="Arial" w:cs="Arial"/>
          <w:sz w:val="24"/>
          <w:szCs w:val="24"/>
        </w:rPr>
        <w:t xml:space="preserve"> contraviene lo dispuesto por el </w:t>
      </w:r>
      <w:r w:rsidR="00AB688B">
        <w:rPr>
          <w:rFonts w:ascii="Arial" w:hAnsi="Arial" w:cs="Arial"/>
          <w:sz w:val="24"/>
          <w:szCs w:val="24"/>
        </w:rPr>
        <w:t>A</w:t>
      </w:r>
      <w:r w:rsidRPr="00A00766">
        <w:rPr>
          <w:rFonts w:ascii="Arial" w:hAnsi="Arial" w:cs="Arial"/>
          <w:sz w:val="24"/>
          <w:szCs w:val="24"/>
        </w:rPr>
        <w:t xml:space="preserve">rtículo 48 del TOCAF,  en tanto establece que no podrán exigirse a los oferentes requisitos </w:t>
      </w:r>
      <w:r w:rsidRPr="00A00766">
        <w:rPr>
          <w:rFonts w:ascii="Arial" w:hAnsi="Arial" w:cs="Arial"/>
          <w:sz w:val="24"/>
          <w:szCs w:val="24"/>
        </w:rPr>
        <w:lastRenderedPageBreak/>
        <w:t>que constan en dicho Registro, reservándose s</w:t>
      </w:r>
      <w:r w:rsidR="00DA65C5">
        <w:rPr>
          <w:rFonts w:ascii="Arial" w:hAnsi="Arial" w:cs="Arial"/>
          <w:sz w:val="24"/>
          <w:szCs w:val="24"/>
        </w:rPr>
        <w:t>ó</w:t>
      </w:r>
      <w:r w:rsidRPr="00A00766">
        <w:rPr>
          <w:rFonts w:ascii="Arial" w:hAnsi="Arial" w:cs="Arial"/>
          <w:sz w:val="24"/>
          <w:szCs w:val="24"/>
        </w:rPr>
        <w:t xml:space="preserve">lo  al oferente que resulte adjudicatario la carga  administrativa de demostrar estar en condiciones formales  de contratar con el Estado; </w:t>
      </w:r>
    </w:p>
    <w:p w:rsidR="00A00766" w:rsidRPr="00A00766" w:rsidRDefault="00A00766" w:rsidP="00AB688B">
      <w:pPr>
        <w:spacing w:after="0" w:line="360" w:lineRule="auto"/>
        <w:jc w:val="both"/>
        <w:rPr>
          <w:rFonts w:ascii="Arial" w:hAnsi="Arial" w:cs="Arial"/>
          <w:sz w:val="24"/>
          <w:szCs w:val="24"/>
          <w:lang w:val="es-MX"/>
        </w:rPr>
      </w:pPr>
      <w:r w:rsidRPr="00A00766">
        <w:rPr>
          <w:rFonts w:ascii="Arial" w:hAnsi="Arial" w:cs="Arial"/>
          <w:b/>
          <w:sz w:val="24"/>
          <w:szCs w:val="24"/>
        </w:rPr>
        <w:t>2</w:t>
      </w:r>
      <w:r>
        <w:rPr>
          <w:rFonts w:ascii="Arial" w:hAnsi="Arial" w:cs="Arial"/>
          <w:b/>
          <w:sz w:val="24"/>
          <w:szCs w:val="24"/>
        </w:rPr>
        <w:t>.2</w:t>
      </w:r>
      <w:r w:rsidRPr="00A00766">
        <w:rPr>
          <w:rFonts w:ascii="Arial" w:hAnsi="Arial" w:cs="Arial"/>
          <w:b/>
          <w:sz w:val="24"/>
          <w:szCs w:val="24"/>
        </w:rPr>
        <w:t xml:space="preserve">) </w:t>
      </w:r>
      <w:r>
        <w:rPr>
          <w:rFonts w:ascii="Arial" w:hAnsi="Arial" w:cs="Arial"/>
          <w:sz w:val="24"/>
          <w:szCs w:val="24"/>
        </w:rPr>
        <w:t>asimismo,</w:t>
      </w:r>
      <w:r w:rsidRPr="00A00766">
        <w:rPr>
          <w:rFonts w:ascii="Arial" w:hAnsi="Arial" w:cs="Arial"/>
          <w:sz w:val="24"/>
          <w:szCs w:val="24"/>
        </w:rPr>
        <w:t xml:space="preserve">  el numeral IV.5</w:t>
      </w:r>
      <w:r w:rsidRPr="00A00766">
        <w:rPr>
          <w:rFonts w:ascii="Arial" w:hAnsi="Arial" w:cs="Arial"/>
          <w:b/>
          <w:sz w:val="24"/>
          <w:szCs w:val="24"/>
        </w:rPr>
        <w:t xml:space="preserve"> </w:t>
      </w:r>
      <w:r w:rsidRPr="00A00766">
        <w:rPr>
          <w:rFonts w:ascii="Arial" w:hAnsi="Arial" w:cs="Arial"/>
          <w:sz w:val="24"/>
          <w:szCs w:val="24"/>
        </w:rPr>
        <w:t xml:space="preserve">del Pliego de Condiciones Particulares exigió la exhibición en forma conjunta con las propuestas, de la constancia que acredite el cumplimiento de la Ley Nº 16.074 sobre Seguros contra Accidentes de trabajo y Enfermedades Profesionales, contraviniendo lo dispuesto por el </w:t>
      </w:r>
      <w:r w:rsidR="00AB688B">
        <w:rPr>
          <w:rFonts w:ascii="Arial" w:hAnsi="Arial" w:cs="Arial"/>
          <w:sz w:val="24"/>
          <w:szCs w:val="24"/>
        </w:rPr>
        <w:t>A</w:t>
      </w:r>
      <w:r w:rsidRPr="00A00766">
        <w:rPr>
          <w:rFonts w:ascii="Arial" w:hAnsi="Arial" w:cs="Arial"/>
          <w:sz w:val="24"/>
          <w:szCs w:val="24"/>
        </w:rPr>
        <w:t>rtículo 48 del TOCAF,  exigiendo otro recaudo que se encuentr</w:t>
      </w:r>
      <w:r w:rsidR="00DA65C5">
        <w:rPr>
          <w:rFonts w:ascii="Arial" w:hAnsi="Arial" w:cs="Arial"/>
          <w:sz w:val="24"/>
          <w:szCs w:val="24"/>
        </w:rPr>
        <w:t>a</w:t>
      </w:r>
      <w:r w:rsidRPr="00A00766">
        <w:rPr>
          <w:rFonts w:ascii="Arial" w:hAnsi="Arial" w:cs="Arial"/>
          <w:sz w:val="24"/>
          <w:szCs w:val="24"/>
        </w:rPr>
        <w:t xml:space="preserve"> disponible en el RUPE;</w:t>
      </w:r>
    </w:p>
    <w:p w:rsidR="005E6AF5" w:rsidRDefault="00A00766" w:rsidP="00AB688B">
      <w:pPr>
        <w:spacing w:after="0" w:line="360" w:lineRule="auto"/>
        <w:ind w:firstLine="2552"/>
        <w:jc w:val="both"/>
        <w:rPr>
          <w:rFonts w:ascii="Arial" w:hAnsi="Arial" w:cs="Arial"/>
          <w:sz w:val="24"/>
          <w:szCs w:val="24"/>
        </w:rPr>
      </w:pPr>
      <w:r>
        <w:rPr>
          <w:rFonts w:ascii="Arial" w:hAnsi="Arial" w:cs="Arial"/>
          <w:b/>
          <w:sz w:val="24"/>
          <w:szCs w:val="24"/>
        </w:rPr>
        <w:t>3</w:t>
      </w:r>
      <w:r w:rsidR="00587A7D" w:rsidRPr="003F383C">
        <w:rPr>
          <w:rFonts w:ascii="Arial" w:hAnsi="Arial" w:cs="Arial"/>
          <w:b/>
          <w:sz w:val="24"/>
          <w:szCs w:val="24"/>
        </w:rPr>
        <w:t>)</w:t>
      </w:r>
      <w:r w:rsidR="00587A7D">
        <w:rPr>
          <w:rFonts w:ascii="Arial" w:hAnsi="Arial" w:cs="Arial"/>
          <w:sz w:val="24"/>
          <w:szCs w:val="24"/>
        </w:rPr>
        <w:t xml:space="preserve"> que por Resolución </w:t>
      </w:r>
      <w:r>
        <w:rPr>
          <w:rFonts w:ascii="Arial" w:hAnsi="Arial" w:cs="Arial"/>
          <w:sz w:val="24"/>
          <w:szCs w:val="24"/>
        </w:rPr>
        <w:t>355/5/2018</w:t>
      </w:r>
      <w:r w:rsidR="00587A7D">
        <w:rPr>
          <w:rFonts w:ascii="Arial" w:hAnsi="Arial" w:cs="Arial"/>
          <w:sz w:val="24"/>
          <w:szCs w:val="24"/>
        </w:rPr>
        <w:t xml:space="preserve"> de fecha </w:t>
      </w:r>
      <w:r>
        <w:rPr>
          <w:rFonts w:ascii="Arial" w:hAnsi="Arial" w:cs="Arial"/>
          <w:sz w:val="24"/>
          <w:szCs w:val="24"/>
        </w:rPr>
        <w:t>10.05</w:t>
      </w:r>
      <w:r w:rsidR="00587A7D">
        <w:rPr>
          <w:rFonts w:ascii="Arial" w:hAnsi="Arial" w:cs="Arial"/>
          <w:sz w:val="24"/>
          <w:szCs w:val="24"/>
        </w:rPr>
        <w:t>.</w:t>
      </w:r>
      <w:r w:rsidR="000234FF">
        <w:rPr>
          <w:rFonts w:ascii="Arial" w:hAnsi="Arial" w:cs="Arial"/>
          <w:sz w:val="24"/>
          <w:szCs w:val="24"/>
        </w:rPr>
        <w:t>20</w:t>
      </w:r>
      <w:r w:rsidR="00587A7D">
        <w:rPr>
          <w:rFonts w:ascii="Arial" w:hAnsi="Arial" w:cs="Arial"/>
          <w:sz w:val="24"/>
          <w:szCs w:val="24"/>
        </w:rPr>
        <w:t>18</w:t>
      </w:r>
      <w:r w:rsidR="00015E4C">
        <w:rPr>
          <w:rFonts w:ascii="Arial" w:hAnsi="Arial" w:cs="Arial"/>
          <w:sz w:val="24"/>
          <w:szCs w:val="24"/>
        </w:rPr>
        <w:t>, el Directorio, reitera el gasto</w:t>
      </w:r>
      <w:r w:rsidR="00E852D4">
        <w:rPr>
          <w:rFonts w:ascii="Arial" w:hAnsi="Arial" w:cs="Arial"/>
          <w:sz w:val="24"/>
          <w:szCs w:val="24"/>
        </w:rPr>
        <w:t>,</w:t>
      </w:r>
      <w:r w:rsidR="00015E4C">
        <w:rPr>
          <w:rFonts w:ascii="Arial" w:hAnsi="Arial" w:cs="Arial"/>
          <w:sz w:val="24"/>
          <w:szCs w:val="24"/>
        </w:rPr>
        <w:t xml:space="preserve"> expresando que</w:t>
      </w:r>
      <w:r w:rsidR="00A8476E">
        <w:rPr>
          <w:rFonts w:ascii="Arial" w:hAnsi="Arial" w:cs="Arial"/>
          <w:sz w:val="24"/>
          <w:szCs w:val="24"/>
        </w:rPr>
        <w:t>: a)</w:t>
      </w:r>
      <w:r w:rsidR="00015E4C">
        <w:rPr>
          <w:rFonts w:ascii="Arial" w:hAnsi="Arial" w:cs="Arial"/>
          <w:sz w:val="24"/>
          <w:szCs w:val="24"/>
        </w:rPr>
        <w:t xml:space="preserve"> </w:t>
      </w:r>
      <w:r w:rsidR="005E6AF5">
        <w:rPr>
          <w:rFonts w:ascii="Arial" w:hAnsi="Arial" w:cs="Arial"/>
          <w:sz w:val="24"/>
          <w:szCs w:val="24"/>
        </w:rPr>
        <w:t xml:space="preserve"> no comparte la observación realizada ni la interpretació</w:t>
      </w:r>
      <w:r w:rsidR="00A8476E">
        <w:rPr>
          <w:rFonts w:ascii="Arial" w:hAnsi="Arial" w:cs="Arial"/>
          <w:sz w:val="24"/>
          <w:szCs w:val="24"/>
        </w:rPr>
        <w:t xml:space="preserve">n, </w:t>
      </w:r>
      <w:r w:rsidR="000234FF">
        <w:rPr>
          <w:rFonts w:ascii="Arial" w:hAnsi="Arial" w:cs="Arial"/>
          <w:sz w:val="24"/>
          <w:szCs w:val="24"/>
        </w:rPr>
        <w:t xml:space="preserve"> ent</w:t>
      </w:r>
      <w:r w:rsidR="00A8476E">
        <w:rPr>
          <w:rFonts w:ascii="Arial" w:hAnsi="Arial" w:cs="Arial"/>
          <w:sz w:val="24"/>
          <w:szCs w:val="24"/>
        </w:rPr>
        <w:t>end</w:t>
      </w:r>
      <w:r w:rsidR="000234FF">
        <w:rPr>
          <w:rFonts w:ascii="Arial" w:hAnsi="Arial" w:cs="Arial"/>
          <w:sz w:val="24"/>
          <w:szCs w:val="24"/>
        </w:rPr>
        <w:t xml:space="preserve">iendo </w:t>
      </w:r>
      <w:r w:rsidR="00A8476E">
        <w:rPr>
          <w:rFonts w:ascii="Arial" w:hAnsi="Arial" w:cs="Arial"/>
          <w:sz w:val="24"/>
          <w:szCs w:val="24"/>
        </w:rPr>
        <w:t>que la</w:t>
      </w:r>
      <w:r>
        <w:rPr>
          <w:rFonts w:ascii="Arial" w:hAnsi="Arial" w:cs="Arial"/>
          <w:sz w:val="24"/>
          <w:szCs w:val="24"/>
        </w:rPr>
        <w:t xml:space="preserve">s disposiciones del pliego  no contravienen lo dispuesto en el </w:t>
      </w:r>
      <w:r w:rsidR="00AB688B">
        <w:rPr>
          <w:rFonts w:ascii="Arial" w:hAnsi="Arial" w:cs="Arial"/>
          <w:sz w:val="24"/>
          <w:szCs w:val="24"/>
        </w:rPr>
        <w:t>A</w:t>
      </w:r>
      <w:r>
        <w:rPr>
          <w:rFonts w:ascii="Arial" w:hAnsi="Arial" w:cs="Arial"/>
          <w:sz w:val="24"/>
          <w:szCs w:val="24"/>
        </w:rPr>
        <w:t xml:space="preserve">rtículo 48 del TOCAF, en la medida que el mismo reproduce en parte lo que establece el </w:t>
      </w:r>
      <w:r w:rsidR="00AB688B">
        <w:rPr>
          <w:rFonts w:ascii="Arial" w:hAnsi="Arial" w:cs="Arial"/>
          <w:sz w:val="24"/>
          <w:szCs w:val="24"/>
        </w:rPr>
        <w:t>A</w:t>
      </w:r>
      <w:r>
        <w:rPr>
          <w:rFonts w:ascii="Arial" w:hAnsi="Arial" w:cs="Arial"/>
          <w:sz w:val="24"/>
          <w:szCs w:val="24"/>
        </w:rPr>
        <w:t xml:space="preserve">rtículo 8.3 del Pliego Único de Bases y Condiciones Generales para los Contratos de Suministros y Servicios no Personales y que la información solicitada en cuanto a la antigüedad de la empresa no se trató de una simple formalidad, sino que la misma se relaciona directamente  con los antecedentes y experiencia de los oferentes, y en el caso del certificado de Seguros de Accidentes de Trabajo y </w:t>
      </w:r>
      <w:r w:rsidR="00DA65C5">
        <w:rPr>
          <w:rFonts w:ascii="Arial" w:hAnsi="Arial" w:cs="Arial"/>
          <w:sz w:val="24"/>
          <w:szCs w:val="24"/>
        </w:rPr>
        <w:t>E</w:t>
      </w:r>
      <w:r>
        <w:rPr>
          <w:rFonts w:ascii="Arial" w:hAnsi="Arial" w:cs="Arial"/>
          <w:sz w:val="24"/>
          <w:szCs w:val="24"/>
        </w:rPr>
        <w:t xml:space="preserve">nfermedades </w:t>
      </w:r>
      <w:r w:rsidR="00DA65C5">
        <w:rPr>
          <w:rFonts w:ascii="Arial" w:hAnsi="Arial" w:cs="Arial"/>
          <w:sz w:val="24"/>
          <w:szCs w:val="24"/>
        </w:rPr>
        <w:t>P</w:t>
      </w:r>
      <w:r>
        <w:rPr>
          <w:rFonts w:ascii="Arial" w:hAnsi="Arial" w:cs="Arial"/>
          <w:sz w:val="24"/>
          <w:szCs w:val="24"/>
        </w:rPr>
        <w:t>rofesionales la ley que regula la obligatoriedad expresa que será necesaria la exhibición de la documentación que acredite el cumplimiento de la ley;</w:t>
      </w:r>
    </w:p>
    <w:p w:rsidR="00D67298" w:rsidRPr="003C4BBF" w:rsidRDefault="005E6AF5" w:rsidP="00AB688B">
      <w:pPr>
        <w:spacing w:after="0" w:line="360" w:lineRule="auto"/>
        <w:ind w:firstLine="708"/>
        <w:jc w:val="both"/>
        <w:rPr>
          <w:rFonts w:ascii="Arial" w:hAnsi="Arial" w:cs="Arial"/>
        </w:rPr>
      </w:pPr>
      <w:r>
        <w:rPr>
          <w:rFonts w:ascii="Arial" w:hAnsi="Arial" w:cs="Arial"/>
          <w:b/>
          <w:bCs/>
          <w:sz w:val="24"/>
          <w:szCs w:val="24"/>
        </w:rPr>
        <w:t>CONSIDERANDO:</w:t>
      </w:r>
      <w:r>
        <w:rPr>
          <w:rFonts w:ascii="Arial" w:hAnsi="Arial" w:cs="Arial"/>
          <w:b/>
          <w:bCs/>
          <w:sz w:val="24"/>
          <w:szCs w:val="24"/>
        </w:rPr>
        <w:tab/>
        <w:t xml:space="preserve">1) </w:t>
      </w:r>
      <w:r w:rsidR="00D67298" w:rsidRPr="00D67298">
        <w:rPr>
          <w:rFonts w:ascii="Arial" w:hAnsi="Arial" w:cs="Arial"/>
          <w:sz w:val="24"/>
          <w:szCs w:val="24"/>
        </w:rPr>
        <w:t xml:space="preserve">que </w:t>
      </w:r>
      <w:r w:rsidR="00E852D4">
        <w:rPr>
          <w:rFonts w:ascii="Arial" w:hAnsi="Arial" w:cs="Arial"/>
          <w:sz w:val="24"/>
          <w:szCs w:val="24"/>
        </w:rPr>
        <w:t xml:space="preserve">se contraviene </w:t>
      </w:r>
      <w:r w:rsidR="00D67298" w:rsidRPr="00D67298">
        <w:rPr>
          <w:rFonts w:ascii="Arial" w:hAnsi="Arial" w:cs="Arial"/>
          <w:sz w:val="24"/>
          <w:szCs w:val="24"/>
        </w:rPr>
        <w:t xml:space="preserve"> lo dispuesto por el </w:t>
      </w:r>
      <w:r w:rsidR="00AB688B">
        <w:rPr>
          <w:rFonts w:ascii="Arial" w:hAnsi="Arial" w:cs="Arial"/>
          <w:sz w:val="24"/>
          <w:szCs w:val="24"/>
        </w:rPr>
        <w:t>A</w:t>
      </w:r>
      <w:r w:rsidR="00D67298" w:rsidRPr="00D67298">
        <w:rPr>
          <w:rFonts w:ascii="Arial" w:hAnsi="Arial" w:cs="Arial"/>
          <w:sz w:val="24"/>
          <w:szCs w:val="24"/>
        </w:rPr>
        <w:t xml:space="preserve">rtículo 48 del TOCAF, por el hecho de que </w:t>
      </w:r>
      <w:r w:rsidR="00E852D4">
        <w:rPr>
          <w:rFonts w:ascii="Arial" w:hAnsi="Arial" w:cs="Arial"/>
          <w:sz w:val="24"/>
          <w:szCs w:val="24"/>
        </w:rPr>
        <w:t xml:space="preserve">en </w:t>
      </w:r>
      <w:r w:rsidR="00D67298" w:rsidRPr="00D67298">
        <w:rPr>
          <w:rFonts w:ascii="Arial" w:hAnsi="Arial" w:cs="Arial"/>
          <w:sz w:val="24"/>
          <w:szCs w:val="24"/>
        </w:rPr>
        <w:t>el Pliego de Condiciones Particulares,</w:t>
      </w:r>
      <w:r w:rsidR="00E852D4">
        <w:rPr>
          <w:rFonts w:ascii="Arial" w:hAnsi="Arial" w:cs="Arial"/>
          <w:sz w:val="24"/>
          <w:szCs w:val="24"/>
        </w:rPr>
        <w:t xml:space="preserve"> se </w:t>
      </w:r>
      <w:r w:rsidR="00D67298" w:rsidRPr="00D67298">
        <w:rPr>
          <w:rFonts w:ascii="Arial" w:hAnsi="Arial" w:cs="Arial"/>
          <w:sz w:val="24"/>
          <w:szCs w:val="24"/>
        </w:rPr>
        <w:t xml:space="preserve"> exigió a los oferentes la presentación de documentación </w:t>
      </w:r>
      <w:r w:rsidR="00313998">
        <w:rPr>
          <w:rFonts w:ascii="Arial" w:hAnsi="Arial" w:cs="Arial"/>
          <w:sz w:val="24"/>
          <w:szCs w:val="24"/>
        </w:rPr>
        <w:t>que resulta del RUPE</w:t>
      </w:r>
      <w:r w:rsidR="00D67298">
        <w:rPr>
          <w:rFonts w:ascii="Arial" w:hAnsi="Arial" w:cs="Arial"/>
        </w:rPr>
        <w:t>;</w:t>
      </w:r>
    </w:p>
    <w:p w:rsidR="005E6AF5" w:rsidRDefault="00AB688B" w:rsidP="00AB688B">
      <w:pPr>
        <w:spacing w:after="0" w:line="360" w:lineRule="auto"/>
        <w:ind w:firstLine="2835"/>
        <w:jc w:val="both"/>
        <w:rPr>
          <w:rFonts w:ascii="Arial" w:hAnsi="Arial" w:cs="Arial"/>
          <w:sz w:val="24"/>
          <w:szCs w:val="24"/>
        </w:rPr>
      </w:pPr>
      <w:r>
        <w:rPr>
          <w:rFonts w:ascii="Arial" w:hAnsi="Arial" w:cs="Arial"/>
          <w:b/>
          <w:sz w:val="24"/>
          <w:szCs w:val="24"/>
        </w:rPr>
        <w:t xml:space="preserve"> </w:t>
      </w:r>
      <w:r w:rsidR="003F383C" w:rsidRPr="00BF134B">
        <w:rPr>
          <w:rFonts w:ascii="Arial" w:hAnsi="Arial" w:cs="Arial"/>
          <w:b/>
          <w:sz w:val="24"/>
          <w:szCs w:val="24"/>
        </w:rPr>
        <w:t>2)</w:t>
      </w:r>
      <w:r w:rsidR="003F383C">
        <w:rPr>
          <w:rFonts w:ascii="Arial" w:hAnsi="Arial" w:cs="Arial"/>
          <w:sz w:val="24"/>
          <w:szCs w:val="24"/>
        </w:rPr>
        <w:t xml:space="preserve"> </w:t>
      </w:r>
      <w:r w:rsidR="003F383C" w:rsidRPr="003F383C">
        <w:rPr>
          <w:rFonts w:ascii="Arial" w:hAnsi="Arial" w:cs="Arial"/>
          <w:bCs/>
          <w:sz w:val="24"/>
          <w:szCs w:val="24"/>
        </w:rPr>
        <w:t>q</w:t>
      </w:r>
      <w:r w:rsidR="005E6AF5">
        <w:rPr>
          <w:rFonts w:ascii="Arial" w:hAnsi="Arial" w:cs="Arial"/>
          <w:sz w:val="24"/>
          <w:szCs w:val="24"/>
        </w:rPr>
        <w:t xml:space="preserve">ue la argumentación esgrimida en la instancia, no logra por tanto, </w:t>
      </w:r>
      <w:r w:rsidR="00DA65C5">
        <w:rPr>
          <w:rFonts w:ascii="Arial" w:hAnsi="Arial" w:cs="Arial"/>
          <w:sz w:val="24"/>
          <w:szCs w:val="24"/>
        </w:rPr>
        <w:t>enervar</w:t>
      </w:r>
      <w:r w:rsidR="005E6AF5">
        <w:rPr>
          <w:rFonts w:ascii="Arial" w:hAnsi="Arial" w:cs="Arial"/>
          <w:sz w:val="24"/>
          <w:szCs w:val="24"/>
        </w:rPr>
        <w:t xml:space="preserve"> la causal de observación que fuera formulada oportunamente;</w:t>
      </w:r>
    </w:p>
    <w:p w:rsidR="005E6AF5" w:rsidRDefault="005E6AF5" w:rsidP="00AB688B">
      <w:pPr>
        <w:spacing w:after="0" w:line="360" w:lineRule="auto"/>
        <w:ind w:firstLine="708"/>
        <w:jc w:val="both"/>
        <w:rPr>
          <w:rFonts w:ascii="Arial" w:hAnsi="Arial" w:cs="Arial"/>
          <w:sz w:val="24"/>
          <w:szCs w:val="24"/>
        </w:rPr>
      </w:pPr>
      <w:r>
        <w:rPr>
          <w:rFonts w:ascii="Arial" w:hAnsi="Arial" w:cs="Arial"/>
          <w:b/>
          <w:bCs/>
          <w:sz w:val="24"/>
          <w:szCs w:val="24"/>
        </w:rPr>
        <w:t>ATENTO:</w:t>
      </w:r>
      <w:r>
        <w:t xml:space="preserve"> </w:t>
      </w:r>
      <w:r>
        <w:rPr>
          <w:rFonts w:ascii="Arial" w:hAnsi="Arial" w:cs="Arial"/>
          <w:sz w:val="24"/>
          <w:szCs w:val="24"/>
        </w:rPr>
        <w:t xml:space="preserve">a lo expuesto y a lo dispuesto por el </w:t>
      </w:r>
      <w:r w:rsidR="00AB688B">
        <w:rPr>
          <w:rFonts w:ascii="Arial" w:hAnsi="Arial" w:cs="Arial"/>
          <w:sz w:val="24"/>
          <w:szCs w:val="24"/>
        </w:rPr>
        <w:t>A</w:t>
      </w:r>
      <w:r>
        <w:rPr>
          <w:rFonts w:ascii="Arial" w:hAnsi="Arial" w:cs="Arial"/>
          <w:sz w:val="24"/>
          <w:szCs w:val="24"/>
        </w:rPr>
        <w:t xml:space="preserve">rtículo 211 </w:t>
      </w:r>
      <w:r w:rsidR="00AB688B">
        <w:rPr>
          <w:rFonts w:ascii="Arial" w:hAnsi="Arial" w:cs="Arial"/>
          <w:sz w:val="24"/>
          <w:szCs w:val="24"/>
        </w:rPr>
        <w:t>L</w:t>
      </w:r>
      <w:r>
        <w:rPr>
          <w:rFonts w:ascii="Arial" w:hAnsi="Arial" w:cs="Arial"/>
          <w:sz w:val="24"/>
          <w:szCs w:val="24"/>
        </w:rPr>
        <w:t>iteral B) de la Constitución de la República:</w:t>
      </w:r>
    </w:p>
    <w:p w:rsidR="00C73E6C" w:rsidRDefault="00C73E6C" w:rsidP="00AB688B">
      <w:pPr>
        <w:spacing w:after="0" w:line="360" w:lineRule="auto"/>
        <w:jc w:val="center"/>
        <w:rPr>
          <w:rFonts w:ascii="Arial" w:hAnsi="Arial" w:cs="Arial"/>
          <w:b/>
          <w:bCs/>
          <w:sz w:val="24"/>
          <w:szCs w:val="24"/>
        </w:rPr>
      </w:pPr>
    </w:p>
    <w:p w:rsidR="005E6AF5" w:rsidRDefault="005E6AF5" w:rsidP="00AB688B">
      <w:pPr>
        <w:spacing w:after="0" w:line="360" w:lineRule="auto"/>
        <w:jc w:val="center"/>
        <w:rPr>
          <w:rFonts w:ascii="Arial" w:hAnsi="Arial" w:cs="Arial"/>
          <w:b/>
          <w:bCs/>
          <w:sz w:val="24"/>
          <w:szCs w:val="24"/>
        </w:rPr>
      </w:pPr>
      <w:r>
        <w:rPr>
          <w:rFonts w:ascii="Arial" w:hAnsi="Arial" w:cs="Arial"/>
          <w:b/>
          <w:bCs/>
          <w:sz w:val="24"/>
          <w:szCs w:val="24"/>
        </w:rPr>
        <w:lastRenderedPageBreak/>
        <w:t>EL TRIBUNAL ACUERDA</w:t>
      </w:r>
    </w:p>
    <w:p w:rsidR="00D67298" w:rsidRDefault="005E6AF5" w:rsidP="00AB688B">
      <w:pPr>
        <w:tabs>
          <w:tab w:val="left" w:pos="284"/>
        </w:tabs>
        <w:spacing w:after="0" w:line="360" w:lineRule="auto"/>
        <w:ind w:left="284" w:hanging="284"/>
        <w:jc w:val="both"/>
        <w:rPr>
          <w:rFonts w:ascii="Arial" w:hAnsi="Arial" w:cs="Arial"/>
          <w:sz w:val="24"/>
          <w:szCs w:val="24"/>
        </w:rPr>
      </w:pPr>
      <w:r>
        <w:rPr>
          <w:rFonts w:ascii="Arial" w:hAnsi="Arial" w:cs="Arial"/>
          <w:b/>
          <w:bCs/>
          <w:sz w:val="24"/>
          <w:szCs w:val="24"/>
        </w:rPr>
        <w:t>1)</w:t>
      </w:r>
      <w:r>
        <w:rPr>
          <w:rFonts w:ascii="Arial" w:hAnsi="Arial" w:cs="Arial"/>
          <w:b/>
          <w:bCs/>
          <w:sz w:val="24"/>
          <w:szCs w:val="24"/>
        </w:rPr>
        <w:tab/>
      </w:r>
      <w:r>
        <w:rPr>
          <w:rFonts w:ascii="Arial" w:hAnsi="Arial" w:cs="Arial"/>
          <w:sz w:val="24"/>
          <w:szCs w:val="24"/>
        </w:rPr>
        <w:t>Mantener la observaci</w:t>
      </w:r>
      <w:r w:rsidR="00D67298">
        <w:rPr>
          <w:rFonts w:ascii="Arial" w:hAnsi="Arial" w:cs="Arial"/>
          <w:sz w:val="24"/>
          <w:szCs w:val="24"/>
        </w:rPr>
        <w:t xml:space="preserve">ón formulada </w:t>
      </w:r>
      <w:r w:rsidR="0078762C">
        <w:rPr>
          <w:rFonts w:ascii="Arial" w:hAnsi="Arial" w:cs="Arial"/>
          <w:sz w:val="24"/>
          <w:szCs w:val="24"/>
        </w:rPr>
        <w:t xml:space="preserve">por </w:t>
      </w:r>
      <w:r w:rsidR="00D67298">
        <w:rPr>
          <w:rFonts w:ascii="Arial" w:hAnsi="Arial" w:cs="Arial"/>
          <w:sz w:val="24"/>
          <w:szCs w:val="24"/>
        </w:rPr>
        <w:t>Resolución N° 795/18 de fecha 28.2.2018</w:t>
      </w:r>
      <w:r w:rsidR="00AB688B">
        <w:rPr>
          <w:rFonts w:ascii="Arial" w:hAnsi="Arial" w:cs="Arial"/>
          <w:sz w:val="24"/>
          <w:szCs w:val="24"/>
        </w:rPr>
        <w:t>;</w:t>
      </w:r>
    </w:p>
    <w:p w:rsidR="005E6AF5" w:rsidRDefault="005E6AF5" w:rsidP="00AB688B">
      <w:pPr>
        <w:tabs>
          <w:tab w:val="left" w:pos="284"/>
        </w:tabs>
        <w:spacing w:after="0" w:line="360" w:lineRule="auto"/>
        <w:ind w:left="284" w:hanging="284"/>
        <w:jc w:val="both"/>
        <w:rPr>
          <w:rFonts w:ascii="Arial" w:hAnsi="Arial" w:cs="Arial"/>
          <w:sz w:val="24"/>
          <w:szCs w:val="24"/>
        </w:rPr>
      </w:pPr>
      <w:r>
        <w:rPr>
          <w:rFonts w:ascii="Arial" w:hAnsi="Arial" w:cs="Arial"/>
          <w:b/>
          <w:bCs/>
          <w:sz w:val="24"/>
          <w:szCs w:val="24"/>
        </w:rPr>
        <w:t>2)</w:t>
      </w:r>
      <w:r>
        <w:rPr>
          <w:rFonts w:ascii="Arial" w:hAnsi="Arial" w:cs="Arial"/>
          <w:sz w:val="24"/>
          <w:szCs w:val="24"/>
        </w:rPr>
        <w:tab/>
        <w:t xml:space="preserve">Dar cuenta a la Asamblea General; y </w:t>
      </w:r>
    </w:p>
    <w:p w:rsidR="005E6AF5" w:rsidRDefault="005E6AF5" w:rsidP="00AB688B">
      <w:pPr>
        <w:tabs>
          <w:tab w:val="left" w:pos="284"/>
        </w:tabs>
        <w:spacing w:after="0" w:line="360" w:lineRule="auto"/>
        <w:ind w:left="284" w:hanging="284"/>
        <w:jc w:val="both"/>
        <w:rPr>
          <w:rFonts w:ascii="Arial" w:hAnsi="Arial" w:cs="Arial"/>
          <w:sz w:val="24"/>
          <w:szCs w:val="24"/>
        </w:rPr>
      </w:pPr>
      <w:r>
        <w:rPr>
          <w:rFonts w:ascii="Arial" w:hAnsi="Arial" w:cs="Arial"/>
          <w:b/>
          <w:bCs/>
          <w:sz w:val="24"/>
          <w:szCs w:val="24"/>
        </w:rPr>
        <w:t>3)</w:t>
      </w:r>
      <w:r>
        <w:rPr>
          <w:rFonts w:ascii="Arial" w:hAnsi="Arial" w:cs="Arial"/>
          <w:b/>
          <w:bCs/>
          <w:sz w:val="24"/>
          <w:szCs w:val="24"/>
        </w:rPr>
        <w:tab/>
      </w:r>
      <w:r>
        <w:rPr>
          <w:rFonts w:ascii="Arial" w:hAnsi="Arial" w:cs="Arial"/>
          <w:sz w:val="24"/>
          <w:szCs w:val="24"/>
        </w:rPr>
        <w:t>Comunicar a la Administración actuante.</w:t>
      </w:r>
    </w:p>
    <w:p w:rsidR="00AB688B" w:rsidRDefault="00AB688B" w:rsidP="00AB688B">
      <w:pPr>
        <w:spacing w:after="0" w:line="360" w:lineRule="auto"/>
        <w:rPr>
          <w:rFonts w:ascii="Arial" w:hAnsi="Arial" w:cs="Arial"/>
          <w:sz w:val="24"/>
          <w:szCs w:val="24"/>
        </w:rPr>
      </w:pPr>
    </w:p>
    <w:p w:rsidR="00AB688B" w:rsidRDefault="00AB688B" w:rsidP="00AB688B">
      <w:pPr>
        <w:spacing w:after="0" w:line="360" w:lineRule="auto"/>
        <w:rPr>
          <w:rFonts w:ascii="Arial" w:hAnsi="Arial" w:cs="Arial"/>
          <w:sz w:val="24"/>
          <w:szCs w:val="24"/>
        </w:rPr>
      </w:pPr>
    </w:p>
    <w:p w:rsidR="00AB688B" w:rsidRDefault="00AB688B" w:rsidP="00AB688B">
      <w:pPr>
        <w:spacing w:after="0" w:line="360" w:lineRule="auto"/>
        <w:rPr>
          <w:rFonts w:ascii="Arial" w:hAnsi="Arial" w:cs="Arial"/>
          <w:i/>
          <w:iCs/>
          <w:sz w:val="20"/>
          <w:szCs w:val="20"/>
        </w:rPr>
      </w:pPr>
      <w:proofErr w:type="spellStart"/>
      <w:proofErr w:type="gramStart"/>
      <w:r>
        <w:rPr>
          <w:rFonts w:ascii="Arial" w:hAnsi="Arial" w:cs="Arial"/>
          <w:sz w:val="24"/>
          <w:szCs w:val="24"/>
        </w:rPr>
        <w:t>aa</w:t>
      </w:r>
      <w:proofErr w:type="spellEnd"/>
      <w:proofErr w:type="gramEnd"/>
    </w:p>
    <w:p w:rsidR="00E751BE" w:rsidRPr="00E751BE" w:rsidRDefault="00E751BE" w:rsidP="00AB688B">
      <w:pPr>
        <w:spacing w:after="0" w:line="360" w:lineRule="auto"/>
        <w:jc w:val="both"/>
        <w:rPr>
          <w:rFonts w:ascii="Arial" w:hAnsi="Arial" w:cs="Arial"/>
          <w:i/>
          <w:iCs/>
          <w:sz w:val="20"/>
          <w:szCs w:val="20"/>
        </w:rPr>
      </w:pPr>
    </w:p>
    <w:sectPr w:rsidR="00E751BE" w:rsidRPr="00E751BE" w:rsidSect="004534F5">
      <w:pgSz w:w="11906" w:h="16838" w:code="9"/>
      <w:pgMar w:top="3402" w:right="1701" w:bottom="1134" w:left="1701" w:header="709" w:footer="709" w:gutter="0"/>
      <w:paperSrc w:first="4" w:other="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452C"/>
    <w:rsid w:val="00015E4C"/>
    <w:rsid w:val="000234FF"/>
    <w:rsid w:val="0016316A"/>
    <w:rsid w:val="002A7925"/>
    <w:rsid w:val="002D452C"/>
    <w:rsid w:val="00313998"/>
    <w:rsid w:val="003F383C"/>
    <w:rsid w:val="004534F5"/>
    <w:rsid w:val="00587A7D"/>
    <w:rsid w:val="005B7CDF"/>
    <w:rsid w:val="005C6555"/>
    <w:rsid w:val="005E6AF5"/>
    <w:rsid w:val="007740C4"/>
    <w:rsid w:val="0078762C"/>
    <w:rsid w:val="009D75B2"/>
    <w:rsid w:val="00A00766"/>
    <w:rsid w:val="00A278D9"/>
    <w:rsid w:val="00A336EA"/>
    <w:rsid w:val="00A8476E"/>
    <w:rsid w:val="00AB688B"/>
    <w:rsid w:val="00AF0EFC"/>
    <w:rsid w:val="00BF134B"/>
    <w:rsid w:val="00C4683F"/>
    <w:rsid w:val="00C73E6C"/>
    <w:rsid w:val="00D67298"/>
    <w:rsid w:val="00DA65C5"/>
    <w:rsid w:val="00E421F8"/>
    <w:rsid w:val="00E751BE"/>
    <w:rsid w:val="00E852D4"/>
    <w:rsid w:val="00EC5491"/>
    <w:rsid w:val="00F16768"/>
    <w:rsid w:val="00FF338A"/>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AB688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B688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AB688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B688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AE0E88-C216-4D83-93DA-10067737AE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586</Words>
  <Characters>3224</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Tribunal1</dc:creator>
  <cp:lastModifiedBy>Tribunal1</cp:lastModifiedBy>
  <cp:revision>6</cp:revision>
  <cp:lastPrinted>2018-06-14T16:52:00Z</cp:lastPrinted>
  <dcterms:created xsi:type="dcterms:W3CDTF">2018-06-14T16:29:00Z</dcterms:created>
  <dcterms:modified xsi:type="dcterms:W3CDTF">2018-06-14T16:52:00Z</dcterms:modified>
</cp:coreProperties>
</file>