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3B5" w:rsidRDefault="000223B5" w:rsidP="00786EEB">
      <w:pPr>
        <w:tabs>
          <w:tab w:val="center" w:pos="4253"/>
        </w:tabs>
        <w:suppressAutoHyphens/>
        <w:jc w:val="right"/>
        <w:rPr>
          <w:rFonts w:ascii="Arial" w:hAnsi="Arial" w:cs="Arial"/>
          <w:b/>
          <w:sz w:val="28"/>
          <w:szCs w:val="28"/>
          <w:lang w:val="es-ES_tradnl"/>
        </w:rPr>
      </w:pPr>
      <w:r>
        <w:rPr>
          <w:rFonts w:ascii="Arial" w:hAnsi="Arial" w:cs="Arial"/>
          <w:b/>
          <w:sz w:val="28"/>
          <w:szCs w:val="28"/>
          <w:lang w:val="es-ES_tradnl"/>
        </w:rPr>
        <w:t>RES. 2017/18</w:t>
      </w:r>
    </w:p>
    <w:p w:rsidR="00915623" w:rsidRPr="00786EEB" w:rsidRDefault="00915623" w:rsidP="00786EEB">
      <w:pPr>
        <w:tabs>
          <w:tab w:val="center" w:pos="4253"/>
        </w:tabs>
        <w:suppressAutoHyphens/>
        <w:jc w:val="right"/>
        <w:rPr>
          <w:rFonts w:ascii="Arial" w:hAnsi="Arial" w:cs="Arial"/>
          <w:b/>
          <w:sz w:val="28"/>
          <w:szCs w:val="28"/>
          <w:lang w:val="es-ES_tradnl"/>
        </w:rPr>
      </w:pPr>
    </w:p>
    <w:p w:rsidR="000223B5" w:rsidRPr="00762B34" w:rsidRDefault="000223B5">
      <w:pPr>
        <w:tabs>
          <w:tab w:val="center" w:pos="4253"/>
        </w:tabs>
        <w:suppressAutoHyphens/>
        <w:jc w:val="center"/>
        <w:rPr>
          <w:rFonts w:ascii="Arial" w:hAnsi="Arial" w:cs="Arial"/>
          <w:b/>
          <w:lang w:val="es-ES_tradnl"/>
        </w:rPr>
      </w:pPr>
      <w:r w:rsidRPr="00762B34">
        <w:rPr>
          <w:rFonts w:ascii="Arial" w:hAnsi="Arial" w:cs="Arial"/>
          <w:b/>
          <w:lang w:val="es-ES_tradnl"/>
        </w:rPr>
        <w:t>RESOLUCION ADOPTADA POR EL</w:t>
      </w:r>
    </w:p>
    <w:p w:rsidR="000223B5" w:rsidRPr="00762B34" w:rsidRDefault="000223B5">
      <w:pPr>
        <w:tabs>
          <w:tab w:val="left" w:pos="-720"/>
        </w:tabs>
        <w:suppressAutoHyphens/>
        <w:jc w:val="center"/>
        <w:rPr>
          <w:rFonts w:ascii="Arial" w:hAnsi="Arial" w:cs="Arial"/>
          <w:b/>
          <w:lang w:val="es-ES_tradnl"/>
        </w:rPr>
      </w:pPr>
    </w:p>
    <w:p w:rsidR="000223B5" w:rsidRPr="00762B34" w:rsidRDefault="000223B5">
      <w:pPr>
        <w:tabs>
          <w:tab w:val="center" w:pos="4253"/>
        </w:tabs>
        <w:suppressAutoHyphens/>
        <w:jc w:val="center"/>
        <w:rPr>
          <w:rFonts w:ascii="Arial" w:hAnsi="Arial" w:cs="Arial"/>
          <w:b/>
          <w:lang w:val="es-ES_tradnl"/>
        </w:rPr>
      </w:pPr>
      <w:r w:rsidRPr="00762B34">
        <w:rPr>
          <w:rFonts w:ascii="Arial" w:hAnsi="Arial" w:cs="Arial"/>
          <w:b/>
          <w:lang w:val="es-ES_tradnl"/>
        </w:rPr>
        <w:t>TRIBUNAL DE CUENTAS</w:t>
      </w:r>
    </w:p>
    <w:p w:rsidR="000223B5" w:rsidRPr="00762B34" w:rsidRDefault="000223B5">
      <w:pPr>
        <w:tabs>
          <w:tab w:val="left" w:pos="-720"/>
        </w:tabs>
        <w:suppressAutoHyphens/>
        <w:jc w:val="center"/>
        <w:rPr>
          <w:rFonts w:ascii="Arial" w:hAnsi="Arial" w:cs="Arial"/>
          <w:b/>
          <w:lang w:val="es-ES_tradnl"/>
        </w:rPr>
      </w:pPr>
    </w:p>
    <w:p w:rsidR="000223B5" w:rsidRPr="00762B34" w:rsidRDefault="000223B5">
      <w:pPr>
        <w:tabs>
          <w:tab w:val="center" w:pos="4253"/>
        </w:tabs>
        <w:suppressAutoHyphens/>
        <w:jc w:val="center"/>
        <w:rPr>
          <w:rFonts w:ascii="Arial" w:hAnsi="Arial" w:cs="Arial"/>
          <w:b/>
          <w:lang w:val="es-ES_tradnl"/>
        </w:rPr>
      </w:pPr>
      <w:r w:rsidRPr="00762B34">
        <w:rPr>
          <w:rFonts w:ascii="Arial" w:hAnsi="Arial" w:cs="Arial"/>
          <w:b/>
          <w:lang w:val="es-ES_tradnl"/>
        </w:rPr>
        <w:t xml:space="preserve">EN SESION DE FECHA </w:t>
      </w:r>
      <w:r>
        <w:rPr>
          <w:rFonts w:ascii="Arial" w:hAnsi="Arial" w:cs="Arial"/>
          <w:b/>
          <w:lang w:val="es-ES_tradnl"/>
        </w:rPr>
        <w:t xml:space="preserve">13 DE JUNIO </w:t>
      </w:r>
      <w:r>
        <w:rPr>
          <w:rFonts w:ascii="Helvetica" w:hAnsi="Helvetica"/>
          <w:b/>
          <w:lang w:val="es-ES_tradnl"/>
        </w:rPr>
        <w:t>DE 2018</w:t>
      </w:r>
    </w:p>
    <w:p w:rsidR="000223B5" w:rsidRPr="00762B34" w:rsidRDefault="000223B5">
      <w:pPr>
        <w:tabs>
          <w:tab w:val="center" w:pos="4253"/>
        </w:tabs>
        <w:suppressAutoHyphens/>
        <w:jc w:val="center"/>
        <w:rPr>
          <w:rFonts w:ascii="Arial" w:hAnsi="Arial" w:cs="Arial"/>
          <w:b/>
          <w:lang w:val="es-ES_tradnl"/>
        </w:rPr>
      </w:pPr>
    </w:p>
    <w:p w:rsidR="000223B5" w:rsidRDefault="000223B5">
      <w:pPr>
        <w:tabs>
          <w:tab w:val="center" w:pos="4253"/>
        </w:tabs>
        <w:suppressAutoHyphens/>
        <w:jc w:val="center"/>
        <w:rPr>
          <w:rFonts w:ascii="Arial" w:hAnsi="Arial" w:cs="Arial"/>
          <w:b/>
          <w:lang w:val="en-US"/>
        </w:rPr>
      </w:pPr>
      <w:r w:rsidRPr="00762B34">
        <w:rPr>
          <w:rFonts w:ascii="Arial" w:hAnsi="Arial" w:cs="Arial"/>
          <w:b/>
          <w:lang w:val="en-US"/>
        </w:rPr>
        <w:t xml:space="preserve">(E. E. Nº </w:t>
      </w:r>
      <w:r>
        <w:rPr>
          <w:rFonts w:ascii="Arial" w:hAnsi="Arial" w:cs="Arial"/>
          <w:b/>
          <w:lang w:val="en-US"/>
        </w:rPr>
        <w:t>2017-17-1-0004855</w:t>
      </w:r>
      <w:r w:rsidRPr="00762B34">
        <w:rPr>
          <w:rFonts w:ascii="Arial" w:hAnsi="Arial" w:cs="Arial"/>
          <w:b/>
          <w:lang w:val="en-US"/>
        </w:rPr>
        <w:t xml:space="preserve">, </w:t>
      </w:r>
      <w:proofErr w:type="gramStart"/>
      <w:r w:rsidRPr="00762B34">
        <w:rPr>
          <w:rFonts w:ascii="Arial" w:hAnsi="Arial" w:cs="Arial"/>
          <w:b/>
          <w:lang w:val="en-US"/>
        </w:rPr>
        <w:t>Ent</w:t>
      </w:r>
      <w:proofErr w:type="gramEnd"/>
      <w:r w:rsidRPr="00762B34">
        <w:rPr>
          <w:rFonts w:ascii="Arial" w:hAnsi="Arial" w:cs="Arial"/>
          <w:b/>
          <w:lang w:val="en-US"/>
        </w:rPr>
        <w:t xml:space="preserve">. N° </w:t>
      </w:r>
      <w:r>
        <w:rPr>
          <w:rFonts w:ascii="Arial" w:hAnsi="Arial" w:cs="Arial"/>
          <w:b/>
          <w:lang w:val="en-US"/>
        </w:rPr>
        <w:t>2699/18</w:t>
      </w:r>
      <w:r w:rsidRPr="00762B34">
        <w:rPr>
          <w:rFonts w:ascii="Arial" w:hAnsi="Arial" w:cs="Arial"/>
          <w:b/>
          <w:lang w:val="en-US"/>
        </w:rPr>
        <w:t>)</w:t>
      </w:r>
    </w:p>
    <w:p w:rsidR="00915623" w:rsidRPr="00762B34" w:rsidRDefault="00915623">
      <w:pPr>
        <w:tabs>
          <w:tab w:val="center" w:pos="4253"/>
        </w:tabs>
        <w:suppressAutoHyphens/>
        <w:jc w:val="center"/>
        <w:rPr>
          <w:rFonts w:ascii="Arial" w:hAnsi="Arial" w:cs="Arial"/>
          <w:b/>
          <w:lang w:val="en-US"/>
        </w:rPr>
      </w:pPr>
    </w:p>
    <w:p w:rsidR="000223B5" w:rsidRDefault="000223B5">
      <w:pPr>
        <w:rPr>
          <w:lang w:val="en-US"/>
        </w:rPr>
      </w:pPr>
    </w:p>
    <w:p w:rsidR="00D64977" w:rsidRDefault="00706964" w:rsidP="00B03D77">
      <w:pPr>
        <w:spacing w:line="360" w:lineRule="auto"/>
        <w:ind w:firstLine="708"/>
        <w:jc w:val="both"/>
        <w:rPr>
          <w:rFonts w:ascii="Arial" w:hAnsi="Arial" w:cs="Arial"/>
        </w:rPr>
      </w:pPr>
      <w:r>
        <w:rPr>
          <w:rFonts w:ascii="Arial" w:hAnsi="Arial" w:cs="Arial"/>
          <w:b/>
          <w:bCs/>
        </w:rPr>
        <w:t>VISTO:</w:t>
      </w:r>
      <w:r>
        <w:rPr>
          <w:rFonts w:ascii="Arial" w:hAnsi="Arial" w:cs="Arial"/>
        </w:rPr>
        <w:t xml:space="preserve"> la consulta remitida por el Contador Delegado de este Tribunal  destacado ante la Administración de los Servicios de Salud del Estado (A.S.S.E.), re</w:t>
      </w:r>
      <w:r w:rsidR="00166734">
        <w:rPr>
          <w:rFonts w:ascii="Arial" w:hAnsi="Arial" w:cs="Arial"/>
        </w:rPr>
        <w:t>ferida a</w:t>
      </w:r>
      <w:r>
        <w:rPr>
          <w:rFonts w:ascii="Arial" w:hAnsi="Arial" w:cs="Arial"/>
        </w:rPr>
        <w:t xml:space="preserve"> la </w:t>
      </w:r>
      <w:r w:rsidR="00166734">
        <w:rPr>
          <w:rFonts w:ascii="Arial" w:hAnsi="Arial" w:cs="Arial"/>
        </w:rPr>
        <w:t>aplicación</w:t>
      </w:r>
      <w:r>
        <w:rPr>
          <w:rFonts w:ascii="Arial" w:hAnsi="Arial" w:cs="Arial"/>
        </w:rPr>
        <w:t xml:space="preserve"> del </w:t>
      </w:r>
      <w:r w:rsidR="00B03D77">
        <w:rPr>
          <w:rFonts w:ascii="Arial" w:hAnsi="Arial" w:cs="Arial"/>
        </w:rPr>
        <w:t>A</w:t>
      </w:r>
      <w:r>
        <w:rPr>
          <w:rFonts w:ascii="Arial" w:hAnsi="Arial" w:cs="Arial"/>
        </w:rPr>
        <w:t xml:space="preserve">rtículo 46 del TOCAF </w:t>
      </w:r>
      <w:r w:rsidR="00166734">
        <w:rPr>
          <w:rFonts w:ascii="Arial" w:hAnsi="Arial" w:cs="Arial"/>
        </w:rPr>
        <w:t xml:space="preserve">en </w:t>
      </w:r>
      <w:r w:rsidR="00F00380">
        <w:rPr>
          <w:rFonts w:ascii="Arial" w:hAnsi="Arial" w:cs="Arial"/>
        </w:rPr>
        <w:t>la contratación celebrada con la empresa Consultorio de Medicina Nuclear</w:t>
      </w:r>
      <w:r w:rsidR="00D64977">
        <w:rPr>
          <w:rFonts w:ascii="Arial" w:hAnsi="Arial" w:cs="Arial"/>
        </w:rPr>
        <w:t>;</w:t>
      </w:r>
    </w:p>
    <w:p w:rsidR="00F00380" w:rsidRDefault="00706964" w:rsidP="00B03D77">
      <w:pPr>
        <w:spacing w:line="360" w:lineRule="auto"/>
        <w:ind w:firstLine="708"/>
        <w:jc w:val="both"/>
        <w:rPr>
          <w:rFonts w:ascii="Arial" w:hAnsi="Arial" w:cs="Arial"/>
        </w:rPr>
      </w:pPr>
      <w:r>
        <w:rPr>
          <w:rFonts w:ascii="Arial" w:hAnsi="Arial" w:cs="Arial"/>
          <w:b/>
          <w:bCs/>
        </w:rPr>
        <w:t>RESULTANDO:</w:t>
      </w:r>
      <w:r>
        <w:rPr>
          <w:rFonts w:ascii="Arial" w:hAnsi="Arial" w:cs="Arial"/>
        </w:rPr>
        <w:t xml:space="preserve"> </w:t>
      </w:r>
      <w:r>
        <w:rPr>
          <w:rFonts w:ascii="Arial" w:hAnsi="Arial" w:cs="Arial"/>
          <w:b/>
          <w:bCs/>
        </w:rPr>
        <w:t xml:space="preserve">1) </w:t>
      </w:r>
      <w:r>
        <w:rPr>
          <w:rFonts w:ascii="Arial" w:hAnsi="Arial" w:cs="Arial"/>
        </w:rPr>
        <w:t xml:space="preserve">que </w:t>
      </w:r>
      <w:r w:rsidR="00F00380">
        <w:rPr>
          <w:rFonts w:ascii="Arial" w:hAnsi="Arial" w:cs="Arial"/>
        </w:rPr>
        <w:t>de acuerdo a lo que se surge de la consulta formulada,</w:t>
      </w:r>
      <w:r w:rsidR="00F04954">
        <w:rPr>
          <w:rFonts w:ascii="Arial" w:hAnsi="Arial" w:cs="Arial"/>
        </w:rPr>
        <w:t xml:space="preserve"> de fecha 23 de mayo de 2018 y</w:t>
      </w:r>
      <w:r w:rsidR="00F00380">
        <w:rPr>
          <w:rFonts w:ascii="Arial" w:hAnsi="Arial" w:cs="Arial"/>
        </w:rPr>
        <w:t xml:space="preserve"> en virtud de lo establecido en el </w:t>
      </w:r>
      <w:r w:rsidR="00B03D77">
        <w:rPr>
          <w:rFonts w:ascii="Arial" w:hAnsi="Arial" w:cs="Arial"/>
        </w:rPr>
        <w:t>A</w:t>
      </w:r>
      <w:r w:rsidR="00F00380">
        <w:rPr>
          <w:rFonts w:ascii="Arial" w:hAnsi="Arial" w:cs="Arial"/>
        </w:rPr>
        <w:t>rtículo 46 del TOCAF</w:t>
      </w:r>
      <w:r w:rsidR="00F04954">
        <w:rPr>
          <w:rFonts w:ascii="Arial" w:hAnsi="Arial" w:cs="Arial"/>
        </w:rPr>
        <w:t>,</w:t>
      </w:r>
      <w:r w:rsidR="00F00380">
        <w:rPr>
          <w:rFonts w:ascii="Arial" w:hAnsi="Arial" w:cs="Arial"/>
        </w:rPr>
        <w:t xml:space="preserve"> el Contador Delegado procedió a realizar cruzamiento de datos con los sistemas informáticos internos de A</w:t>
      </w:r>
      <w:r w:rsidR="001C72D5">
        <w:rPr>
          <w:rFonts w:ascii="Arial" w:hAnsi="Arial" w:cs="Arial"/>
        </w:rPr>
        <w:t>.</w:t>
      </w:r>
      <w:r w:rsidR="00F00380">
        <w:rPr>
          <w:rFonts w:ascii="Arial" w:hAnsi="Arial" w:cs="Arial"/>
        </w:rPr>
        <w:t>S</w:t>
      </w:r>
      <w:r w:rsidR="001C72D5">
        <w:rPr>
          <w:rFonts w:ascii="Arial" w:hAnsi="Arial" w:cs="Arial"/>
        </w:rPr>
        <w:t>.</w:t>
      </w:r>
      <w:r w:rsidR="00F00380">
        <w:rPr>
          <w:rFonts w:ascii="Arial" w:hAnsi="Arial" w:cs="Arial"/>
        </w:rPr>
        <w:t>S</w:t>
      </w:r>
      <w:r w:rsidR="001C72D5">
        <w:rPr>
          <w:rFonts w:ascii="Arial" w:hAnsi="Arial" w:cs="Arial"/>
        </w:rPr>
        <w:t>.</w:t>
      </w:r>
      <w:r w:rsidR="00F00380">
        <w:rPr>
          <w:rFonts w:ascii="Arial" w:hAnsi="Arial" w:cs="Arial"/>
        </w:rPr>
        <w:t>E</w:t>
      </w:r>
      <w:r w:rsidR="001C72D5">
        <w:rPr>
          <w:rFonts w:ascii="Arial" w:hAnsi="Arial" w:cs="Arial"/>
        </w:rPr>
        <w:t>.</w:t>
      </w:r>
      <w:r w:rsidR="00F00380">
        <w:rPr>
          <w:rFonts w:ascii="Arial" w:hAnsi="Arial" w:cs="Arial"/>
        </w:rPr>
        <w:t xml:space="preserve">, para determinar si existía algún vínculo funcional de la Administración con algún titular y/o representante de la empresa contratada;                         </w:t>
      </w:r>
    </w:p>
    <w:p w:rsidR="00B03D77" w:rsidRDefault="00B03D77" w:rsidP="00B03D77">
      <w:pPr>
        <w:spacing w:line="360" w:lineRule="auto"/>
        <w:ind w:firstLine="2410"/>
        <w:jc w:val="both"/>
        <w:rPr>
          <w:rFonts w:ascii="Arial" w:hAnsi="Arial" w:cs="Arial"/>
        </w:rPr>
      </w:pPr>
      <w:r>
        <w:rPr>
          <w:rFonts w:ascii="Arial" w:hAnsi="Arial" w:cs="Arial"/>
          <w:b/>
        </w:rPr>
        <w:t xml:space="preserve">   </w:t>
      </w:r>
      <w:r w:rsidR="00F00380">
        <w:rPr>
          <w:rFonts w:ascii="Arial" w:hAnsi="Arial" w:cs="Arial"/>
          <w:b/>
        </w:rPr>
        <w:t xml:space="preserve">2) </w:t>
      </w:r>
      <w:r w:rsidR="00F00380">
        <w:rPr>
          <w:rFonts w:ascii="Arial" w:hAnsi="Arial" w:cs="Arial"/>
        </w:rPr>
        <w:t>que como resultado de</w:t>
      </w:r>
      <w:r w:rsidR="003D2C4A">
        <w:rPr>
          <w:rFonts w:ascii="Arial" w:hAnsi="Arial" w:cs="Arial"/>
        </w:rPr>
        <w:t>l</w:t>
      </w:r>
      <w:r w:rsidR="00F00380">
        <w:rPr>
          <w:rFonts w:ascii="Arial" w:hAnsi="Arial" w:cs="Arial"/>
        </w:rPr>
        <w:t xml:space="preserve"> </w:t>
      </w:r>
      <w:r w:rsidR="003D2C4A">
        <w:rPr>
          <w:rFonts w:ascii="Arial" w:hAnsi="Arial" w:cs="Arial"/>
        </w:rPr>
        <w:t>referido</w:t>
      </w:r>
      <w:r w:rsidR="00F00380">
        <w:rPr>
          <w:rFonts w:ascii="Arial" w:hAnsi="Arial" w:cs="Arial"/>
        </w:rPr>
        <w:t xml:space="preserve"> control, se detectó que uno de los socios de dicha empresa </w:t>
      </w:r>
      <w:r w:rsidR="003D2C4A">
        <w:rPr>
          <w:rFonts w:ascii="Arial" w:hAnsi="Arial" w:cs="Arial"/>
        </w:rPr>
        <w:t>mantiene un vínculo laboral con el Programa de Unidades Docentes Asistenciales (</w:t>
      </w:r>
      <w:proofErr w:type="spellStart"/>
      <w:r w:rsidR="003D2C4A">
        <w:rPr>
          <w:rFonts w:ascii="Arial" w:hAnsi="Arial" w:cs="Arial"/>
        </w:rPr>
        <w:t>UDAs</w:t>
      </w:r>
      <w:proofErr w:type="spellEnd"/>
      <w:r w:rsidR="003D2C4A">
        <w:rPr>
          <w:rFonts w:ascii="Arial" w:hAnsi="Arial" w:cs="Arial"/>
        </w:rPr>
        <w:t>);</w:t>
      </w:r>
    </w:p>
    <w:p w:rsidR="003D2C4A" w:rsidRPr="003D2C4A" w:rsidRDefault="00B03D77" w:rsidP="00B03D77">
      <w:pPr>
        <w:spacing w:line="360" w:lineRule="auto"/>
        <w:ind w:firstLine="2410"/>
        <w:jc w:val="both"/>
        <w:rPr>
          <w:rFonts w:ascii="Arial" w:hAnsi="Arial" w:cs="Arial"/>
        </w:rPr>
      </w:pPr>
      <w:r>
        <w:rPr>
          <w:rFonts w:ascii="Arial" w:hAnsi="Arial" w:cs="Arial"/>
        </w:rPr>
        <w:t xml:space="preserve">   </w:t>
      </w:r>
      <w:r w:rsidR="003D2C4A">
        <w:rPr>
          <w:rFonts w:ascii="Arial" w:hAnsi="Arial" w:cs="Arial"/>
          <w:b/>
        </w:rPr>
        <w:t xml:space="preserve">3) </w:t>
      </w:r>
      <w:r w:rsidR="003D2C4A">
        <w:rPr>
          <w:rFonts w:ascii="Arial" w:hAnsi="Arial" w:cs="Arial"/>
        </w:rPr>
        <w:t xml:space="preserve">que según la nota del Contador Delegado, dicho Programa </w:t>
      </w:r>
      <w:r w:rsidR="003D2C4A">
        <w:rPr>
          <w:rFonts w:ascii="Arial" w:hAnsi="Arial" w:cs="Arial"/>
          <w:i/>
        </w:rPr>
        <w:t>“constituye un proyecto con objetivos docentes y asistenciales, cuyo financiamiento pertenece al Inciso 24 “Diversos Créditos”</w:t>
      </w:r>
      <w:r w:rsidR="003D2C4A">
        <w:rPr>
          <w:rFonts w:ascii="Arial" w:hAnsi="Arial" w:cs="Arial"/>
        </w:rPr>
        <w:t xml:space="preserve"> y los honorarios de los docentes </w:t>
      </w:r>
      <w:r w:rsidR="003D2C4A">
        <w:rPr>
          <w:rFonts w:ascii="Arial" w:hAnsi="Arial" w:cs="Arial"/>
          <w:i/>
        </w:rPr>
        <w:t>“son abonados por intermedio de la Comisión de Apoyo de ASSE”</w:t>
      </w:r>
      <w:r w:rsidR="003D2C4A">
        <w:rPr>
          <w:rFonts w:ascii="Arial" w:hAnsi="Arial" w:cs="Arial"/>
        </w:rPr>
        <w:t>;</w:t>
      </w:r>
    </w:p>
    <w:p w:rsidR="00B03D77" w:rsidRDefault="00706964" w:rsidP="00B03D77">
      <w:pPr>
        <w:pStyle w:val="Textoindependiente2"/>
        <w:spacing w:after="0" w:line="360" w:lineRule="auto"/>
        <w:ind w:firstLine="708"/>
        <w:jc w:val="both"/>
        <w:rPr>
          <w:rFonts w:ascii="Arial" w:hAnsi="Arial" w:cs="Arial"/>
        </w:rPr>
      </w:pPr>
      <w:r>
        <w:rPr>
          <w:rFonts w:ascii="Arial" w:hAnsi="Arial" w:cs="Arial"/>
          <w:b/>
          <w:bCs/>
        </w:rPr>
        <w:t>CONSIDERANDO:</w:t>
      </w:r>
      <w:r>
        <w:rPr>
          <w:rFonts w:ascii="Arial" w:hAnsi="Arial" w:cs="Arial"/>
        </w:rPr>
        <w:t xml:space="preserve"> </w:t>
      </w:r>
      <w:r>
        <w:rPr>
          <w:rFonts w:ascii="Arial" w:hAnsi="Arial" w:cs="Arial"/>
          <w:b/>
          <w:bCs/>
        </w:rPr>
        <w:t>1)</w:t>
      </w:r>
      <w:r>
        <w:rPr>
          <w:rFonts w:ascii="Arial" w:hAnsi="Arial" w:cs="Arial"/>
        </w:rPr>
        <w:t xml:space="preserve"> </w:t>
      </w:r>
      <w:r w:rsidR="00C9029C">
        <w:rPr>
          <w:rFonts w:ascii="Arial" w:hAnsi="Arial" w:cs="Arial"/>
        </w:rPr>
        <w:t>que</w:t>
      </w:r>
      <w:r w:rsidR="00F04954">
        <w:rPr>
          <w:rFonts w:ascii="Arial" w:hAnsi="Arial" w:cs="Arial"/>
        </w:rPr>
        <w:t xml:space="preserve"> este Tribunal, en </w:t>
      </w:r>
      <w:r w:rsidR="001C72D5">
        <w:rPr>
          <w:rFonts w:ascii="Arial" w:hAnsi="Arial" w:cs="Arial"/>
        </w:rPr>
        <w:t>Resolución N° 4270/17 de 20 de diciembre de 2017</w:t>
      </w:r>
      <w:r w:rsidR="00F04954">
        <w:rPr>
          <w:rFonts w:ascii="Arial" w:hAnsi="Arial" w:cs="Arial"/>
        </w:rPr>
        <w:t xml:space="preserve"> relativa a la interpretación del </w:t>
      </w:r>
      <w:r w:rsidR="00B03D77">
        <w:rPr>
          <w:rFonts w:ascii="Arial" w:hAnsi="Arial" w:cs="Arial"/>
        </w:rPr>
        <w:t>A</w:t>
      </w:r>
      <w:r w:rsidR="00F04954">
        <w:rPr>
          <w:rFonts w:ascii="Arial" w:hAnsi="Arial" w:cs="Arial"/>
        </w:rPr>
        <w:t>rtículo 46 del TOCAF, señaló que:</w:t>
      </w:r>
      <w:r w:rsidR="00C9029C">
        <w:rPr>
          <w:rFonts w:ascii="Arial" w:hAnsi="Arial" w:cs="Arial"/>
        </w:rPr>
        <w:t xml:space="preserve"> </w:t>
      </w:r>
      <w:r w:rsidR="00E43335">
        <w:rPr>
          <w:rFonts w:ascii="Arial" w:hAnsi="Arial" w:cs="Arial"/>
          <w:i/>
        </w:rPr>
        <w:t>“</w:t>
      </w:r>
      <w:r w:rsidR="00F04954">
        <w:rPr>
          <w:rFonts w:ascii="Arial" w:hAnsi="Arial" w:cs="Arial"/>
          <w:i/>
        </w:rPr>
        <w:t>…</w:t>
      </w:r>
      <w:r w:rsidR="00E43335">
        <w:rPr>
          <w:rFonts w:ascii="Arial" w:hAnsi="Arial" w:cs="Arial"/>
          <w:i/>
        </w:rPr>
        <w:t xml:space="preserve">considera del caso señalar que es difícil establecer reglas generales para caracterizar las contrataciones sobres casos hipotéticos, sin </w:t>
      </w:r>
      <w:r w:rsidR="00E43335">
        <w:rPr>
          <w:rFonts w:ascii="Arial" w:hAnsi="Arial" w:cs="Arial"/>
          <w:i/>
        </w:rPr>
        <w:lastRenderedPageBreak/>
        <w:t>entrar al análisis de cada contrato con las complejidades y particularidades que presenta”</w:t>
      </w:r>
      <w:r w:rsidR="00F04954">
        <w:rPr>
          <w:rFonts w:ascii="Arial" w:hAnsi="Arial" w:cs="Arial"/>
          <w:i/>
        </w:rPr>
        <w:t>,</w:t>
      </w:r>
      <w:r w:rsidR="00E43335">
        <w:rPr>
          <w:rFonts w:ascii="Arial" w:hAnsi="Arial" w:cs="Arial"/>
        </w:rPr>
        <w:t xml:space="preserve"> por lo que, </w:t>
      </w:r>
      <w:r w:rsidR="00E43335">
        <w:rPr>
          <w:rFonts w:ascii="Arial" w:hAnsi="Arial" w:cs="Arial"/>
          <w:i/>
        </w:rPr>
        <w:t>“si el expediente que llega a conocimiento de los Contadores Delegados les plantea dudas, los contratos respectivos deben ser remitidos a consideración del Tribunal”</w:t>
      </w:r>
      <w:r w:rsidR="00E43335">
        <w:rPr>
          <w:rFonts w:ascii="Arial" w:hAnsi="Arial" w:cs="Arial"/>
        </w:rPr>
        <w:t>;</w:t>
      </w:r>
      <w:r w:rsidR="007242F7" w:rsidRPr="007242F7">
        <w:rPr>
          <w:rFonts w:ascii="Arial" w:hAnsi="Arial" w:cs="Arial"/>
        </w:rPr>
        <w:t xml:space="preserve"> </w:t>
      </w:r>
    </w:p>
    <w:p w:rsidR="00B03D77" w:rsidRDefault="00B03D77" w:rsidP="00B03D77">
      <w:pPr>
        <w:pStyle w:val="Textoindependiente2"/>
        <w:spacing w:after="0" w:line="360" w:lineRule="auto"/>
        <w:ind w:firstLine="2977"/>
        <w:jc w:val="both"/>
        <w:rPr>
          <w:rFonts w:ascii="Arial" w:hAnsi="Arial" w:cs="Arial"/>
        </w:rPr>
      </w:pPr>
      <w:r>
        <w:rPr>
          <w:rFonts w:ascii="Arial" w:hAnsi="Arial" w:cs="Arial"/>
        </w:rPr>
        <w:t xml:space="preserve"> </w:t>
      </w:r>
      <w:r w:rsidR="00B20AEF">
        <w:rPr>
          <w:rFonts w:ascii="Arial" w:hAnsi="Arial" w:cs="Arial"/>
          <w:b/>
        </w:rPr>
        <w:t>2</w:t>
      </w:r>
      <w:r w:rsidR="00C9029C">
        <w:rPr>
          <w:rFonts w:ascii="Arial" w:hAnsi="Arial" w:cs="Arial"/>
          <w:b/>
        </w:rPr>
        <w:t xml:space="preserve">) </w:t>
      </w:r>
      <w:r w:rsidR="00C9029C">
        <w:rPr>
          <w:rFonts w:ascii="Arial" w:hAnsi="Arial" w:cs="Arial"/>
        </w:rPr>
        <w:t xml:space="preserve">que </w:t>
      </w:r>
      <w:r w:rsidR="007242F7" w:rsidRPr="007242F7">
        <w:rPr>
          <w:rFonts w:ascii="Arial" w:hAnsi="Arial" w:cs="Arial"/>
        </w:rPr>
        <w:t xml:space="preserve">el </w:t>
      </w:r>
      <w:r>
        <w:rPr>
          <w:rFonts w:ascii="Arial" w:hAnsi="Arial" w:cs="Arial"/>
        </w:rPr>
        <w:t>A</w:t>
      </w:r>
      <w:r w:rsidR="007242F7" w:rsidRPr="007242F7">
        <w:rPr>
          <w:rFonts w:ascii="Arial" w:hAnsi="Arial" w:cs="Arial"/>
        </w:rPr>
        <w:t xml:space="preserve">rtículo 46 del TOCAF establece </w:t>
      </w:r>
      <w:r w:rsidR="00A8244C">
        <w:rPr>
          <w:rFonts w:ascii="Arial" w:hAnsi="Arial" w:cs="Arial"/>
        </w:rPr>
        <w:t xml:space="preserve">que </w:t>
      </w:r>
      <w:r w:rsidR="007242F7" w:rsidRPr="007242F7">
        <w:rPr>
          <w:rFonts w:ascii="Arial" w:hAnsi="Arial" w:cs="Arial"/>
        </w:rPr>
        <w:t>“</w:t>
      </w:r>
      <w:r w:rsidR="003D2C4A">
        <w:rPr>
          <w:rFonts w:ascii="Arial" w:hAnsi="Arial" w:cs="Arial"/>
          <w:i/>
        </w:rPr>
        <w:t>e</w:t>
      </w:r>
      <w:r w:rsidR="007242F7" w:rsidRPr="00A8244C">
        <w:rPr>
          <w:rFonts w:ascii="Arial" w:hAnsi="Arial" w:cs="Arial"/>
          <w:i/>
        </w:rPr>
        <w:t>stán capacitados para contratar con el Estado las personas físicas o jurídicas, nacionales o extranjeras, que teniendo el ejercicio de la capacidad jurídica  que señala el derecho común, no estén comprendidas en alguna disposición que expresamente se lo impida o en los siguientes casos:</w:t>
      </w:r>
      <w:r w:rsidR="00A8244C" w:rsidRPr="00A8244C">
        <w:rPr>
          <w:rFonts w:ascii="Arial" w:hAnsi="Arial" w:cs="Arial"/>
          <w:i/>
        </w:rPr>
        <w:t xml:space="preserve"> </w:t>
      </w:r>
      <w:r w:rsidR="007242F7" w:rsidRPr="00A8244C">
        <w:rPr>
          <w:rFonts w:ascii="Arial" w:hAnsi="Arial" w:cs="Arial"/>
          <w:i/>
        </w:rPr>
        <w:t>Ser funcionario público de la Administración contratante o mantener un vínculo laboral de cualquier naturaleza con la misma, no siendo admisibles las ofertas presentadas por este a título personal, o por personas físicas o jurídicas que la persona integre o con las que esté vinculada por razones de representación, dirección, asesoramiento o dependencia. No obstante, en este último caso de dependencia  podrá darse curso a las ofertas presentadas cuando no exista conflicto de intereses y la persona no tenga participación en el proceso de adquisición. De las circunstancias mencionadas, deberá dejarse constancia expresa en el expediente</w:t>
      </w:r>
      <w:r w:rsidR="00A8244C">
        <w:rPr>
          <w:rFonts w:ascii="Arial" w:hAnsi="Arial" w:cs="Arial"/>
        </w:rPr>
        <w:t>”</w:t>
      </w:r>
      <w:r w:rsidR="00F04954">
        <w:rPr>
          <w:rFonts w:ascii="Arial" w:hAnsi="Arial" w:cs="Arial"/>
        </w:rPr>
        <w:t>;</w:t>
      </w:r>
    </w:p>
    <w:p w:rsidR="00770472" w:rsidRDefault="00B03D77" w:rsidP="00B03D77">
      <w:pPr>
        <w:pStyle w:val="Textoindependiente2"/>
        <w:spacing w:after="0" w:line="360" w:lineRule="auto"/>
        <w:ind w:firstLine="2977"/>
        <w:jc w:val="both"/>
        <w:rPr>
          <w:rFonts w:ascii="Arial" w:hAnsi="Arial" w:cs="Arial"/>
        </w:rPr>
      </w:pPr>
      <w:r>
        <w:rPr>
          <w:rFonts w:ascii="Arial" w:hAnsi="Arial" w:cs="Arial"/>
          <w:b/>
        </w:rPr>
        <w:t xml:space="preserve"> </w:t>
      </w:r>
      <w:r w:rsidR="00B20AEF">
        <w:rPr>
          <w:rFonts w:ascii="Arial" w:hAnsi="Arial" w:cs="Arial"/>
          <w:b/>
        </w:rPr>
        <w:t>3</w:t>
      </w:r>
      <w:r w:rsidR="00A8244C" w:rsidRPr="00770472">
        <w:rPr>
          <w:rFonts w:ascii="Arial" w:hAnsi="Arial" w:cs="Arial"/>
          <w:b/>
        </w:rPr>
        <w:t>)</w:t>
      </w:r>
      <w:r w:rsidR="00A8244C">
        <w:rPr>
          <w:rFonts w:ascii="Arial" w:hAnsi="Arial" w:cs="Arial"/>
        </w:rPr>
        <w:t xml:space="preserve"> que en </w:t>
      </w:r>
      <w:r w:rsidR="00770472">
        <w:rPr>
          <w:rFonts w:ascii="Arial" w:hAnsi="Arial" w:cs="Arial"/>
        </w:rPr>
        <w:t>función</w:t>
      </w:r>
      <w:r w:rsidR="00A8244C">
        <w:rPr>
          <w:rFonts w:ascii="Arial" w:hAnsi="Arial" w:cs="Arial"/>
        </w:rPr>
        <w:t xml:space="preserve"> de lo dispuesto por la norma que vi</w:t>
      </w:r>
      <w:r w:rsidR="00770472">
        <w:rPr>
          <w:rFonts w:ascii="Arial" w:hAnsi="Arial" w:cs="Arial"/>
        </w:rPr>
        <w:t>e</w:t>
      </w:r>
      <w:r w:rsidR="00A8244C">
        <w:rPr>
          <w:rFonts w:ascii="Arial" w:hAnsi="Arial" w:cs="Arial"/>
        </w:rPr>
        <w:t>n</w:t>
      </w:r>
      <w:r w:rsidR="00770472">
        <w:rPr>
          <w:rFonts w:ascii="Arial" w:hAnsi="Arial" w:cs="Arial"/>
        </w:rPr>
        <w:t>e</w:t>
      </w:r>
      <w:r w:rsidR="00A8244C">
        <w:rPr>
          <w:rFonts w:ascii="Arial" w:hAnsi="Arial" w:cs="Arial"/>
        </w:rPr>
        <w:t xml:space="preserve"> de </w:t>
      </w:r>
      <w:r w:rsidR="00770472">
        <w:rPr>
          <w:rFonts w:ascii="Arial" w:hAnsi="Arial" w:cs="Arial"/>
        </w:rPr>
        <w:t>transcribirse</w:t>
      </w:r>
      <w:r w:rsidR="00900824">
        <w:rPr>
          <w:rFonts w:ascii="Arial" w:hAnsi="Arial" w:cs="Arial"/>
        </w:rPr>
        <w:t xml:space="preserve"> y de la Resoluci</w:t>
      </w:r>
      <w:r w:rsidR="00B20AEF">
        <w:rPr>
          <w:rFonts w:ascii="Arial" w:hAnsi="Arial" w:cs="Arial"/>
        </w:rPr>
        <w:t>ó</w:t>
      </w:r>
      <w:r w:rsidR="00900824">
        <w:rPr>
          <w:rFonts w:ascii="Arial" w:hAnsi="Arial" w:cs="Arial"/>
        </w:rPr>
        <w:t>n citada</w:t>
      </w:r>
      <w:r w:rsidR="00F04954">
        <w:rPr>
          <w:rFonts w:ascii="Arial" w:hAnsi="Arial" w:cs="Arial"/>
        </w:rPr>
        <w:t>,</w:t>
      </w:r>
      <w:r w:rsidR="00A8244C">
        <w:rPr>
          <w:rFonts w:ascii="Arial" w:hAnsi="Arial" w:cs="Arial"/>
        </w:rPr>
        <w:t xml:space="preserve"> se </w:t>
      </w:r>
      <w:r w:rsidR="00770472">
        <w:rPr>
          <w:rFonts w:ascii="Arial" w:hAnsi="Arial" w:cs="Arial"/>
        </w:rPr>
        <w:t>advierte</w:t>
      </w:r>
      <w:r w:rsidR="00A8244C">
        <w:rPr>
          <w:rFonts w:ascii="Arial" w:hAnsi="Arial" w:cs="Arial"/>
        </w:rPr>
        <w:t xml:space="preserve"> que, en la especie, la contratación del Co</w:t>
      </w:r>
      <w:r w:rsidR="003D2C4A">
        <w:rPr>
          <w:rFonts w:ascii="Arial" w:hAnsi="Arial" w:cs="Arial"/>
        </w:rPr>
        <w:t>nsultorio de Medicina Nuclear</w:t>
      </w:r>
      <w:r w:rsidR="00A8244C">
        <w:rPr>
          <w:rFonts w:ascii="Arial" w:hAnsi="Arial" w:cs="Arial"/>
        </w:rPr>
        <w:t xml:space="preserve"> </w:t>
      </w:r>
      <w:r w:rsidR="00F04954">
        <w:rPr>
          <w:rFonts w:ascii="Arial" w:hAnsi="Arial" w:cs="Arial"/>
        </w:rPr>
        <w:t xml:space="preserve">contraviene la previsión del </w:t>
      </w:r>
      <w:r>
        <w:rPr>
          <w:rFonts w:ascii="Arial" w:hAnsi="Arial" w:cs="Arial"/>
        </w:rPr>
        <w:t>Artículo</w:t>
      </w:r>
      <w:r w:rsidR="00F04954">
        <w:rPr>
          <w:rFonts w:ascii="Arial" w:hAnsi="Arial" w:cs="Arial"/>
        </w:rPr>
        <w:t xml:space="preserve"> 46 del TOCAF, al contar dicha persona jurídica con un integrante (</w:t>
      </w:r>
      <w:r w:rsidR="003D2C4A">
        <w:rPr>
          <w:rFonts w:ascii="Arial" w:hAnsi="Arial" w:cs="Arial"/>
        </w:rPr>
        <w:t>socio</w:t>
      </w:r>
      <w:r w:rsidR="00F04954">
        <w:rPr>
          <w:rFonts w:ascii="Arial" w:hAnsi="Arial" w:cs="Arial"/>
        </w:rPr>
        <w:t>)</w:t>
      </w:r>
      <w:r w:rsidR="003D2C4A">
        <w:rPr>
          <w:rFonts w:ascii="Arial" w:hAnsi="Arial" w:cs="Arial"/>
        </w:rPr>
        <w:t xml:space="preserve"> que mantiene un vínculo laboral con la</w:t>
      </w:r>
      <w:r w:rsidR="00721AF3">
        <w:rPr>
          <w:rFonts w:ascii="Arial" w:hAnsi="Arial" w:cs="Arial"/>
        </w:rPr>
        <w:t xml:space="preserve"> </w:t>
      </w:r>
      <w:r w:rsidR="00F04954">
        <w:rPr>
          <w:rFonts w:ascii="Arial" w:hAnsi="Arial" w:cs="Arial"/>
        </w:rPr>
        <w:t xml:space="preserve">Administración </w:t>
      </w:r>
      <w:r w:rsidR="00721AF3">
        <w:rPr>
          <w:rFonts w:ascii="Arial" w:hAnsi="Arial" w:cs="Arial"/>
        </w:rPr>
        <w:t>contratante</w:t>
      </w:r>
      <w:r w:rsidR="00F04954">
        <w:rPr>
          <w:rFonts w:ascii="Arial" w:hAnsi="Arial" w:cs="Arial"/>
        </w:rPr>
        <w:t>;</w:t>
      </w:r>
      <w:r w:rsidR="00770472">
        <w:rPr>
          <w:rFonts w:ascii="Arial" w:hAnsi="Arial" w:cs="Arial"/>
        </w:rPr>
        <w:t xml:space="preserve">                                </w:t>
      </w:r>
      <w:r w:rsidR="00272F63">
        <w:rPr>
          <w:rFonts w:ascii="Arial" w:hAnsi="Arial" w:cs="Arial"/>
        </w:rPr>
        <w:t xml:space="preserve"> </w:t>
      </w:r>
    </w:p>
    <w:p w:rsidR="00706964" w:rsidRDefault="00706964" w:rsidP="00B03D77">
      <w:pPr>
        <w:spacing w:line="360" w:lineRule="auto"/>
        <w:jc w:val="both"/>
        <w:rPr>
          <w:rFonts w:ascii="Arial" w:hAnsi="Arial" w:cs="Arial"/>
        </w:rPr>
      </w:pPr>
      <w:r>
        <w:rPr>
          <w:rFonts w:ascii="Arial" w:hAnsi="Arial" w:cs="Arial"/>
        </w:rPr>
        <w:tab/>
      </w:r>
      <w:r>
        <w:rPr>
          <w:rFonts w:ascii="Arial" w:hAnsi="Arial" w:cs="Arial"/>
          <w:b/>
          <w:bCs/>
        </w:rPr>
        <w:t xml:space="preserve">ATENTO: </w:t>
      </w:r>
      <w:r>
        <w:rPr>
          <w:rFonts w:ascii="Arial" w:hAnsi="Arial" w:cs="Arial"/>
        </w:rPr>
        <w:t>a lo precedentemente expuesto;</w:t>
      </w:r>
    </w:p>
    <w:p w:rsidR="00706964" w:rsidRDefault="00706964" w:rsidP="00B03D77">
      <w:pPr>
        <w:pStyle w:val="Ttulo1"/>
        <w:rPr>
          <w:rFonts w:cs="Arial"/>
          <w:u w:val="none"/>
        </w:rPr>
      </w:pPr>
      <w:r w:rsidRPr="00B20AEF">
        <w:rPr>
          <w:rFonts w:cs="Arial"/>
          <w:u w:val="none"/>
        </w:rPr>
        <w:t>EL TRIBUNAL ACUERDA</w:t>
      </w:r>
    </w:p>
    <w:p w:rsidR="00706964" w:rsidRDefault="00706964" w:rsidP="00B03D77">
      <w:pPr>
        <w:numPr>
          <w:ilvl w:val="0"/>
          <w:numId w:val="1"/>
        </w:numPr>
        <w:tabs>
          <w:tab w:val="clear" w:pos="720"/>
          <w:tab w:val="num" w:pos="284"/>
        </w:tabs>
        <w:spacing w:line="360" w:lineRule="auto"/>
        <w:ind w:left="0" w:firstLine="0"/>
        <w:rPr>
          <w:rFonts w:ascii="Arial" w:hAnsi="Arial" w:cs="Arial"/>
        </w:rPr>
      </w:pPr>
      <w:r>
        <w:rPr>
          <w:rFonts w:ascii="Arial" w:hAnsi="Arial" w:cs="Arial"/>
        </w:rPr>
        <w:t>Evacuar la consulta en los términos de los presentes Considerando;</w:t>
      </w:r>
      <w:r w:rsidR="00B03D77">
        <w:rPr>
          <w:rFonts w:ascii="Arial" w:hAnsi="Arial" w:cs="Arial"/>
        </w:rPr>
        <w:t xml:space="preserve"> y</w:t>
      </w:r>
    </w:p>
    <w:p w:rsidR="00706964" w:rsidRDefault="00706964" w:rsidP="00B03D77">
      <w:pPr>
        <w:numPr>
          <w:ilvl w:val="0"/>
          <w:numId w:val="1"/>
        </w:numPr>
        <w:tabs>
          <w:tab w:val="clear" w:pos="720"/>
          <w:tab w:val="num" w:pos="284"/>
        </w:tabs>
        <w:spacing w:line="360" w:lineRule="auto"/>
        <w:ind w:left="0" w:firstLine="0"/>
        <w:rPr>
          <w:rFonts w:ascii="Arial" w:hAnsi="Arial" w:cs="Arial"/>
        </w:rPr>
      </w:pPr>
      <w:r>
        <w:rPr>
          <w:rFonts w:ascii="Arial" w:hAnsi="Arial" w:cs="Arial"/>
        </w:rPr>
        <w:t>Comunicar al Contador Delegado</w:t>
      </w:r>
      <w:r w:rsidR="002816D9">
        <w:rPr>
          <w:rFonts w:ascii="Arial" w:hAnsi="Arial" w:cs="Arial"/>
        </w:rPr>
        <w:t>.</w:t>
      </w:r>
    </w:p>
    <w:p w:rsidR="000223B5" w:rsidRDefault="000223B5" w:rsidP="00B03D77">
      <w:pPr>
        <w:spacing w:line="360" w:lineRule="auto"/>
        <w:rPr>
          <w:rFonts w:ascii="Arial" w:hAnsi="Arial" w:cs="Arial"/>
        </w:rPr>
      </w:pPr>
    </w:p>
    <w:p w:rsidR="00B03D77" w:rsidRDefault="00B03D77" w:rsidP="00B03D77">
      <w:pPr>
        <w:spacing w:line="360" w:lineRule="auto"/>
        <w:rPr>
          <w:rFonts w:ascii="Arial" w:hAnsi="Arial" w:cs="Arial"/>
        </w:rPr>
      </w:pPr>
      <w:proofErr w:type="spellStart"/>
      <w:proofErr w:type="gramStart"/>
      <w:r>
        <w:rPr>
          <w:rFonts w:ascii="Arial" w:hAnsi="Arial" w:cs="Arial"/>
        </w:rPr>
        <w:t>aa</w:t>
      </w:r>
      <w:proofErr w:type="spellEnd"/>
      <w:proofErr w:type="gramEnd"/>
    </w:p>
    <w:p w:rsidR="00B03D77" w:rsidRDefault="00B03D77" w:rsidP="00B03D77">
      <w:pPr>
        <w:spacing w:line="360" w:lineRule="auto"/>
        <w:rPr>
          <w:rFonts w:ascii="Arial" w:hAnsi="Arial" w:cs="Arial"/>
        </w:rPr>
      </w:pPr>
    </w:p>
    <w:p w:rsidR="00317804" w:rsidRPr="00317804" w:rsidRDefault="00B03D77" w:rsidP="00317804">
      <w:pPr>
        <w:spacing w:line="360" w:lineRule="auto"/>
        <w:jc w:val="both"/>
        <w:rPr>
          <w:rFonts w:ascii="Arial" w:hAnsi="Arial"/>
        </w:rPr>
      </w:pPr>
      <w:r w:rsidRPr="00E9382D">
        <w:rPr>
          <w:rFonts w:ascii="Arial" w:hAnsi="Arial" w:cs="Arial"/>
          <w:b/>
          <w:lang w:val="es-UY"/>
        </w:rPr>
        <w:lastRenderedPageBreak/>
        <w:t>CON</w:t>
      </w:r>
      <w:r>
        <w:rPr>
          <w:rFonts w:ascii="Arial" w:hAnsi="Arial" w:cs="Arial"/>
          <w:b/>
          <w:lang w:val="es-UY"/>
        </w:rPr>
        <w:t>S</w:t>
      </w:r>
      <w:r w:rsidRPr="00E9382D">
        <w:rPr>
          <w:rFonts w:ascii="Arial" w:hAnsi="Arial" w:cs="Arial"/>
          <w:b/>
          <w:lang w:val="es-UY"/>
        </w:rPr>
        <w:t>TANCIA DE FUNDAMENTO DE VOTO</w:t>
      </w:r>
      <w:r>
        <w:rPr>
          <w:rFonts w:ascii="Arial" w:hAnsi="Arial" w:cs="Arial"/>
          <w:b/>
          <w:lang w:val="es-UY"/>
        </w:rPr>
        <w:t xml:space="preserve"> DISCORDE</w:t>
      </w:r>
      <w:r w:rsidRPr="00E9382D">
        <w:rPr>
          <w:rFonts w:ascii="Arial" w:hAnsi="Arial" w:cs="Arial"/>
          <w:b/>
          <w:lang w:val="es-UY"/>
        </w:rPr>
        <w:t xml:space="preserve"> DE</w:t>
      </w:r>
      <w:r>
        <w:rPr>
          <w:rFonts w:ascii="Arial" w:hAnsi="Arial" w:cs="Arial"/>
          <w:b/>
          <w:lang w:val="es-UY"/>
        </w:rPr>
        <w:t xml:space="preserve"> </w:t>
      </w:r>
      <w:r w:rsidRPr="00E9382D">
        <w:rPr>
          <w:rFonts w:ascii="Arial" w:hAnsi="Arial" w:cs="Arial"/>
          <w:b/>
          <w:lang w:val="es-UY"/>
        </w:rPr>
        <w:t>L</w:t>
      </w:r>
      <w:r>
        <w:rPr>
          <w:rFonts w:ascii="Arial" w:hAnsi="Arial" w:cs="Arial"/>
          <w:b/>
          <w:lang w:val="es-UY"/>
        </w:rPr>
        <w:t>A</w:t>
      </w:r>
      <w:r w:rsidRPr="00E9382D">
        <w:rPr>
          <w:rFonts w:ascii="Arial" w:hAnsi="Arial" w:cs="Arial"/>
          <w:b/>
          <w:lang w:val="es-UY"/>
        </w:rPr>
        <w:t xml:space="preserve"> </w:t>
      </w:r>
      <w:r>
        <w:rPr>
          <w:rFonts w:ascii="Arial" w:hAnsi="Arial" w:cs="Arial"/>
          <w:b/>
          <w:lang w:val="es-UY"/>
        </w:rPr>
        <w:t>MINISTRA             CRA. DIANA MARCOS</w:t>
      </w:r>
      <w:r w:rsidRPr="005C0AC0">
        <w:rPr>
          <w:rFonts w:ascii="Arial" w:hAnsi="Arial" w:cs="Arial"/>
          <w:b/>
          <w:lang w:val="es-UY"/>
        </w:rPr>
        <w:t>:</w:t>
      </w:r>
      <w:r w:rsidR="00317804" w:rsidRPr="00317804">
        <w:rPr>
          <w:rFonts w:ascii="Arial" w:hAnsi="Arial"/>
        </w:rPr>
        <w:t xml:space="preserve"> </w:t>
      </w:r>
      <w:r w:rsidR="00317804">
        <w:rPr>
          <w:rFonts w:ascii="Arial" w:hAnsi="Arial"/>
        </w:rPr>
        <w:t>“</w:t>
      </w:r>
      <w:r w:rsidR="00317804" w:rsidRPr="00317804">
        <w:rPr>
          <w:rFonts w:ascii="Arial" w:hAnsi="Arial"/>
        </w:rPr>
        <w:t>Consulta formulada por el Contador Delegado de este Tribunal, referida a la aplicación del artículo 46 del TOCAF en la contratación celebrada con la empresa Consultorio de Medicina Nuclear.</w:t>
      </w:r>
    </w:p>
    <w:p w:rsidR="00317804" w:rsidRPr="00317804" w:rsidRDefault="00317804" w:rsidP="00317804">
      <w:pPr>
        <w:spacing w:line="360" w:lineRule="auto"/>
        <w:jc w:val="both"/>
        <w:rPr>
          <w:rFonts w:ascii="Arial" w:hAnsi="Arial"/>
        </w:rPr>
      </w:pPr>
      <w:r w:rsidRPr="00317804">
        <w:rPr>
          <w:rFonts w:ascii="Arial" w:hAnsi="Arial"/>
        </w:rPr>
        <w:t>Voté en discordia la Resolución de este expediente por no compartir la causal de observación esgrimida por la mayoría:</w:t>
      </w:r>
    </w:p>
    <w:p w:rsidR="00317804" w:rsidRPr="00317804" w:rsidRDefault="00317804" w:rsidP="00317804">
      <w:pPr>
        <w:spacing w:line="360" w:lineRule="auto"/>
        <w:jc w:val="both"/>
        <w:rPr>
          <w:rFonts w:ascii="Arial" w:hAnsi="Arial"/>
        </w:rPr>
      </w:pPr>
      <w:r w:rsidRPr="00317804">
        <w:rPr>
          <w:rFonts w:ascii="Arial" w:hAnsi="Arial"/>
        </w:rPr>
        <w:t>-Se observa la contratación con el Consultorio de Medicina Nuclear, porque uno de los socios (docente) es contratado por una COMISION DE APOYO DE ASSE.</w:t>
      </w:r>
    </w:p>
    <w:p w:rsidR="00317804" w:rsidRPr="00317804" w:rsidRDefault="00317804" w:rsidP="00317804">
      <w:pPr>
        <w:spacing w:line="360" w:lineRule="auto"/>
        <w:jc w:val="both"/>
        <w:rPr>
          <w:rFonts w:ascii="Arial" w:hAnsi="Arial"/>
        </w:rPr>
      </w:pPr>
      <w:r w:rsidRPr="00317804">
        <w:rPr>
          <w:rFonts w:ascii="Arial" w:hAnsi="Arial"/>
        </w:rPr>
        <w:t>El Tribunal admitió la docencia como algo no excluyente y no ha sido un factor de observación.</w:t>
      </w:r>
    </w:p>
    <w:p w:rsidR="00317804" w:rsidRPr="00317804" w:rsidRDefault="00317804" w:rsidP="00317804">
      <w:pPr>
        <w:spacing w:line="360" w:lineRule="auto"/>
        <w:jc w:val="both"/>
        <w:rPr>
          <w:rFonts w:ascii="Arial" w:hAnsi="Arial"/>
        </w:rPr>
      </w:pPr>
      <w:r w:rsidRPr="00317804">
        <w:rPr>
          <w:rFonts w:ascii="Arial" w:hAnsi="Arial"/>
        </w:rPr>
        <w:t>No se menoscaba la autonomía de ASSE. El docente mencionado no participó en el proceso de adquisición.</w:t>
      </w:r>
      <w:r>
        <w:rPr>
          <w:rFonts w:ascii="Arial" w:hAnsi="Arial"/>
        </w:rPr>
        <w:t>”</w:t>
      </w:r>
    </w:p>
    <w:p w:rsidR="00B03D77" w:rsidRPr="00317804" w:rsidRDefault="00B03D77" w:rsidP="00D71A3A">
      <w:pPr>
        <w:spacing w:line="360" w:lineRule="auto"/>
        <w:jc w:val="both"/>
        <w:rPr>
          <w:rFonts w:ascii="Arial" w:hAnsi="Arial" w:cs="Arial"/>
          <w:b/>
        </w:rPr>
      </w:pPr>
    </w:p>
    <w:p w:rsidR="00317804" w:rsidRDefault="00317804" w:rsidP="00D71A3A">
      <w:pPr>
        <w:spacing w:line="360" w:lineRule="auto"/>
        <w:jc w:val="both"/>
        <w:rPr>
          <w:rFonts w:ascii="Arial" w:hAnsi="Arial" w:cs="Arial"/>
          <w:b/>
          <w:lang w:val="es-UY"/>
        </w:rPr>
      </w:pPr>
    </w:p>
    <w:p w:rsidR="00317804" w:rsidRDefault="00317804" w:rsidP="00D71A3A">
      <w:pPr>
        <w:spacing w:line="360" w:lineRule="auto"/>
        <w:jc w:val="both"/>
        <w:rPr>
          <w:rFonts w:ascii="Arial" w:hAnsi="Arial" w:cs="Arial"/>
          <w:b/>
          <w:lang w:val="es-UY"/>
        </w:rPr>
      </w:pPr>
    </w:p>
    <w:p w:rsidR="00317804" w:rsidRDefault="00317804" w:rsidP="00D71A3A">
      <w:pPr>
        <w:spacing w:line="360" w:lineRule="auto"/>
        <w:jc w:val="both"/>
        <w:rPr>
          <w:rFonts w:ascii="Arial" w:hAnsi="Arial" w:cs="Arial"/>
          <w:lang w:val="es-UY"/>
        </w:rPr>
      </w:pPr>
    </w:p>
    <w:p w:rsidR="00B03D77" w:rsidRDefault="00B03D77" w:rsidP="00D71A3A">
      <w:pPr>
        <w:spacing w:line="360" w:lineRule="auto"/>
        <w:jc w:val="both"/>
        <w:rPr>
          <w:rFonts w:ascii="Arial" w:hAnsi="Arial" w:cs="Arial"/>
          <w:lang w:val="es-UY"/>
        </w:rPr>
      </w:pPr>
    </w:p>
    <w:p w:rsidR="00317804" w:rsidRPr="00317804" w:rsidRDefault="00B03D77" w:rsidP="00317804">
      <w:pPr>
        <w:spacing w:line="360" w:lineRule="auto"/>
        <w:jc w:val="both"/>
        <w:rPr>
          <w:rFonts w:ascii="Arial" w:hAnsi="Arial" w:cs="Arial"/>
          <w:b/>
        </w:rPr>
      </w:pPr>
      <w:r w:rsidRPr="00E9382D">
        <w:rPr>
          <w:rFonts w:ascii="Arial" w:hAnsi="Arial" w:cs="Arial"/>
          <w:b/>
          <w:lang w:val="es-UY"/>
        </w:rPr>
        <w:t>CON</w:t>
      </w:r>
      <w:r>
        <w:rPr>
          <w:rFonts w:ascii="Arial" w:hAnsi="Arial" w:cs="Arial"/>
          <w:b/>
          <w:lang w:val="es-UY"/>
        </w:rPr>
        <w:t>S</w:t>
      </w:r>
      <w:r w:rsidRPr="00E9382D">
        <w:rPr>
          <w:rFonts w:ascii="Arial" w:hAnsi="Arial" w:cs="Arial"/>
          <w:b/>
          <w:lang w:val="es-UY"/>
        </w:rPr>
        <w:t xml:space="preserve">TANCIA DE FUNDAMENTO DE VOTO </w:t>
      </w:r>
      <w:r>
        <w:rPr>
          <w:rFonts w:ascii="Arial" w:hAnsi="Arial" w:cs="Arial"/>
          <w:b/>
          <w:lang w:val="es-UY"/>
        </w:rPr>
        <w:t>DISCORDE</w:t>
      </w:r>
      <w:r w:rsidRPr="00E9382D">
        <w:rPr>
          <w:rFonts w:ascii="Arial" w:hAnsi="Arial" w:cs="Arial"/>
          <w:b/>
          <w:lang w:val="es-UY"/>
        </w:rPr>
        <w:t xml:space="preserve"> DEL </w:t>
      </w:r>
      <w:r w:rsidRPr="00837E21">
        <w:rPr>
          <w:rFonts w:ascii="Arial" w:hAnsi="Arial" w:cs="Arial"/>
          <w:b/>
          <w:lang w:val="es-UY"/>
        </w:rPr>
        <w:t>MINISTRO</w:t>
      </w:r>
      <w:r>
        <w:rPr>
          <w:rFonts w:ascii="Arial" w:hAnsi="Arial" w:cs="Arial"/>
          <w:lang w:val="es-UY"/>
        </w:rPr>
        <w:t xml:space="preserve">               </w:t>
      </w:r>
      <w:r w:rsidRPr="00D71A3A">
        <w:rPr>
          <w:rFonts w:ascii="Arial" w:hAnsi="Arial" w:cs="Arial"/>
          <w:b/>
          <w:lang w:val="es-UY"/>
        </w:rPr>
        <w:t>ING. MIGUEL AUMENTO:</w:t>
      </w:r>
      <w:r w:rsidRPr="005C0AC0">
        <w:rPr>
          <w:rFonts w:ascii="Arial" w:hAnsi="Arial" w:cs="Arial"/>
          <w:b/>
          <w:lang w:val="es-UY"/>
        </w:rPr>
        <w:t xml:space="preserve"> </w:t>
      </w:r>
      <w:r w:rsidR="00317804" w:rsidRPr="00317804">
        <w:rPr>
          <w:rFonts w:ascii="Arial" w:hAnsi="Arial" w:cs="Arial"/>
        </w:rPr>
        <w:t xml:space="preserve">He votado en forma discorde la Resolución recaída en este expediente, en tanto no estoy de acuerdo con la respuesta dada a la consulta remitida por el Contador Delegado respeto a la aplicación del Artículo 46 Numeral 1) del TOCAF, en el marco de la contratación con la empresa Consultorio de Medicina Nuclear promovida por A.S.S.E. </w:t>
      </w:r>
    </w:p>
    <w:p w:rsidR="00317804" w:rsidRPr="00317804" w:rsidRDefault="00317804" w:rsidP="00317804">
      <w:pPr>
        <w:spacing w:line="360" w:lineRule="auto"/>
        <w:jc w:val="both"/>
        <w:rPr>
          <w:rFonts w:ascii="Arial" w:hAnsi="Arial" w:cs="Arial"/>
        </w:rPr>
      </w:pPr>
      <w:r w:rsidRPr="00317804">
        <w:rPr>
          <w:rFonts w:ascii="Arial" w:hAnsi="Arial" w:cs="Arial"/>
        </w:rPr>
        <w:t xml:space="preserve">En términos generales pero en especial en lo que respecta a A.S.S.E, dado su complejidad y diversidad de situaciones, resulta prudente realizar un análisis caso a caso sobre la aplicación de la norma precitada, evitando las generalizaciones. Esta es una postura del Tribunal, la cual comparto absolutamente.  </w:t>
      </w:r>
    </w:p>
    <w:p w:rsidR="00317804" w:rsidRPr="00317804" w:rsidRDefault="00317804" w:rsidP="00317804">
      <w:pPr>
        <w:spacing w:line="360" w:lineRule="auto"/>
        <w:jc w:val="both"/>
        <w:rPr>
          <w:rFonts w:ascii="Arial" w:hAnsi="Arial" w:cs="Arial"/>
        </w:rPr>
      </w:pPr>
      <w:r w:rsidRPr="00317804">
        <w:rPr>
          <w:rFonts w:ascii="Arial" w:hAnsi="Arial" w:cs="Arial"/>
        </w:rPr>
        <w:lastRenderedPageBreak/>
        <w:t xml:space="preserve">Cabe señalar que el Artículo 46 Numeral 1) del TOCAF no posee un espíritu de exacerbación de la casuística en cuanto a la incapacidad de contratar con el Estado. De hecho, no se puede soslayar que habilita a dar curso a una oferta presentada por una persona jurídica que tenga a un funcionario público como dependiente, siempre y cuando dicho funcionario no tenga participación </w:t>
      </w:r>
      <w:r w:rsidRPr="00317804">
        <w:rPr>
          <w:rFonts w:ascii="Arial" w:hAnsi="Arial" w:cs="Arial"/>
          <w:u w:val="single"/>
        </w:rPr>
        <w:t>en el proceso mismo de adquisición</w:t>
      </w:r>
      <w:r w:rsidRPr="00317804">
        <w:rPr>
          <w:rFonts w:ascii="Arial" w:hAnsi="Arial" w:cs="Arial"/>
        </w:rPr>
        <w:t xml:space="preserve"> y no exista conflicto de intereses (dejándose constancia en el expediente respectivo).  </w:t>
      </w:r>
    </w:p>
    <w:p w:rsidR="00317804" w:rsidRPr="00317804" w:rsidRDefault="00317804" w:rsidP="00317804">
      <w:pPr>
        <w:spacing w:line="360" w:lineRule="auto"/>
        <w:jc w:val="both"/>
        <w:rPr>
          <w:rFonts w:ascii="Arial" w:hAnsi="Arial" w:cs="Arial"/>
        </w:rPr>
      </w:pPr>
      <w:r w:rsidRPr="00317804">
        <w:rPr>
          <w:rFonts w:ascii="Arial" w:hAnsi="Arial" w:cs="Arial"/>
        </w:rPr>
        <w:t xml:space="preserve">Dicho todo lo anterior, y en lo que respecta al asunto puntual que nos ocupa en </w:t>
      </w:r>
      <w:proofErr w:type="gramStart"/>
      <w:r w:rsidRPr="00317804">
        <w:rPr>
          <w:rFonts w:ascii="Arial" w:hAnsi="Arial" w:cs="Arial"/>
        </w:rPr>
        <w:t>esta</w:t>
      </w:r>
      <w:proofErr w:type="gramEnd"/>
      <w:r w:rsidRPr="00317804">
        <w:rPr>
          <w:rFonts w:ascii="Arial" w:hAnsi="Arial" w:cs="Arial"/>
        </w:rPr>
        <w:t xml:space="preserve"> oportunidad, entiendo que no existe un vínculo laboral del sujeto ni con A.S.S.E ni con la Comisión de Apoyo. Se configura la existencia de un vínculo profesional (en particular de docencia) por un contrato como técnico independiente con la Comisión de Apoyo, tal como se expresa en el propio Resultando 3). En todo caso, el vínculo laboral si se quiere es con la Comisión de Apoyo pero NO con A.S.S.E. El Artículo 46 Numeral 1) del TOCAF establece la limitación en “…</w:t>
      </w:r>
      <w:r w:rsidRPr="00317804">
        <w:rPr>
          <w:rFonts w:ascii="Arial" w:hAnsi="Arial" w:cs="Arial"/>
          <w:u w:val="single"/>
        </w:rPr>
        <w:t>Ser funcionario público de la Administración contratante</w:t>
      </w:r>
      <w:r w:rsidRPr="00317804">
        <w:rPr>
          <w:rFonts w:ascii="Arial" w:hAnsi="Arial" w:cs="Arial"/>
        </w:rPr>
        <w:t xml:space="preserve"> o mantener un vínculo laboral de cualquier naturaleza </w:t>
      </w:r>
      <w:r w:rsidRPr="00317804">
        <w:rPr>
          <w:rFonts w:ascii="Arial" w:hAnsi="Arial" w:cs="Arial"/>
          <w:u w:val="single"/>
        </w:rPr>
        <w:t>con la misma</w:t>
      </w:r>
      <w:r w:rsidRPr="00317804">
        <w:rPr>
          <w:rFonts w:ascii="Arial" w:hAnsi="Arial" w:cs="Arial"/>
        </w:rPr>
        <w:t>…” (</w:t>
      </w:r>
      <w:proofErr w:type="gramStart"/>
      <w:r w:rsidRPr="00317804">
        <w:rPr>
          <w:rFonts w:ascii="Arial" w:hAnsi="Arial" w:cs="Arial"/>
        </w:rPr>
        <w:t>los</w:t>
      </w:r>
      <w:proofErr w:type="gramEnd"/>
      <w:r w:rsidRPr="00317804">
        <w:rPr>
          <w:rFonts w:ascii="Arial" w:hAnsi="Arial" w:cs="Arial"/>
        </w:rPr>
        <w:t xml:space="preserve"> subrayados son míos). El sujeto no es funcionario público perteneciente a A.S.S.E. ni posee un vínculo laboral (contrato) con dicho organismo. La Comisión de Apoyo es formalmente una persona jurídica distinta que A.S.S.E (Artículo 21 del Código Civil). A su vez, no consta en el expediente que el sujeto en cuestión posea ni siquiera una función de orden jerárquico o de toma de decisiones, siendo su rol, en todo caso, el de un servicio médico en el marco de su especialidad, y en particular como docente en el marco del Programa de Unidades Docentes Asistenciales.   </w:t>
      </w:r>
    </w:p>
    <w:p w:rsidR="00317804" w:rsidRPr="00317804" w:rsidRDefault="00317804" w:rsidP="00317804">
      <w:pPr>
        <w:spacing w:line="360" w:lineRule="auto"/>
        <w:jc w:val="both"/>
        <w:rPr>
          <w:rFonts w:ascii="Arial" w:hAnsi="Arial" w:cs="Arial"/>
          <w:b/>
        </w:rPr>
      </w:pPr>
    </w:p>
    <w:p w:rsidR="00B03D77" w:rsidRDefault="00B03D77" w:rsidP="00D71A3A">
      <w:pPr>
        <w:spacing w:line="360" w:lineRule="auto"/>
        <w:jc w:val="both"/>
        <w:rPr>
          <w:rFonts w:ascii="Arial" w:hAnsi="Arial" w:cs="Arial"/>
          <w:lang w:val="es-UY"/>
        </w:rPr>
      </w:pPr>
    </w:p>
    <w:p w:rsidR="00925F47" w:rsidRDefault="00925F47" w:rsidP="00D71A3A">
      <w:pPr>
        <w:spacing w:line="360" w:lineRule="auto"/>
        <w:jc w:val="both"/>
        <w:rPr>
          <w:rFonts w:ascii="Arial" w:hAnsi="Arial" w:cs="Arial"/>
          <w:lang w:val="es-UY"/>
        </w:rPr>
      </w:pPr>
    </w:p>
    <w:p w:rsidR="00925F47" w:rsidRDefault="00925F47" w:rsidP="00D71A3A">
      <w:pPr>
        <w:spacing w:line="360" w:lineRule="auto"/>
        <w:jc w:val="both"/>
        <w:rPr>
          <w:rFonts w:ascii="Arial" w:hAnsi="Arial" w:cs="Arial"/>
          <w:lang w:val="es-UY"/>
        </w:rPr>
      </w:pPr>
    </w:p>
    <w:p w:rsidR="00925F47" w:rsidRDefault="00925F47" w:rsidP="00D71A3A">
      <w:pPr>
        <w:spacing w:line="360" w:lineRule="auto"/>
        <w:jc w:val="both"/>
        <w:rPr>
          <w:rFonts w:ascii="Arial" w:hAnsi="Arial" w:cs="Arial"/>
          <w:lang w:val="es-UY"/>
        </w:rPr>
      </w:pPr>
    </w:p>
    <w:p w:rsidR="00925F47" w:rsidRPr="00925F47" w:rsidRDefault="00B03D77" w:rsidP="00925F47">
      <w:pPr>
        <w:spacing w:line="360" w:lineRule="auto"/>
        <w:jc w:val="both"/>
        <w:rPr>
          <w:rFonts w:ascii="Arial" w:eastAsiaTheme="minorHAnsi" w:hAnsi="Arial" w:cs="Arial"/>
          <w:lang w:val="es-UY" w:eastAsia="en-US"/>
        </w:rPr>
      </w:pPr>
      <w:r w:rsidRPr="00925F47">
        <w:rPr>
          <w:rFonts w:ascii="Arial" w:hAnsi="Arial" w:cs="Arial"/>
          <w:b/>
          <w:lang w:val="es-UY"/>
        </w:rPr>
        <w:lastRenderedPageBreak/>
        <w:t>CONSTANCIA DE FUNDAMENTO DE VOTO DISCORDE DEL MINISTRO LEON LEV:</w:t>
      </w:r>
      <w:r w:rsidRPr="00925F47">
        <w:rPr>
          <w:rFonts w:ascii="Arial" w:hAnsi="Arial" w:cs="Arial"/>
          <w:lang w:val="es-UY"/>
        </w:rPr>
        <w:t xml:space="preserve"> </w:t>
      </w:r>
      <w:r w:rsidR="00925F47" w:rsidRPr="00925F47">
        <w:rPr>
          <w:rFonts w:ascii="Arial" w:eastAsiaTheme="minorHAnsi" w:hAnsi="Arial" w:cs="Arial"/>
          <w:lang w:val="es-UY" w:eastAsia="en-US"/>
        </w:rPr>
        <w:t>Voté en discordia la Resolución de este expediente, por no compartir</w:t>
      </w:r>
      <w:r w:rsidR="00925F47" w:rsidRPr="00925F47">
        <w:rPr>
          <w:rFonts w:ascii="Arial" w:eastAsiaTheme="minorHAnsi" w:hAnsi="Arial" w:cs="Arial"/>
          <w:lang w:val="es-UY" w:eastAsia="en-US"/>
        </w:rPr>
        <w:t xml:space="preserve"> </w:t>
      </w:r>
      <w:r w:rsidR="00925F47" w:rsidRPr="00925F47">
        <w:rPr>
          <w:rFonts w:ascii="Arial" w:eastAsiaTheme="minorHAnsi" w:hAnsi="Arial" w:cs="Arial"/>
          <w:lang w:val="es-UY" w:eastAsia="en-US"/>
        </w:rPr>
        <w:t>la causal de observación esgrimida por la Mayoría</w:t>
      </w:r>
    </w:p>
    <w:p w:rsidR="00925F47" w:rsidRPr="00925F47" w:rsidRDefault="00925F47" w:rsidP="00925F47">
      <w:pPr>
        <w:spacing w:line="360" w:lineRule="auto"/>
        <w:jc w:val="both"/>
        <w:rPr>
          <w:rFonts w:ascii="Arial" w:eastAsiaTheme="minorHAnsi" w:hAnsi="Arial" w:cs="Arial"/>
          <w:lang w:val="es-UY" w:eastAsia="en-US"/>
        </w:rPr>
      </w:pPr>
      <w:r w:rsidRPr="00925F47">
        <w:rPr>
          <w:rFonts w:ascii="Arial" w:eastAsiaTheme="minorHAnsi" w:hAnsi="Arial" w:cs="Arial"/>
          <w:lang w:val="es-UY" w:eastAsia="en-US"/>
        </w:rPr>
        <w:t>Se observa la contratación con el Consultorio de Medicina Nuclear, porque uno de los socios (Docente) es contratado por una COMISION DE APOYO DE ASSE.</w:t>
      </w:r>
    </w:p>
    <w:p w:rsidR="00925F47" w:rsidRPr="00925F47" w:rsidRDefault="00925F47" w:rsidP="00925F47">
      <w:pPr>
        <w:spacing w:line="360" w:lineRule="auto"/>
        <w:jc w:val="both"/>
        <w:rPr>
          <w:rFonts w:ascii="Arial" w:eastAsiaTheme="minorHAnsi" w:hAnsi="Arial" w:cs="Arial"/>
          <w:lang w:val="es-UY" w:eastAsia="en-US"/>
        </w:rPr>
      </w:pPr>
      <w:r w:rsidRPr="00925F47">
        <w:rPr>
          <w:rFonts w:ascii="Arial" w:eastAsiaTheme="minorHAnsi" w:hAnsi="Arial" w:cs="Arial"/>
          <w:lang w:val="es-UY" w:eastAsia="en-US"/>
        </w:rPr>
        <w:t>Es notorio que siempre el Tribunal admitió la docencia  como algo no excluyente y no  factor de observación.</w:t>
      </w:r>
    </w:p>
    <w:p w:rsidR="00925F47" w:rsidRPr="00925F47" w:rsidRDefault="00925F47" w:rsidP="00925F47">
      <w:pPr>
        <w:spacing w:line="360" w:lineRule="auto"/>
        <w:jc w:val="both"/>
        <w:rPr>
          <w:rFonts w:ascii="Arial" w:eastAsiaTheme="minorHAnsi" w:hAnsi="Arial" w:cs="Arial"/>
          <w:lang w:val="es-UY" w:eastAsia="en-US"/>
        </w:rPr>
      </w:pPr>
      <w:r w:rsidRPr="00925F47">
        <w:rPr>
          <w:rFonts w:ascii="Arial" w:eastAsiaTheme="minorHAnsi" w:hAnsi="Arial" w:cs="Arial"/>
          <w:lang w:val="es-UY" w:eastAsia="en-US"/>
        </w:rPr>
        <w:t>No considero “CONFLICTO D E INTERESES “que menoscabe la autonomía de ASSE y mucho menos cuando la persona alegada no tuvo participación en el “proceso de adquisición “</w:t>
      </w:r>
    </w:p>
    <w:p w:rsidR="00B03D77" w:rsidRDefault="00B03D77" w:rsidP="00D71A3A">
      <w:pPr>
        <w:spacing w:line="360" w:lineRule="auto"/>
        <w:jc w:val="both"/>
        <w:rPr>
          <w:rFonts w:ascii="Arial" w:hAnsi="Arial" w:cs="Arial"/>
          <w:lang w:val="es-UY"/>
        </w:rPr>
      </w:pPr>
      <w:bookmarkStart w:id="0" w:name="_GoBack"/>
      <w:bookmarkEnd w:id="0"/>
    </w:p>
    <w:sectPr w:rsidR="00B03D77" w:rsidSect="00915623">
      <w:pgSz w:w="11906" w:h="16838" w:code="9"/>
      <w:pgMar w:top="3402" w:right="1701" w:bottom="992"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F3D89"/>
    <w:multiLevelType w:val="hybridMultilevel"/>
    <w:tmpl w:val="70B8B87C"/>
    <w:lvl w:ilvl="0" w:tplc="DEE6BCD2">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3648161B"/>
    <w:multiLevelType w:val="hybridMultilevel"/>
    <w:tmpl w:val="96D85DA0"/>
    <w:lvl w:ilvl="0" w:tplc="63DC5642">
      <w:start w:val="1"/>
      <w:numFmt w:val="decimal"/>
      <w:lvlText w:val="%1)"/>
      <w:lvlJc w:val="left"/>
      <w:pPr>
        <w:ind w:left="1068" w:hanging="360"/>
      </w:pPr>
      <w:rPr>
        <w:rFonts w:hint="default"/>
      </w:rPr>
    </w:lvl>
    <w:lvl w:ilvl="1" w:tplc="380A0019" w:tentative="1">
      <w:start w:val="1"/>
      <w:numFmt w:val="lowerLetter"/>
      <w:lvlText w:val="%2."/>
      <w:lvlJc w:val="left"/>
      <w:pPr>
        <w:ind w:left="1788" w:hanging="360"/>
      </w:pPr>
    </w:lvl>
    <w:lvl w:ilvl="2" w:tplc="380A001B" w:tentative="1">
      <w:start w:val="1"/>
      <w:numFmt w:val="lowerRoman"/>
      <w:lvlText w:val="%3."/>
      <w:lvlJc w:val="right"/>
      <w:pPr>
        <w:ind w:left="2508" w:hanging="180"/>
      </w:pPr>
    </w:lvl>
    <w:lvl w:ilvl="3" w:tplc="380A000F" w:tentative="1">
      <w:start w:val="1"/>
      <w:numFmt w:val="decimal"/>
      <w:lvlText w:val="%4."/>
      <w:lvlJc w:val="left"/>
      <w:pPr>
        <w:ind w:left="3228" w:hanging="360"/>
      </w:pPr>
    </w:lvl>
    <w:lvl w:ilvl="4" w:tplc="380A0019" w:tentative="1">
      <w:start w:val="1"/>
      <w:numFmt w:val="lowerLetter"/>
      <w:lvlText w:val="%5."/>
      <w:lvlJc w:val="left"/>
      <w:pPr>
        <w:ind w:left="3948" w:hanging="360"/>
      </w:pPr>
    </w:lvl>
    <w:lvl w:ilvl="5" w:tplc="380A001B" w:tentative="1">
      <w:start w:val="1"/>
      <w:numFmt w:val="lowerRoman"/>
      <w:lvlText w:val="%6."/>
      <w:lvlJc w:val="right"/>
      <w:pPr>
        <w:ind w:left="4668" w:hanging="180"/>
      </w:pPr>
    </w:lvl>
    <w:lvl w:ilvl="6" w:tplc="380A000F" w:tentative="1">
      <w:start w:val="1"/>
      <w:numFmt w:val="decimal"/>
      <w:lvlText w:val="%7."/>
      <w:lvlJc w:val="left"/>
      <w:pPr>
        <w:ind w:left="5388" w:hanging="360"/>
      </w:pPr>
    </w:lvl>
    <w:lvl w:ilvl="7" w:tplc="380A0019" w:tentative="1">
      <w:start w:val="1"/>
      <w:numFmt w:val="lowerLetter"/>
      <w:lvlText w:val="%8."/>
      <w:lvlJc w:val="left"/>
      <w:pPr>
        <w:ind w:left="6108" w:hanging="360"/>
      </w:pPr>
    </w:lvl>
    <w:lvl w:ilvl="8" w:tplc="380A001B" w:tentative="1">
      <w:start w:val="1"/>
      <w:numFmt w:val="lowerRoman"/>
      <w:lvlText w:val="%9."/>
      <w:lvlJc w:val="right"/>
      <w:pPr>
        <w:ind w:left="682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64"/>
    <w:rsid w:val="000223B5"/>
    <w:rsid w:val="000C3378"/>
    <w:rsid w:val="000E08E5"/>
    <w:rsid w:val="000F7205"/>
    <w:rsid w:val="00166734"/>
    <w:rsid w:val="001C72D5"/>
    <w:rsid w:val="00272F63"/>
    <w:rsid w:val="002816D9"/>
    <w:rsid w:val="00317804"/>
    <w:rsid w:val="003D2C4A"/>
    <w:rsid w:val="00527A88"/>
    <w:rsid w:val="00565361"/>
    <w:rsid w:val="0057791E"/>
    <w:rsid w:val="005B4BE8"/>
    <w:rsid w:val="00706964"/>
    <w:rsid w:val="00721AF3"/>
    <w:rsid w:val="007242F7"/>
    <w:rsid w:val="00770472"/>
    <w:rsid w:val="00900824"/>
    <w:rsid w:val="00915623"/>
    <w:rsid w:val="009210B7"/>
    <w:rsid w:val="00925F47"/>
    <w:rsid w:val="00A2322C"/>
    <w:rsid w:val="00A8244C"/>
    <w:rsid w:val="00B03D77"/>
    <w:rsid w:val="00B20AEF"/>
    <w:rsid w:val="00BE38EA"/>
    <w:rsid w:val="00C9029C"/>
    <w:rsid w:val="00D64977"/>
    <w:rsid w:val="00E43335"/>
    <w:rsid w:val="00E43989"/>
    <w:rsid w:val="00E80975"/>
    <w:rsid w:val="00F00380"/>
    <w:rsid w:val="00F04954"/>
    <w:rsid w:val="00F55B69"/>
    <w:rsid w:val="00F6168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6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6964"/>
    <w:pPr>
      <w:keepNext/>
      <w:spacing w:line="360" w:lineRule="auto"/>
      <w:ind w:firstLine="708"/>
      <w:jc w:val="center"/>
      <w:outlineLvl w:val="0"/>
    </w:pPr>
    <w:rPr>
      <w:rFonts w:ascii="Arial" w:hAnsi="Arial"/>
      <w:b/>
      <w:bCs/>
      <w:u w:val="single"/>
    </w:rPr>
  </w:style>
  <w:style w:type="paragraph" w:styleId="Ttulo2">
    <w:name w:val="heading 2"/>
    <w:basedOn w:val="Normal"/>
    <w:next w:val="Normal"/>
    <w:link w:val="Ttulo2Car"/>
    <w:qFormat/>
    <w:rsid w:val="00706964"/>
    <w:pPr>
      <w:keepNext/>
      <w:spacing w:line="360" w:lineRule="auto"/>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6964"/>
    <w:rPr>
      <w:rFonts w:ascii="Arial" w:eastAsia="Times New Roman" w:hAnsi="Arial" w:cs="Times New Roman"/>
      <w:b/>
      <w:bCs/>
      <w:sz w:val="24"/>
      <w:szCs w:val="24"/>
      <w:u w:val="single"/>
      <w:lang w:val="es-ES" w:eastAsia="es-ES"/>
    </w:rPr>
  </w:style>
  <w:style w:type="character" w:customStyle="1" w:styleId="Ttulo2Car">
    <w:name w:val="Título 2 Car"/>
    <w:basedOn w:val="Fuentedeprrafopredeter"/>
    <w:link w:val="Ttulo2"/>
    <w:rsid w:val="00706964"/>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706964"/>
    <w:pPr>
      <w:spacing w:line="360" w:lineRule="auto"/>
      <w:ind w:firstLine="708"/>
      <w:jc w:val="both"/>
    </w:pPr>
  </w:style>
  <w:style w:type="character" w:customStyle="1" w:styleId="SangradetextonormalCar">
    <w:name w:val="Sangría de texto normal Car"/>
    <w:basedOn w:val="Fuentedeprrafopredeter"/>
    <w:link w:val="Sangradetextonormal"/>
    <w:semiHidden/>
    <w:rsid w:val="0070696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7242F7"/>
    <w:pPr>
      <w:spacing w:after="120" w:line="480" w:lineRule="auto"/>
    </w:pPr>
  </w:style>
  <w:style w:type="character" w:customStyle="1" w:styleId="Textoindependiente2Car">
    <w:name w:val="Texto independiente 2 Car"/>
    <w:basedOn w:val="Fuentedeprrafopredeter"/>
    <w:link w:val="Textoindependiente2"/>
    <w:uiPriority w:val="99"/>
    <w:semiHidden/>
    <w:rsid w:val="007242F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25F47"/>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F47"/>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64"/>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06964"/>
    <w:pPr>
      <w:keepNext/>
      <w:spacing w:line="360" w:lineRule="auto"/>
      <w:ind w:firstLine="708"/>
      <w:jc w:val="center"/>
      <w:outlineLvl w:val="0"/>
    </w:pPr>
    <w:rPr>
      <w:rFonts w:ascii="Arial" w:hAnsi="Arial"/>
      <w:b/>
      <w:bCs/>
      <w:u w:val="single"/>
    </w:rPr>
  </w:style>
  <w:style w:type="paragraph" w:styleId="Ttulo2">
    <w:name w:val="heading 2"/>
    <w:basedOn w:val="Normal"/>
    <w:next w:val="Normal"/>
    <w:link w:val="Ttulo2Car"/>
    <w:qFormat/>
    <w:rsid w:val="00706964"/>
    <w:pPr>
      <w:keepNext/>
      <w:spacing w:line="360" w:lineRule="auto"/>
      <w:outlineLvl w:val="1"/>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06964"/>
    <w:rPr>
      <w:rFonts w:ascii="Arial" w:eastAsia="Times New Roman" w:hAnsi="Arial" w:cs="Times New Roman"/>
      <w:b/>
      <w:bCs/>
      <w:sz w:val="24"/>
      <w:szCs w:val="24"/>
      <w:u w:val="single"/>
      <w:lang w:val="es-ES" w:eastAsia="es-ES"/>
    </w:rPr>
  </w:style>
  <w:style w:type="character" w:customStyle="1" w:styleId="Ttulo2Car">
    <w:name w:val="Título 2 Car"/>
    <w:basedOn w:val="Fuentedeprrafopredeter"/>
    <w:link w:val="Ttulo2"/>
    <w:rsid w:val="00706964"/>
    <w:rPr>
      <w:rFonts w:ascii="Arial" w:eastAsia="Times New Roman" w:hAnsi="Arial" w:cs="Times New Roman"/>
      <w:b/>
      <w:bCs/>
      <w:sz w:val="24"/>
      <w:szCs w:val="24"/>
      <w:lang w:val="es-ES" w:eastAsia="es-ES"/>
    </w:rPr>
  </w:style>
  <w:style w:type="paragraph" w:styleId="Sangradetextonormal">
    <w:name w:val="Body Text Indent"/>
    <w:basedOn w:val="Normal"/>
    <w:link w:val="SangradetextonormalCar"/>
    <w:semiHidden/>
    <w:rsid w:val="00706964"/>
    <w:pPr>
      <w:spacing w:line="360" w:lineRule="auto"/>
      <w:ind w:firstLine="708"/>
      <w:jc w:val="both"/>
    </w:pPr>
  </w:style>
  <w:style w:type="character" w:customStyle="1" w:styleId="SangradetextonormalCar">
    <w:name w:val="Sangría de texto normal Car"/>
    <w:basedOn w:val="Fuentedeprrafopredeter"/>
    <w:link w:val="Sangradetextonormal"/>
    <w:semiHidden/>
    <w:rsid w:val="00706964"/>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semiHidden/>
    <w:unhideWhenUsed/>
    <w:rsid w:val="007242F7"/>
    <w:pPr>
      <w:spacing w:after="120" w:line="480" w:lineRule="auto"/>
    </w:pPr>
  </w:style>
  <w:style w:type="character" w:customStyle="1" w:styleId="Textoindependiente2Car">
    <w:name w:val="Texto independiente 2 Car"/>
    <w:basedOn w:val="Fuentedeprrafopredeter"/>
    <w:link w:val="Textoindependiente2"/>
    <w:uiPriority w:val="99"/>
    <w:semiHidden/>
    <w:rsid w:val="007242F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925F47"/>
    <w:rPr>
      <w:rFonts w:ascii="Tahoma" w:hAnsi="Tahoma" w:cs="Tahoma"/>
      <w:sz w:val="16"/>
      <w:szCs w:val="16"/>
    </w:rPr>
  </w:style>
  <w:style w:type="character" w:customStyle="1" w:styleId="TextodegloboCar">
    <w:name w:val="Texto de globo Car"/>
    <w:basedOn w:val="Fuentedeprrafopredeter"/>
    <w:link w:val="Textodeglobo"/>
    <w:uiPriority w:val="99"/>
    <w:semiHidden/>
    <w:rsid w:val="00925F47"/>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1124</Words>
  <Characters>6182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Lenovo</Company>
  <LinksUpToDate>false</LinksUpToDate>
  <CharactersWithSpaces>7292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Adrian Acosta</cp:lastModifiedBy>
  <cp:revision>2</cp:revision>
  <cp:lastPrinted>2018-06-22T15:43:00Z</cp:lastPrinted>
  <dcterms:created xsi:type="dcterms:W3CDTF">2018-06-22T15:43:00Z</dcterms:created>
  <dcterms:modified xsi:type="dcterms:W3CDTF">2018-06-22T15:43:00Z</dcterms:modified>
</cp:coreProperties>
</file>