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2F6" w:rsidRPr="00786EEB" w:rsidRDefault="00ED12F6" w:rsidP="00786EEB">
      <w:pPr>
        <w:tabs>
          <w:tab w:val="center" w:pos="4253"/>
        </w:tabs>
        <w:suppressAutoHyphens/>
        <w:jc w:val="right"/>
        <w:rPr>
          <w:rFonts w:cs="Arial"/>
          <w:b/>
          <w:sz w:val="28"/>
          <w:szCs w:val="28"/>
          <w:lang w:val="es-ES_tradnl"/>
        </w:rPr>
      </w:pPr>
      <w:r>
        <w:rPr>
          <w:rFonts w:cs="Arial"/>
          <w:b/>
          <w:sz w:val="28"/>
          <w:szCs w:val="28"/>
          <w:lang w:val="es-ES_tradnl"/>
        </w:rPr>
        <w:t>RES. 1966/18</w:t>
      </w:r>
    </w:p>
    <w:p w:rsidR="00ED12F6" w:rsidRDefault="00ED12F6" w:rsidP="00786EEB">
      <w:pPr>
        <w:tabs>
          <w:tab w:val="center" w:pos="4253"/>
        </w:tabs>
        <w:suppressAutoHyphens/>
        <w:jc w:val="right"/>
        <w:rPr>
          <w:rFonts w:cs="Arial"/>
          <w:b/>
          <w:lang w:val="es-ES_tradnl"/>
        </w:rPr>
      </w:pPr>
    </w:p>
    <w:p w:rsidR="00ED12F6" w:rsidRPr="00762B34" w:rsidRDefault="00ED12F6">
      <w:pPr>
        <w:tabs>
          <w:tab w:val="center" w:pos="4253"/>
        </w:tabs>
        <w:suppressAutoHyphens/>
        <w:jc w:val="center"/>
        <w:rPr>
          <w:rFonts w:cs="Arial"/>
          <w:b/>
          <w:lang w:val="es-ES_tradnl"/>
        </w:rPr>
      </w:pPr>
      <w:r w:rsidRPr="00762B34">
        <w:rPr>
          <w:rFonts w:cs="Arial"/>
          <w:b/>
          <w:lang w:val="es-ES_tradnl"/>
        </w:rPr>
        <w:t>RESOLUCION ADOPTADA POR EL</w:t>
      </w:r>
    </w:p>
    <w:p w:rsidR="00ED12F6" w:rsidRPr="00762B34" w:rsidRDefault="00ED12F6">
      <w:pPr>
        <w:tabs>
          <w:tab w:val="left" w:pos="-720"/>
        </w:tabs>
        <w:suppressAutoHyphens/>
        <w:jc w:val="center"/>
        <w:rPr>
          <w:rFonts w:cs="Arial"/>
          <w:b/>
          <w:lang w:val="es-ES_tradnl"/>
        </w:rPr>
      </w:pPr>
    </w:p>
    <w:p w:rsidR="00ED12F6" w:rsidRPr="00762B34" w:rsidRDefault="00ED12F6">
      <w:pPr>
        <w:tabs>
          <w:tab w:val="center" w:pos="4253"/>
        </w:tabs>
        <w:suppressAutoHyphens/>
        <w:jc w:val="center"/>
        <w:rPr>
          <w:rFonts w:cs="Arial"/>
          <w:b/>
          <w:lang w:val="es-ES_tradnl"/>
        </w:rPr>
      </w:pPr>
      <w:r w:rsidRPr="00762B34">
        <w:rPr>
          <w:rFonts w:cs="Arial"/>
          <w:b/>
          <w:lang w:val="es-ES_tradnl"/>
        </w:rPr>
        <w:t>TRIBUNAL DE CUENTAS</w:t>
      </w:r>
    </w:p>
    <w:p w:rsidR="00ED12F6" w:rsidRPr="00762B34" w:rsidRDefault="00ED12F6">
      <w:pPr>
        <w:tabs>
          <w:tab w:val="left" w:pos="-720"/>
        </w:tabs>
        <w:suppressAutoHyphens/>
        <w:jc w:val="center"/>
        <w:rPr>
          <w:rFonts w:cs="Arial"/>
          <w:b/>
          <w:lang w:val="es-ES_tradnl"/>
        </w:rPr>
      </w:pPr>
    </w:p>
    <w:p w:rsidR="00ED12F6" w:rsidRPr="00762B34" w:rsidRDefault="00ED12F6">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13 DE JUNIO </w:t>
      </w:r>
      <w:r>
        <w:rPr>
          <w:rFonts w:ascii="Helvetica" w:hAnsi="Helvetica"/>
          <w:b/>
          <w:lang w:val="es-ES_tradnl"/>
        </w:rPr>
        <w:t>DE 2018</w:t>
      </w:r>
    </w:p>
    <w:p w:rsidR="00ED12F6" w:rsidRPr="00762B34" w:rsidRDefault="00ED12F6">
      <w:pPr>
        <w:tabs>
          <w:tab w:val="center" w:pos="4253"/>
        </w:tabs>
        <w:suppressAutoHyphens/>
        <w:jc w:val="center"/>
        <w:rPr>
          <w:rFonts w:cs="Arial"/>
          <w:b/>
          <w:lang w:val="es-ES_tradnl"/>
        </w:rPr>
      </w:pPr>
    </w:p>
    <w:p w:rsidR="00ED12F6" w:rsidRPr="00762B34" w:rsidRDefault="00ED12F6">
      <w:pPr>
        <w:tabs>
          <w:tab w:val="center" w:pos="4253"/>
        </w:tabs>
        <w:suppressAutoHyphens/>
        <w:jc w:val="center"/>
        <w:rPr>
          <w:rFonts w:cs="Arial"/>
          <w:b/>
          <w:lang w:val="en-US"/>
        </w:rPr>
      </w:pPr>
      <w:r w:rsidRPr="00762B34">
        <w:rPr>
          <w:rFonts w:cs="Arial"/>
          <w:b/>
          <w:lang w:val="en-US"/>
        </w:rPr>
        <w:t xml:space="preserve">(E. E. Nº </w:t>
      </w:r>
      <w:r w:rsidR="00E94F47">
        <w:rPr>
          <w:rFonts w:cs="Arial"/>
          <w:b/>
          <w:lang w:val="en-US"/>
        </w:rPr>
        <w:t>2017-17-1-000</w:t>
      </w:r>
      <w:r>
        <w:rPr>
          <w:rFonts w:cs="Arial"/>
          <w:b/>
          <w:lang w:val="en-US"/>
        </w:rPr>
        <w:t>4048</w:t>
      </w:r>
      <w:r w:rsidRPr="00762B34">
        <w:rPr>
          <w:rFonts w:cs="Arial"/>
          <w:b/>
          <w:lang w:val="en-US"/>
        </w:rPr>
        <w:t xml:space="preserve">, Ent. N° </w:t>
      </w:r>
      <w:r>
        <w:rPr>
          <w:rFonts w:cs="Arial"/>
          <w:b/>
          <w:lang w:val="en-US"/>
        </w:rPr>
        <w:t>2768/18</w:t>
      </w:r>
      <w:r w:rsidRPr="00762B34">
        <w:rPr>
          <w:rFonts w:cs="Arial"/>
          <w:b/>
          <w:lang w:val="en-US"/>
        </w:rPr>
        <w:t>)</w:t>
      </w:r>
    </w:p>
    <w:p w:rsidR="00ED12F6" w:rsidRDefault="00ED12F6" w:rsidP="00A33CE8">
      <w:pPr>
        <w:tabs>
          <w:tab w:val="left" w:pos="-720"/>
        </w:tabs>
        <w:suppressAutoHyphens/>
        <w:spacing w:line="360" w:lineRule="auto"/>
        <w:jc w:val="both"/>
        <w:rPr>
          <w:b/>
          <w:spacing w:val="-3"/>
          <w:lang w:val="es-ES_tradnl"/>
        </w:rPr>
      </w:pPr>
    </w:p>
    <w:p w:rsidR="00ED12F6" w:rsidRDefault="00A33CE8" w:rsidP="00ED12F6">
      <w:pPr>
        <w:tabs>
          <w:tab w:val="left" w:pos="-720"/>
        </w:tabs>
        <w:suppressAutoHyphens/>
        <w:spacing w:line="360" w:lineRule="auto"/>
        <w:ind w:firstLine="851"/>
        <w:jc w:val="both"/>
        <w:rPr>
          <w:spacing w:val="-3"/>
          <w:lang w:val="es-ES_tradnl"/>
        </w:rPr>
      </w:pPr>
      <w:r w:rsidRPr="00ED12F6">
        <w:rPr>
          <w:b/>
          <w:spacing w:val="-3"/>
          <w:lang w:val="es-ES_tradnl"/>
        </w:rPr>
        <w:t>VISTO:</w:t>
      </w:r>
      <w:r w:rsidRPr="00ED12F6">
        <w:rPr>
          <w:spacing w:val="-3"/>
          <w:lang w:val="es-ES_tradnl"/>
        </w:rPr>
        <w:t xml:space="preserve"> estos antecedentes remitidos el Ministerio del Interior (MI), relacionados con el convenio a suscribir con </w:t>
      </w:r>
      <w:r w:rsidR="00ED12F6">
        <w:rPr>
          <w:spacing w:val="-3"/>
          <w:lang w:val="es-ES_tradnl"/>
        </w:rPr>
        <w:t xml:space="preserve">el </w:t>
      </w:r>
      <w:r w:rsidRPr="00ED12F6">
        <w:rPr>
          <w:spacing w:val="-3"/>
          <w:lang w:val="es-ES_tradnl"/>
        </w:rPr>
        <w:t>Sindicato Único Nacio</w:t>
      </w:r>
      <w:r w:rsidR="00ED12F6">
        <w:rPr>
          <w:spacing w:val="-3"/>
          <w:lang w:val="es-ES_tradnl"/>
        </w:rPr>
        <w:t>nal de la Construcción (SUNCA);</w:t>
      </w:r>
    </w:p>
    <w:p w:rsidR="00ED12F6" w:rsidRDefault="00A33CE8" w:rsidP="00ED12F6">
      <w:pPr>
        <w:tabs>
          <w:tab w:val="left" w:pos="-720"/>
        </w:tabs>
        <w:suppressAutoHyphens/>
        <w:spacing w:line="360" w:lineRule="auto"/>
        <w:ind w:firstLine="851"/>
        <w:jc w:val="both"/>
        <w:rPr>
          <w:rFonts w:cs="Arial"/>
        </w:rPr>
      </w:pPr>
      <w:r w:rsidRPr="00ED12F6">
        <w:rPr>
          <w:b/>
        </w:rPr>
        <w:t>RESULTANDO: 1)</w:t>
      </w:r>
      <w:r w:rsidRPr="00ED12F6">
        <w:t xml:space="preserve"> </w:t>
      </w:r>
      <w:r w:rsidRPr="00ED12F6">
        <w:rPr>
          <w:rFonts w:cs="Arial"/>
        </w:rPr>
        <w:t xml:space="preserve">que con fecha 30 de mayo de 2017, se celebró entre el MI y el SUNCA, </w:t>
      </w:r>
      <w:r w:rsidR="00FC5876" w:rsidRPr="00ED12F6">
        <w:rPr>
          <w:rFonts w:cs="Arial"/>
        </w:rPr>
        <w:t xml:space="preserve">un </w:t>
      </w:r>
      <w:r w:rsidRPr="00ED12F6">
        <w:rPr>
          <w:rFonts w:cs="Arial"/>
        </w:rPr>
        <w:t>conveni</w:t>
      </w:r>
      <w:r w:rsidR="00687A44" w:rsidRPr="00ED12F6">
        <w:rPr>
          <w:rFonts w:cs="Arial"/>
        </w:rPr>
        <w:t>o con el objeto de que dicho sindicato</w:t>
      </w:r>
      <w:r w:rsidRPr="00ED12F6">
        <w:rPr>
          <w:rFonts w:cs="Arial"/>
        </w:rPr>
        <w:t xml:space="preserve"> brinde capacitación de </w:t>
      </w:r>
      <w:r w:rsidR="00FC5876" w:rsidRPr="00ED12F6">
        <w:rPr>
          <w:rFonts w:cs="Arial"/>
        </w:rPr>
        <w:t>s</w:t>
      </w:r>
      <w:r w:rsidRPr="00ED12F6">
        <w:rPr>
          <w:rFonts w:cs="Arial"/>
        </w:rPr>
        <w:t>ervicio a personas privadas de libertad, designadas por el Director del Instituto Nacional de Rehabilitación, previéndose un monto</w:t>
      </w:r>
      <w:r w:rsidR="00ED12F6">
        <w:rPr>
          <w:spacing w:val="-3"/>
          <w:lang w:val="es-ES_tradnl"/>
        </w:rPr>
        <w:t xml:space="preserve"> total de $ 30:</w:t>
      </w:r>
      <w:r w:rsidRPr="00ED12F6">
        <w:rPr>
          <w:spacing w:val="-3"/>
          <w:lang w:val="es-ES_tradnl"/>
        </w:rPr>
        <w:t>711.827 a abonar por el MI</w:t>
      </w:r>
      <w:r w:rsidR="00687A44" w:rsidRPr="00ED12F6">
        <w:rPr>
          <w:spacing w:val="-3"/>
          <w:lang w:val="es-ES_tradnl"/>
        </w:rPr>
        <w:t>,</w:t>
      </w:r>
      <w:r w:rsidRPr="00ED12F6">
        <w:rPr>
          <w:spacing w:val="-3"/>
          <w:lang w:val="es-ES_tradnl"/>
        </w:rPr>
        <w:t xml:space="preserve"> en cumplimiento del convenio</w:t>
      </w:r>
      <w:r w:rsidRPr="00ED12F6">
        <w:rPr>
          <w:rFonts w:cs="Arial"/>
        </w:rPr>
        <w:t>;</w:t>
      </w:r>
    </w:p>
    <w:p w:rsidR="00ED12F6" w:rsidRDefault="00A33CE8" w:rsidP="00ED12F6">
      <w:pPr>
        <w:tabs>
          <w:tab w:val="left" w:pos="-720"/>
        </w:tabs>
        <w:suppressAutoHyphens/>
        <w:spacing w:line="360" w:lineRule="auto"/>
        <w:ind w:firstLine="2835"/>
        <w:jc w:val="both"/>
        <w:rPr>
          <w:rFonts w:cs="Arial"/>
        </w:rPr>
      </w:pPr>
      <w:r w:rsidRPr="00ED12F6">
        <w:rPr>
          <w:rFonts w:cs="Arial"/>
          <w:b/>
        </w:rPr>
        <w:t>2)</w:t>
      </w:r>
      <w:r w:rsidRPr="00ED12F6">
        <w:rPr>
          <w:rFonts w:cs="Arial"/>
        </w:rPr>
        <w:t xml:space="preserve"> que remitidas las </w:t>
      </w:r>
      <w:r w:rsidR="00ED12F6">
        <w:rPr>
          <w:rFonts w:cs="Arial"/>
        </w:rPr>
        <w:t>actuaciones, este Tribunal en  S</w:t>
      </w:r>
      <w:r w:rsidRPr="00ED12F6">
        <w:rPr>
          <w:rFonts w:cs="Arial"/>
        </w:rPr>
        <w:t>esión del 12 de julio de 2017</w:t>
      </w:r>
      <w:r w:rsidR="00FC5876" w:rsidRPr="00ED12F6">
        <w:rPr>
          <w:rFonts w:cs="Arial"/>
        </w:rPr>
        <w:t>,</w:t>
      </w:r>
      <w:r w:rsidRPr="00ED12F6">
        <w:rPr>
          <w:rFonts w:cs="Arial"/>
        </w:rPr>
        <w:t xml:space="preserve"> acordó observar el gasto derivado del convenio referido, en virtud que: </w:t>
      </w:r>
      <w:r w:rsidRPr="00ED12F6">
        <w:rPr>
          <w:rFonts w:cs="Arial"/>
          <w:b/>
        </w:rPr>
        <w:t>a)</w:t>
      </w:r>
      <w:r w:rsidRPr="00ED12F6">
        <w:rPr>
          <w:rFonts w:cs="Arial"/>
        </w:rPr>
        <w:t xml:space="preserve"> que no surgía del expediente que el co-contratante tenga la exclusividad en el suministro, necesaria para el amparo de la excepción invocada, por lo que en la especie debió seguirse el procedimiento competitivo previs</w:t>
      </w:r>
      <w:r w:rsidR="00ED12F6">
        <w:rPr>
          <w:rFonts w:cs="Arial"/>
        </w:rPr>
        <w:t>to en el A</w:t>
      </w:r>
      <w:r w:rsidRPr="00ED12F6">
        <w:rPr>
          <w:rFonts w:cs="Arial"/>
        </w:rPr>
        <w:t>rtículo 33 del TOCAF</w:t>
      </w:r>
      <w:r w:rsidR="00687A44" w:rsidRPr="00ED12F6">
        <w:rPr>
          <w:rFonts w:cs="Arial"/>
        </w:rPr>
        <w:t>;</w:t>
      </w:r>
      <w:r w:rsidRPr="00ED12F6">
        <w:rPr>
          <w:rFonts w:cs="Arial"/>
        </w:rPr>
        <w:t xml:space="preserve"> y </w:t>
      </w:r>
      <w:r w:rsidRPr="00ED12F6">
        <w:rPr>
          <w:rFonts w:cs="Arial"/>
          <w:b/>
        </w:rPr>
        <w:t>b)</w:t>
      </w:r>
      <w:r w:rsidRPr="00ED12F6">
        <w:rPr>
          <w:rFonts w:cs="Arial"/>
        </w:rPr>
        <w:t xml:space="preserve"> que la contratación había comenzado a ejecutarse con fecha anterior a la remisión de las actuaciones al Tribunal de Cuentas, en contra</w:t>
      </w:r>
      <w:r w:rsidR="00ED12F6">
        <w:rPr>
          <w:rFonts w:cs="Arial"/>
        </w:rPr>
        <w:t>vención de lo dispuesto por el A</w:t>
      </w:r>
      <w:r w:rsidRPr="00ED12F6">
        <w:rPr>
          <w:rFonts w:cs="Arial"/>
        </w:rPr>
        <w:t xml:space="preserve">rtículo 211 </w:t>
      </w:r>
      <w:r w:rsidR="00ED12F6">
        <w:rPr>
          <w:rFonts w:cs="Arial"/>
        </w:rPr>
        <w:t>L</w:t>
      </w:r>
      <w:r w:rsidRPr="00ED12F6">
        <w:rPr>
          <w:rFonts w:cs="Arial"/>
        </w:rPr>
        <w:t>iteral B) del TOCAF;</w:t>
      </w:r>
    </w:p>
    <w:p w:rsidR="00ED12F6" w:rsidRDefault="00A33CE8" w:rsidP="00ED12F6">
      <w:pPr>
        <w:tabs>
          <w:tab w:val="left" w:pos="-720"/>
        </w:tabs>
        <w:suppressAutoHyphens/>
        <w:spacing w:line="360" w:lineRule="auto"/>
        <w:ind w:firstLine="2835"/>
        <w:jc w:val="both"/>
        <w:rPr>
          <w:rFonts w:cs="Arial"/>
        </w:rPr>
      </w:pPr>
      <w:r w:rsidRPr="00ED12F6">
        <w:rPr>
          <w:rFonts w:cs="Arial"/>
          <w:b/>
        </w:rPr>
        <w:t>3)</w:t>
      </w:r>
      <w:r w:rsidRPr="00ED12F6">
        <w:rPr>
          <w:rFonts w:cs="Arial"/>
        </w:rPr>
        <w:t xml:space="preserve"> que posteriormente, por  Resolución de 27 de julio de 2017</w:t>
      </w:r>
      <w:r w:rsidR="00687A44" w:rsidRPr="00ED12F6">
        <w:rPr>
          <w:rFonts w:cs="Arial"/>
        </w:rPr>
        <w:t>,</w:t>
      </w:r>
      <w:r w:rsidR="00ED12F6">
        <w:rPr>
          <w:rFonts w:cs="Arial"/>
        </w:rPr>
        <w:t xml:space="preserve"> el Ministerio del Interior</w:t>
      </w:r>
      <w:r w:rsidRPr="00ED12F6">
        <w:rPr>
          <w:rFonts w:cs="Arial"/>
        </w:rPr>
        <w:t xml:space="preserve"> </w:t>
      </w:r>
      <w:r w:rsidR="00687A44" w:rsidRPr="00ED12F6">
        <w:rPr>
          <w:rFonts w:cs="Arial"/>
        </w:rPr>
        <w:t>insistió en</w:t>
      </w:r>
      <w:r w:rsidRPr="00ED12F6">
        <w:rPr>
          <w:rFonts w:cs="Arial"/>
        </w:rPr>
        <w:t xml:space="preserve"> el gasto considerando que el mismo resulta absolutamente imprescindible</w:t>
      </w:r>
      <w:r w:rsidR="00687A44" w:rsidRPr="00ED12F6">
        <w:rPr>
          <w:rFonts w:cs="Arial"/>
        </w:rPr>
        <w:t>. E</w:t>
      </w:r>
      <w:r w:rsidRPr="00ED12F6">
        <w:rPr>
          <w:rFonts w:cs="Arial"/>
        </w:rPr>
        <w:t>ste Tr</w:t>
      </w:r>
      <w:r w:rsidR="00ED12F6">
        <w:rPr>
          <w:rFonts w:cs="Arial"/>
        </w:rPr>
        <w:t>ibunal por Resolución del 4 de o</w:t>
      </w:r>
      <w:r w:rsidRPr="00ED12F6">
        <w:rPr>
          <w:rFonts w:cs="Arial"/>
        </w:rPr>
        <w:t xml:space="preserve">ctubre de 2017, señaló que  tal reiteración había sido realizada por un </w:t>
      </w:r>
      <w:r w:rsidR="00687A44" w:rsidRPr="00ED12F6">
        <w:rPr>
          <w:rFonts w:cs="Arial"/>
        </w:rPr>
        <w:t>O</w:t>
      </w:r>
      <w:r w:rsidRPr="00ED12F6">
        <w:rPr>
          <w:rFonts w:cs="Arial"/>
        </w:rPr>
        <w:t>rdenador no competente siendo que la facul</w:t>
      </w:r>
      <w:r w:rsidR="00ED12F6">
        <w:rPr>
          <w:rFonts w:cs="Arial"/>
        </w:rPr>
        <w:t>tad de reiterar g</w:t>
      </w:r>
      <w:r w:rsidRPr="00ED12F6">
        <w:rPr>
          <w:rFonts w:cs="Arial"/>
        </w:rPr>
        <w:t xml:space="preserve">astos y pagos no </w:t>
      </w:r>
      <w:r w:rsidRPr="00ED12F6">
        <w:rPr>
          <w:rFonts w:cs="Arial"/>
        </w:rPr>
        <w:lastRenderedPageBreak/>
        <w:t>constituía una atribución delegada por la Re</w:t>
      </w:r>
      <w:r w:rsidR="00ED12F6">
        <w:rPr>
          <w:rFonts w:cs="Arial"/>
        </w:rPr>
        <w:t>solución del Poder Ejecutivo Nº</w:t>
      </w:r>
      <w:r w:rsidR="00A476B0">
        <w:rPr>
          <w:rFonts w:cs="Arial"/>
        </w:rPr>
        <w:t>457/991 invocada por el Ministerio del Interior</w:t>
      </w:r>
      <w:bookmarkStart w:id="0" w:name="_GoBack"/>
      <w:bookmarkEnd w:id="0"/>
      <w:r w:rsidRPr="00ED12F6">
        <w:rPr>
          <w:rFonts w:cs="Arial"/>
        </w:rPr>
        <w:t>;</w:t>
      </w:r>
    </w:p>
    <w:p w:rsidR="00ED12F6" w:rsidRDefault="00A33CE8" w:rsidP="00ED12F6">
      <w:pPr>
        <w:tabs>
          <w:tab w:val="left" w:pos="-720"/>
        </w:tabs>
        <w:suppressAutoHyphens/>
        <w:spacing w:line="360" w:lineRule="auto"/>
        <w:ind w:firstLine="2835"/>
        <w:jc w:val="both"/>
        <w:rPr>
          <w:rFonts w:cs="Arial"/>
        </w:rPr>
      </w:pPr>
      <w:r w:rsidRPr="00ED12F6">
        <w:rPr>
          <w:rFonts w:cs="Arial"/>
          <w:b/>
        </w:rPr>
        <w:t>4)</w:t>
      </w:r>
      <w:r w:rsidRPr="00ED12F6">
        <w:rPr>
          <w:rFonts w:cs="Arial"/>
        </w:rPr>
        <w:t xml:space="preserve"> que en esta oportunidad, teniendo en cuenta  la necesidad del servicio contratado en su momento, se remite para su intervención</w:t>
      </w:r>
      <w:r w:rsidR="00ED12F6">
        <w:rPr>
          <w:rFonts w:cs="Arial"/>
        </w:rPr>
        <w:t xml:space="preserve"> un nuevo convenio a celebrar con</w:t>
      </w:r>
      <w:r w:rsidRPr="00ED12F6">
        <w:rPr>
          <w:rFonts w:cs="Arial"/>
        </w:rPr>
        <w:t xml:space="preserve"> las mismas partes</w:t>
      </w:r>
      <w:r w:rsidR="00687A44" w:rsidRPr="00ED12F6">
        <w:rPr>
          <w:rFonts w:cs="Arial"/>
        </w:rPr>
        <w:t>,</w:t>
      </w:r>
      <w:r w:rsidRPr="00ED12F6">
        <w:rPr>
          <w:rFonts w:cs="Arial"/>
        </w:rPr>
        <w:t xml:space="preserve"> </w:t>
      </w:r>
      <w:r w:rsidR="00687A44" w:rsidRPr="00ED12F6">
        <w:rPr>
          <w:rFonts w:cs="Arial"/>
        </w:rPr>
        <w:t>por</w:t>
      </w:r>
      <w:r w:rsidRPr="00ED12F6">
        <w:rPr>
          <w:rFonts w:cs="Arial"/>
        </w:rPr>
        <w:t xml:space="preserve"> el mismo gasto y </w:t>
      </w:r>
      <w:r w:rsidR="00687A44" w:rsidRPr="00ED12F6">
        <w:rPr>
          <w:rFonts w:cs="Arial"/>
        </w:rPr>
        <w:t xml:space="preserve">con idéntico </w:t>
      </w:r>
      <w:r w:rsidRPr="00ED12F6">
        <w:rPr>
          <w:rFonts w:cs="Arial"/>
        </w:rPr>
        <w:t>objeto que el celebrado anteriormente, invocándose nuevamen</w:t>
      </w:r>
      <w:r w:rsidR="00ED12F6">
        <w:rPr>
          <w:rFonts w:cs="Arial"/>
        </w:rPr>
        <w:t>te la excepción prevista en el Numeral 3) del Literal C) del A</w:t>
      </w:r>
      <w:r w:rsidRPr="00ED12F6">
        <w:rPr>
          <w:rFonts w:cs="Arial"/>
        </w:rPr>
        <w:t>rtículo 33 del TOCAF;</w:t>
      </w:r>
    </w:p>
    <w:p w:rsidR="00A33CE8" w:rsidRPr="00ED12F6" w:rsidRDefault="00A33CE8" w:rsidP="00ED12F6">
      <w:pPr>
        <w:tabs>
          <w:tab w:val="left" w:pos="-720"/>
        </w:tabs>
        <w:suppressAutoHyphens/>
        <w:spacing w:line="360" w:lineRule="auto"/>
        <w:ind w:firstLine="2835"/>
        <w:jc w:val="both"/>
        <w:rPr>
          <w:rFonts w:cs="Arial"/>
        </w:rPr>
      </w:pPr>
      <w:r w:rsidRPr="00ED12F6">
        <w:rPr>
          <w:rFonts w:cs="Arial"/>
          <w:b/>
        </w:rPr>
        <w:t>5)</w:t>
      </w:r>
      <w:r w:rsidRPr="00ED12F6">
        <w:rPr>
          <w:rFonts w:cs="Arial"/>
        </w:rPr>
        <w:t xml:space="preserve"> que en tal sentido, se  establece que el total del gasto que derivará del</w:t>
      </w:r>
      <w:r w:rsidR="00ED12F6">
        <w:rPr>
          <w:rFonts w:cs="Arial"/>
        </w:rPr>
        <w:t xml:space="preserve"> nuevo convenio asciende a $ 30:</w:t>
      </w:r>
      <w:r w:rsidRPr="00ED12F6">
        <w:rPr>
          <w:rFonts w:cs="Arial"/>
        </w:rPr>
        <w:t>711.827, s</w:t>
      </w:r>
      <w:r w:rsidR="00ED12F6">
        <w:rPr>
          <w:rFonts w:cs="Arial"/>
        </w:rPr>
        <w:t>egún el siguiente detalle: $ 19:</w:t>
      </w:r>
      <w:r w:rsidRPr="00ED12F6">
        <w:rPr>
          <w:rFonts w:cs="Arial"/>
        </w:rPr>
        <w:t>726.027, más el importe de $ 10</w:t>
      </w:r>
      <w:r w:rsidR="00ED12F6">
        <w:rPr>
          <w:rFonts w:cs="Arial"/>
        </w:rPr>
        <w:t>:</w:t>
      </w:r>
      <w:r w:rsidRPr="00ED12F6">
        <w:rPr>
          <w:rFonts w:cs="Arial"/>
        </w:rPr>
        <w:t xml:space="preserve">985.800 por gastos de beneficios y aportes;  </w:t>
      </w:r>
    </w:p>
    <w:p w:rsidR="00ED12F6" w:rsidRDefault="00A33CE8" w:rsidP="00ED12F6">
      <w:pPr>
        <w:pStyle w:val="Textoindependiente"/>
        <w:tabs>
          <w:tab w:val="left" w:pos="1843"/>
        </w:tabs>
        <w:ind w:firstLine="851"/>
        <w:rPr>
          <w:rFonts w:cs="Arial"/>
        </w:rPr>
      </w:pPr>
      <w:r w:rsidRPr="00ED12F6">
        <w:rPr>
          <w:b/>
          <w:spacing w:val="-3"/>
          <w:lang w:val="es-ES_tradnl"/>
        </w:rPr>
        <w:t xml:space="preserve">CONSIDERANDO: 1)  </w:t>
      </w:r>
      <w:r w:rsidRPr="00ED12F6">
        <w:rPr>
          <w:rFonts w:cs="Arial"/>
          <w:lang w:val="es-MX"/>
        </w:rPr>
        <w:t xml:space="preserve">que de conformidad con lo establecido </w:t>
      </w:r>
      <w:r w:rsidR="00ED12F6">
        <w:rPr>
          <w:rFonts w:cs="Arial"/>
        </w:rPr>
        <w:t>en el A</w:t>
      </w:r>
      <w:r w:rsidRPr="00ED12F6">
        <w:rPr>
          <w:rFonts w:cs="Arial"/>
        </w:rPr>
        <w:t xml:space="preserve">rtículo 2 de la Ley 13.963 </w:t>
      </w:r>
      <w:r w:rsidR="00DE07D2" w:rsidRPr="00ED12F6">
        <w:rPr>
          <w:rFonts w:cs="Arial"/>
        </w:rPr>
        <w:t xml:space="preserve"> del 22 de mayo de 1971 </w:t>
      </w:r>
      <w:r w:rsidRPr="00ED12F6">
        <w:rPr>
          <w:rFonts w:cs="Arial"/>
        </w:rPr>
        <w:t>y en el  Decreto 75/972 de 1 de febrero de 1972, al Ministerio del Interior le compete el mantenimiento del orden público, la prevención de los delitos, entendiéndose por orde</w:t>
      </w:r>
      <w:r w:rsidR="00ED12F6">
        <w:rPr>
          <w:rFonts w:cs="Arial"/>
        </w:rPr>
        <w:t>n público, a los efectos de la L</w:t>
      </w:r>
      <w:r w:rsidRPr="00ED12F6">
        <w:rPr>
          <w:rFonts w:cs="Arial"/>
        </w:rPr>
        <w:t>ey, el estado de hecho en el que se realizan los valores de tranquilidad y seguridad públicas y normalidad de la vida corriente en los lugares públicos;</w:t>
      </w:r>
    </w:p>
    <w:p w:rsidR="00ED12F6" w:rsidRDefault="00A33CE8" w:rsidP="00ED12F6">
      <w:pPr>
        <w:pStyle w:val="Textoindependiente"/>
        <w:tabs>
          <w:tab w:val="left" w:pos="1843"/>
        </w:tabs>
        <w:ind w:firstLine="3119"/>
        <w:rPr>
          <w:rFonts w:cs="Arial"/>
        </w:rPr>
      </w:pPr>
      <w:r w:rsidRPr="00ED12F6">
        <w:rPr>
          <w:rFonts w:cs="Arial"/>
          <w:b/>
        </w:rPr>
        <w:t xml:space="preserve">2) </w:t>
      </w:r>
      <w:r w:rsidRPr="00ED12F6">
        <w:rPr>
          <w:rFonts w:cs="Arial"/>
        </w:rPr>
        <w:t>que el SUNCA es una organización gremial de trabajadores creada en el año 1958;</w:t>
      </w:r>
    </w:p>
    <w:p w:rsidR="00ED12F6" w:rsidRDefault="00A33CE8" w:rsidP="00ED12F6">
      <w:pPr>
        <w:pStyle w:val="Textoindependiente"/>
        <w:tabs>
          <w:tab w:val="left" w:pos="1843"/>
        </w:tabs>
        <w:ind w:firstLine="3119"/>
        <w:rPr>
          <w:rFonts w:cs="Arial"/>
        </w:rPr>
      </w:pPr>
      <w:r w:rsidRPr="00ED12F6">
        <w:rPr>
          <w:rFonts w:cs="Arial"/>
          <w:b/>
        </w:rPr>
        <w:t>3)</w:t>
      </w:r>
      <w:r w:rsidR="00ED12F6">
        <w:rPr>
          <w:rFonts w:cs="Arial"/>
        </w:rPr>
        <w:t xml:space="preserve"> que el Artículo 33 Literal C), N</w:t>
      </w:r>
      <w:r w:rsidRPr="00ED12F6">
        <w:rPr>
          <w:rFonts w:cs="Arial"/>
        </w:rPr>
        <w:t>umeral 3 del TOCAF establece que se podrá contratar directamente para adquirir bienes o contratar servicios cuya fabricación o suministro sea exclusiva de quienes tengan privilegio para ello, o que sólo sean poseídos por personas o entidades que tengan exclusividad para su venta, siempre que no puedan ser sustituidos por elementos similares. En cada caso, deberán acreditarse en forma fehaciente los extremos que habilitan la causal, adjuntando el informe técnico respectivo;</w:t>
      </w:r>
    </w:p>
    <w:p w:rsidR="00A33CE8" w:rsidRPr="00ED12F6" w:rsidRDefault="00A33CE8" w:rsidP="00ED12F6">
      <w:pPr>
        <w:pStyle w:val="Textoindependiente"/>
        <w:tabs>
          <w:tab w:val="left" w:pos="1843"/>
        </w:tabs>
        <w:ind w:firstLine="3119"/>
        <w:rPr>
          <w:rFonts w:cs="Arial"/>
        </w:rPr>
      </w:pPr>
      <w:r w:rsidRPr="00ED12F6">
        <w:rPr>
          <w:rFonts w:cs="Arial"/>
          <w:b/>
        </w:rPr>
        <w:lastRenderedPageBreak/>
        <w:t xml:space="preserve">4) </w:t>
      </w:r>
      <w:r w:rsidRPr="00ED12F6">
        <w:rPr>
          <w:rFonts w:cs="Arial"/>
        </w:rPr>
        <w:t>que tal como expresó este Tribunal con fecha 30 de mayo de 2017 en oportunidad de pronunciarse respecto al primer contrato celebrad</w:t>
      </w:r>
      <w:r w:rsidR="00ED12F6">
        <w:rPr>
          <w:rFonts w:cs="Arial"/>
        </w:rPr>
        <w:t>o por</w:t>
      </w:r>
      <w:r w:rsidRPr="00ED12F6">
        <w:rPr>
          <w:rFonts w:cs="Arial"/>
        </w:rPr>
        <w:t xml:space="preserve"> el Ministerio del Interior y el SUNCA, no surge de las actuaciones remitidas que el co-contratante tenga la exclusividad en el suministro, necesaria para el amparo de la excepción in</w:t>
      </w:r>
      <w:r w:rsidR="00DE07D2" w:rsidRPr="00ED12F6">
        <w:rPr>
          <w:rFonts w:cs="Arial"/>
        </w:rPr>
        <w:t>vocada</w:t>
      </w:r>
      <w:r w:rsidRPr="00ED12F6">
        <w:rPr>
          <w:rFonts w:cs="Arial"/>
        </w:rPr>
        <w:t>, por lo que en la especie debió seguirse el procedimiento c</w:t>
      </w:r>
      <w:r w:rsidR="00ED12F6">
        <w:rPr>
          <w:rFonts w:cs="Arial"/>
        </w:rPr>
        <w:t>ompetitivo previsto en el A</w:t>
      </w:r>
      <w:r w:rsidRPr="00ED12F6">
        <w:rPr>
          <w:rFonts w:cs="Arial"/>
        </w:rPr>
        <w:t>rtículo 33 del TOCAF;</w:t>
      </w:r>
    </w:p>
    <w:p w:rsidR="00A33CE8" w:rsidRPr="00ED12F6" w:rsidRDefault="00A33CE8" w:rsidP="00ED12F6">
      <w:pPr>
        <w:autoSpaceDE w:val="0"/>
        <w:autoSpaceDN w:val="0"/>
        <w:adjustRightInd w:val="0"/>
        <w:spacing w:line="360" w:lineRule="auto"/>
        <w:ind w:firstLine="851"/>
        <w:jc w:val="both"/>
        <w:rPr>
          <w:b/>
          <w:spacing w:val="-3"/>
          <w:lang w:val="es-ES_tradnl"/>
        </w:rPr>
      </w:pPr>
      <w:r w:rsidRPr="00ED12F6">
        <w:rPr>
          <w:b/>
          <w:spacing w:val="-3"/>
          <w:lang w:val="es-ES_tradnl"/>
        </w:rPr>
        <w:t xml:space="preserve">ATENTO: </w:t>
      </w:r>
      <w:r w:rsidRPr="00ED12F6">
        <w:rPr>
          <w:spacing w:val="-3"/>
          <w:lang w:val="es-ES_tradnl"/>
        </w:rPr>
        <w:t>a lo precedentemente ex</w:t>
      </w:r>
      <w:r w:rsidR="00ED12F6">
        <w:rPr>
          <w:spacing w:val="-3"/>
          <w:lang w:val="es-ES_tradnl"/>
        </w:rPr>
        <w:t>puesto y a lo dispuesto por el A</w:t>
      </w:r>
      <w:r w:rsidRPr="00ED12F6">
        <w:rPr>
          <w:spacing w:val="-3"/>
          <w:lang w:val="es-ES_tradnl"/>
        </w:rPr>
        <w:t>rt</w:t>
      </w:r>
      <w:r w:rsidR="00ED12F6">
        <w:rPr>
          <w:spacing w:val="-3"/>
          <w:lang w:val="es-ES_tradnl"/>
        </w:rPr>
        <w:t>ículo</w:t>
      </w:r>
      <w:r w:rsidRPr="00ED12F6">
        <w:rPr>
          <w:spacing w:val="-3"/>
          <w:lang w:val="es-ES_tradnl"/>
        </w:rPr>
        <w:t xml:space="preserve"> 211 Lit</w:t>
      </w:r>
      <w:r w:rsidR="00ED12F6">
        <w:rPr>
          <w:spacing w:val="-3"/>
          <w:lang w:val="es-ES_tradnl"/>
        </w:rPr>
        <w:t>eral</w:t>
      </w:r>
      <w:r w:rsidRPr="00ED12F6">
        <w:rPr>
          <w:spacing w:val="-3"/>
          <w:lang w:val="es-ES_tradnl"/>
        </w:rPr>
        <w:t xml:space="preserve"> B) de la Constitución de la República</w:t>
      </w:r>
      <w:r w:rsidRPr="00ED12F6">
        <w:rPr>
          <w:b/>
          <w:spacing w:val="-3"/>
          <w:lang w:val="es-ES_tradnl"/>
        </w:rPr>
        <w:t>;</w:t>
      </w:r>
    </w:p>
    <w:p w:rsidR="00A33CE8" w:rsidRPr="00ED12F6" w:rsidRDefault="00A33CE8" w:rsidP="00A33CE8">
      <w:pPr>
        <w:autoSpaceDE w:val="0"/>
        <w:autoSpaceDN w:val="0"/>
        <w:adjustRightInd w:val="0"/>
        <w:spacing w:line="360" w:lineRule="auto"/>
        <w:jc w:val="center"/>
        <w:rPr>
          <w:b/>
          <w:spacing w:val="-3"/>
          <w:lang w:val="es-ES_tradnl"/>
        </w:rPr>
      </w:pPr>
      <w:r w:rsidRPr="00ED12F6">
        <w:rPr>
          <w:b/>
          <w:spacing w:val="-3"/>
          <w:lang w:val="es-ES_tradnl"/>
        </w:rPr>
        <w:t>EL TRIBUNAL ACUERDA</w:t>
      </w:r>
    </w:p>
    <w:p w:rsidR="00A33CE8" w:rsidRPr="00ED12F6" w:rsidRDefault="00A33CE8" w:rsidP="00ED12F6">
      <w:pPr>
        <w:pStyle w:val="Prrafodelista"/>
        <w:numPr>
          <w:ilvl w:val="0"/>
          <w:numId w:val="1"/>
        </w:numPr>
        <w:tabs>
          <w:tab w:val="clear" w:pos="720"/>
        </w:tabs>
        <w:spacing w:line="360" w:lineRule="auto"/>
        <w:ind w:left="284" w:hanging="284"/>
        <w:jc w:val="both"/>
        <w:rPr>
          <w:rFonts w:cs="Arial"/>
        </w:rPr>
      </w:pPr>
      <w:r w:rsidRPr="00ED12F6">
        <w:rPr>
          <w:rFonts w:cs="Arial"/>
        </w:rPr>
        <w:t>Observar el</w:t>
      </w:r>
      <w:r w:rsidR="00FC5876" w:rsidRPr="00ED12F6">
        <w:rPr>
          <w:rFonts w:cs="Arial"/>
        </w:rPr>
        <w:t xml:space="preserve"> gasto emergente del </w:t>
      </w:r>
      <w:r w:rsidR="00ED12F6">
        <w:rPr>
          <w:rFonts w:cs="Arial"/>
        </w:rPr>
        <w:t xml:space="preserve"> convenio a suscribir por</w:t>
      </w:r>
      <w:r w:rsidRPr="00ED12F6">
        <w:rPr>
          <w:rFonts w:cs="Arial"/>
        </w:rPr>
        <w:t xml:space="preserve"> el Ministerio del Interior y el SUNCA;</w:t>
      </w:r>
    </w:p>
    <w:p w:rsidR="00ED12F6" w:rsidRPr="00ED12F6" w:rsidRDefault="00A33CE8" w:rsidP="00ED12F6">
      <w:pPr>
        <w:numPr>
          <w:ilvl w:val="0"/>
          <w:numId w:val="1"/>
        </w:numPr>
        <w:tabs>
          <w:tab w:val="clear" w:pos="720"/>
        </w:tabs>
        <w:spacing w:line="360" w:lineRule="auto"/>
        <w:ind w:left="284" w:hanging="284"/>
        <w:jc w:val="both"/>
        <w:rPr>
          <w:lang w:val="es-ES_tradnl"/>
        </w:rPr>
      </w:pPr>
      <w:r w:rsidRPr="00ED12F6">
        <w:rPr>
          <w:rFonts w:cs="Arial"/>
          <w:lang w:val="es-UY"/>
        </w:rPr>
        <w:t>Devolver los antecedentes a la Administración actuante.</w:t>
      </w:r>
    </w:p>
    <w:p w:rsidR="00ED12F6" w:rsidRDefault="00ED12F6" w:rsidP="00ED12F6">
      <w:pPr>
        <w:spacing w:line="360" w:lineRule="auto"/>
        <w:jc w:val="both"/>
        <w:rPr>
          <w:rFonts w:cs="Arial"/>
          <w:lang w:val="es-UY"/>
        </w:rPr>
      </w:pPr>
    </w:p>
    <w:p w:rsidR="00ED12F6" w:rsidRDefault="00ED12F6" w:rsidP="00ED12F6">
      <w:pPr>
        <w:spacing w:line="360" w:lineRule="auto"/>
        <w:jc w:val="both"/>
        <w:rPr>
          <w:rFonts w:cs="Arial"/>
          <w:lang w:val="es-UY"/>
        </w:rPr>
      </w:pPr>
    </w:p>
    <w:p w:rsidR="00ED12F6" w:rsidRDefault="00ED12F6" w:rsidP="00ED12F6">
      <w:pPr>
        <w:spacing w:line="360" w:lineRule="auto"/>
        <w:jc w:val="both"/>
        <w:rPr>
          <w:rFonts w:cs="Arial"/>
          <w:lang w:val="es-UY"/>
        </w:rPr>
      </w:pPr>
    </w:p>
    <w:p w:rsidR="008029F9" w:rsidRPr="00ED12F6" w:rsidRDefault="00ED12F6" w:rsidP="00ED12F6">
      <w:pPr>
        <w:spacing w:line="360" w:lineRule="auto"/>
        <w:ind w:hanging="426"/>
        <w:jc w:val="both"/>
        <w:rPr>
          <w:lang w:val="es-ES_tradnl"/>
        </w:rPr>
      </w:pPr>
      <w:r>
        <w:rPr>
          <w:rFonts w:cs="Arial"/>
          <w:lang w:val="es-UY"/>
        </w:rPr>
        <w:t>dc</w:t>
      </w:r>
      <w:r w:rsidRPr="00ED12F6">
        <w:rPr>
          <w:lang w:val="es-ES_tradnl"/>
        </w:rPr>
        <w:t xml:space="preserve"> </w:t>
      </w:r>
    </w:p>
    <w:sectPr w:rsidR="008029F9" w:rsidRPr="00ED12F6" w:rsidSect="00ED12F6">
      <w:headerReference w:type="default" r:id="rId8"/>
      <w:footerReference w:type="even" r:id="rId9"/>
      <w:footerReference w:type="default" r:id="rId10"/>
      <w:pgSz w:w="11907" w:h="16840" w:code="9"/>
      <w:pgMar w:top="3119" w:right="1701" w:bottom="1701" w:left="1701" w:header="0" w:footer="0" w:gutter="0"/>
      <w:paperSrc w:first="4" w:other="4"/>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C8D" w:rsidRDefault="006C0C8D">
      <w:r>
        <w:separator/>
      </w:r>
    </w:p>
  </w:endnote>
  <w:endnote w:type="continuationSeparator" w:id="0">
    <w:p w:rsidR="006C0C8D" w:rsidRDefault="006C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28" w:rsidRDefault="00FC587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90928" w:rsidRDefault="00A476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28" w:rsidRDefault="00FC587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76B0">
      <w:rPr>
        <w:rStyle w:val="Nmerodepgina"/>
        <w:noProof/>
      </w:rPr>
      <w:t>2</w:t>
    </w:r>
    <w:r>
      <w:rPr>
        <w:rStyle w:val="Nmerodepgina"/>
      </w:rPr>
      <w:fldChar w:fldCharType="end"/>
    </w:r>
  </w:p>
  <w:p w:rsidR="00590928" w:rsidRDefault="00A476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C8D" w:rsidRDefault="006C0C8D">
      <w:r>
        <w:separator/>
      </w:r>
    </w:p>
  </w:footnote>
  <w:footnote w:type="continuationSeparator" w:id="0">
    <w:p w:rsidR="006C0C8D" w:rsidRDefault="006C0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28" w:rsidRDefault="00A33CE8">
    <w:pPr>
      <w:suppressAutoHyphens/>
      <w:jc w:val="both"/>
    </w:pPr>
    <w:r>
      <w:rPr>
        <w:noProof/>
        <w:lang w:val="es-UY" w:eastAsia="es-UY"/>
      </w:rPr>
      <mc:AlternateContent>
        <mc:Choice Requires="wps">
          <w:drawing>
            <wp:anchor distT="0" distB="0" distL="114300" distR="114300" simplePos="0" relativeHeight="251659264" behindDoc="0" locked="0" layoutInCell="0" allowOverlap="1" wp14:anchorId="0C8370C0" wp14:editId="29894088">
              <wp:simplePos x="0" y="0"/>
              <wp:positionH relativeFrom="page">
                <wp:posOffset>1079500</wp:posOffset>
              </wp:positionH>
              <wp:positionV relativeFrom="paragraph">
                <wp:posOffset>0</wp:posOffset>
              </wp:positionV>
              <wp:extent cx="5356860" cy="152400"/>
              <wp:effectExtent l="3175" t="0" r="254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686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90928" w:rsidRDefault="00FC5876">
                          <w:pPr>
                            <w:tabs>
                              <w:tab w:val="center" w:pos="4218"/>
                              <w:tab w:val="right" w:pos="8436"/>
                            </w:tabs>
                            <w:rPr>
                              <w:spacing w:val="-3"/>
                              <w:lang w:val="es-ES_tradnl"/>
                            </w:rPr>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85pt;margin-top:0;width:421.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" o:allowincell="f" filled="f" stroked="f" strokeweight="0">
              <v:textbox inset="0,0,0,0">
                <w:txbxContent>
                  <w:p w:rsidR="00590928" w:rsidRDefault="00FC5876">
                    <w:pPr>
                      <w:tabs>
                        <w:tab w:val="center" w:pos="4218"/>
                        <w:tab w:val="right" w:pos="8436"/>
                      </w:tabs>
                      <w:rPr>
                        <w:spacing w:val="-3"/>
                        <w:lang w:val="es-ES_tradnl"/>
                      </w:rPr>
                    </w:pPr>
                    <w:r>
                      <w:tab/>
                    </w:r>
                    <w:r>
                      <w:tab/>
                    </w:r>
                  </w:p>
                </w:txbxContent>
              </v:textbox>
              <w10:wrap anchorx="page"/>
            </v:rect>
          </w:pict>
        </mc:Fallback>
      </mc:AlternateContent>
    </w:r>
  </w:p>
  <w:p w:rsidR="00590928" w:rsidRDefault="00A476B0">
    <w:pPr>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3020E"/>
    <w:multiLevelType w:val="hybridMultilevel"/>
    <w:tmpl w:val="13E20A34"/>
    <w:lvl w:ilvl="0" w:tplc="ED10477A">
      <w:start w:val="1"/>
      <w:numFmt w:val="decimal"/>
      <w:lvlText w:val="%1)"/>
      <w:lvlJc w:val="left"/>
      <w:pPr>
        <w:tabs>
          <w:tab w:val="num" w:pos="720"/>
        </w:tabs>
        <w:ind w:left="720" w:hanging="360"/>
      </w:pPr>
      <w:rPr>
        <w:rFonts w:ascii="Arial" w:eastAsia="Times New Roman" w:hAnsi="Arial" w:cs="Arial"/>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CE8"/>
    <w:rsid w:val="00687A44"/>
    <w:rsid w:val="006C0C8D"/>
    <w:rsid w:val="008029F9"/>
    <w:rsid w:val="00A33CE8"/>
    <w:rsid w:val="00A476B0"/>
    <w:rsid w:val="00DE07D2"/>
    <w:rsid w:val="00E94F47"/>
    <w:rsid w:val="00ED12F6"/>
    <w:rsid w:val="00FC587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E8"/>
    <w:pPr>
      <w:spacing w:after="0" w:line="240" w:lineRule="auto"/>
    </w:pPr>
    <w:rPr>
      <w:rFonts w:ascii="Arial" w:eastAsia="Times New Roman" w:hAnsi="Arial" w:cs="Times New Roman"/>
      <w:sz w:val="24"/>
      <w:szCs w:val="24"/>
      <w:lang w:val="es-ES" w:eastAsia="es-ES"/>
    </w:rPr>
  </w:style>
  <w:style w:type="paragraph" w:styleId="Ttulo2">
    <w:name w:val="heading 2"/>
    <w:basedOn w:val="Normal"/>
    <w:next w:val="Normal"/>
    <w:link w:val="Ttulo2Car"/>
    <w:qFormat/>
    <w:rsid w:val="00A33CE8"/>
    <w:pPr>
      <w:keepNext/>
      <w:suppressAutoHyphens/>
      <w:spacing w:line="360" w:lineRule="auto"/>
      <w:jc w:val="both"/>
      <w:outlineLvl w:val="1"/>
    </w:pPr>
    <w:rPr>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33CE8"/>
    <w:rPr>
      <w:rFonts w:ascii="Arial" w:eastAsia="Times New Roman" w:hAnsi="Arial" w:cs="Times New Roman"/>
      <w:b/>
      <w:spacing w:val="-3"/>
      <w:sz w:val="24"/>
      <w:szCs w:val="24"/>
      <w:lang w:val="es-ES_tradnl" w:eastAsia="es-ES"/>
    </w:rPr>
  </w:style>
  <w:style w:type="paragraph" w:styleId="Piedepgina">
    <w:name w:val="footer"/>
    <w:basedOn w:val="Normal"/>
    <w:link w:val="PiedepginaCar"/>
    <w:semiHidden/>
    <w:rsid w:val="00A33CE8"/>
    <w:pPr>
      <w:widowControl w:val="0"/>
      <w:tabs>
        <w:tab w:val="center" w:pos="4252"/>
        <w:tab w:val="right" w:pos="8504"/>
      </w:tabs>
    </w:pPr>
    <w:rPr>
      <w:rFonts w:ascii="Courier New" w:hAnsi="Courier New"/>
      <w:snapToGrid w:val="0"/>
      <w:szCs w:val="20"/>
    </w:rPr>
  </w:style>
  <w:style w:type="character" w:customStyle="1" w:styleId="PiedepginaCar">
    <w:name w:val="Pie de página Car"/>
    <w:basedOn w:val="Fuentedeprrafopredeter"/>
    <w:link w:val="Piedepgina"/>
    <w:semiHidden/>
    <w:rsid w:val="00A33CE8"/>
    <w:rPr>
      <w:rFonts w:ascii="Courier New" w:eastAsia="Times New Roman" w:hAnsi="Courier New" w:cs="Times New Roman"/>
      <w:snapToGrid w:val="0"/>
      <w:sz w:val="24"/>
      <w:szCs w:val="20"/>
      <w:lang w:val="es-ES" w:eastAsia="es-ES"/>
    </w:rPr>
  </w:style>
  <w:style w:type="character" w:styleId="Nmerodepgina">
    <w:name w:val="page number"/>
    <w:basedOn w:val="Fuentedeprrafopredeter"/>
    <w:semiHidden/>
    <w:rsid w:val="00A33CE8"/>
  </w:style>
  <w:style w:type="paragraph" w:styleId="Textoindependiente">
    <w:name w:val="Body Text"/>
    <w:basedOn w:val="Normal"/>
    <w:link w:val="TextoindependienteCar"/>
    <w:semiHidden/>
    <w:rsid w:val="00A33CE8"/>
    <w:pPr>
      <w:tabs>
        <w:tab w:val="left" w:pos="-720"/>
      </w:tabs>
      <w:suppressAutoHyphens/>
      <w:spacing w:line="360" w:lineRule="auto"/>
      <w:jc w:val="both"/>
    </w:pPr>
  </w:style>
  <w:style w:type="character" w:customStyle="1" w:styleId="TextoindependienteCar">
    <w:name w:val="Texto independiente Car"/>
    <w:basedOn w:val="Fuentedeprrafopredeter"/>
    <w:link w:val="Textoindependiente"/>
    <w:semiHidden/>
    <w:rsid w:val="00A33CE8"/>
    <w:rPr>
      <w:rFonts w:ascii="Arial" w:eastAsia="Times New Roman" w:hAnsi="Arial" w:cs="Times New Roman"/>
      <w:sz w:val="24"/>
      <w:szCs w:val="24"/>
      <w:lang w:val="es-ES" w:eastAsia="es-ES"/>
    </w:rPr>
  </w:style>
  <w:style w:type="character" w:styleId="Hipervnculo">
    <w:name w:val="Hyperlink"/>
    <w:uiPriority w:val="99"/>
    <w:unhideWhenUsed/>
    <w:rsid w:val="00A33CE8"/>
    <w:rPr>
      <w:color w:val="0000FF"/>
      <w:u w:val="single"/>
    </w:rPr>
  </w:style>
  <w:style w:type="paragraph" w:styleId="Prrafodelista">
    <w:name w:val="List Paragraph"/>
    <w:basedOn w:val="Normal"/>
    <w:uiPriority w:val="34"/>
    <w:qFormat/>
    <w:rsid w:val="00ED12F6"/>
    <w:pPr>
      <w:ind w:left="720"/>
      <w:contextualSpacing/>
    </w:pPr>
  </w:style>
  <w:style w:type="paragraph" w:styleId="Textodeglobo">
    <w:name w:val="Balloon Text"/>
    <w:basedOn w:val="Normal"/>
    <w:link w:val="TextodegloboCar"/>
    <w:uiPriority w:val="99"/>
    <w:semiHidden/>
    <w:unhideWhenUsed/>
    <w:rsid w:val="00E94F47"/>
    <w:rPr>
      <w:rFonts w:ascii="Tahoma" w:hAnsi="Tahoma" w:cs="Tahoma"/>
      <w:sz w:val="16"/>
      <w:szCs w:val="16"/>
    </w:rPr>
  </w:style>
  <w:style w:type="character" w:customStyle="1" w:styleId="TextodegloboCar">
    <w:name w:val="Texto de globo Car"/>
    <w:basedOn w:val="Fuentedeprrafopredeter"/>
    <w:link w:val="Textodeglobo"/>
    <w:uiPriority w:val="99"/>
    <w:semiHidden/>
    <w:rsid w:val="00E94F47"/>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E8"/>
    <w:pPr>
      <w:spacing w:after="0" w:line="240" w:lineRule="auto"/>
    </w:pPr>
    <w:rPr>
      <w:rFonts w:ascii="Arial" w:eastAsia="Times New Roman" w:hAnsi="Arial" w:cs="Times New Roman"/>
      <w:sz w:val="24"/>
      <w:szCs w:val="24"/>
      <w:lang w:val="es-ES" w:eastAsia="es-ES"/>
    </w:rPr>
  </w:style>
  <w:style w:type="paragraph" w:styleId="Ttulo2">
    <w:name w:val="heading 2"/>
    <w:basedOn w:val="Normal"/>
    <w:next w:val="Normal"/>
    <w:link w:val="Ttulo2Car"/>
    <w:qFormat/>
    <w:rsid w:val="00A33CE8"/>
    <w:pPr>
      <w:keepNext/>
      <w:suppressAutoHyphens/>
      <w:spacing w:line="360" w:lineRule="auto"/>
      <w:jc w:val="both"/>
      <w:outlineLvl w:val="1"/>
    </w:pPr>
    <w:rPr>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33CE8"/>
    <w:rPr>
      <w:rFonts w:ascii="Arial" w:eastAsia="Times New Roman" w:hAnsi="Arial" w:cs="Times New Roman"/>
      <w:b/>
      <w:spacing w:val="-3"/>
      <w:sz w:val="24"/>
      <w:szCs w:val="24"/>
      <w:lang w:val="es-ES_tradnl" w:eastAsia="es-ES"/>
    </w:rPr>
  </w:style>
  <w:style w:type="paragraph" w:styleId="Piedepgina">
    <w:name w:val="footer"/>
    <w:basedOn w:val="Normal"/>
    <w:link w:val="PiedepginaCar"/>
    <w:semiHidden/>
    <w:rsid w:val="00A33CE8"/>
    <w:pPr>
      <w:widowControl w:val="0"/>
      <w:tabs>
        <w:tab w:val="center" w:pos="4252"/>
        <w:tab w:val="right" w:pos="8504"/>
      </w:tabs>
    </w:pPr>
    <w:rPr>
      <w:rFonts w:ascii="Courier New" w:hAnsi="Courier New"/>
      <w:snapToGrid w:val="0"/>
      <w:szCs w:val="20"/>
    </w:rPr>
  </w:style>
  <w:style w:type="character" w:customStyle="1" w:styleId="PiedepginaCar">
    <w:name w:val="Pie de página Car"/>
    <w:basedOn w:val="Fuentedeprrafopredeter"/>
    <w:link w:val="Piedepgina"/>
    <w:semiHidden/>
    <w:rsid w:val="00A33CE8"/>
    <w:rPr>
      <w:rFonts w:ascii="Courier New" w:eastAsia="Times New Roman" w:hAnsi="Courier New" w:cs="Times New Roman"/>
      <w:snapToGrid w:val="0"/>
      <w:sz w:val="24"/>
      <w:szCs w:val="20"/>
      <w:lang w:val="es-ES" w:eastAsia="es-ES"/>
    </w:rPr>
  </w:style>
  <w:style w:type="character" w:styleId="Nmerodepgina">
    <w:name w:val="page number"/>
    <w:basedOn w:val="Fuentedeprrafopredeter"/>
    <w:semiHidden/>
    <w:rsid w:val="00A33CE8"/>
  </w:style>
  <w:style w:type="paragraph" w:styleId="Textoindependiente">
    <w:name w:val="Body Text"/>
    <w:basedOn w:val="Normal"/>
    <w:link w:val="TextoindependienteCar"/>
    <w:semiHidden/>
    <w:rsid w:val="00A33CE8"/>
    <w:pPr>
      <w:tabs>
        <w:tab w:val="left" w:pos="-720"/>
      </w:tabs>
      <w:suppressAutoHyphens/>
      <w:spacing w:line="360" w:lineRule="auto"/>
      <w:jc w:val="both"/>
    </w:pPr>
  </w:style>
  <w:style w:type="character" w:customStyle="1" w:styleId="TextoindependienteCar">
    <w:name w:val="Texto independiente Car"/>
    <w:basedOn w:val="Fuentedeprrafopredeter"/>
    <w:link w:val="Textoindependiente"/>
    <w:semiHidden/>
    <w:rsid w:val="00A33CE8"/>
    <w:rPr>
      <w:rFonts w:ascii="Arial" w:eastAsia="Times New Roman" w:hAnsi="Arial" w:cs="Times New Roman"/>
      <w:sz w:val="24"/>
      <w:szCs w:val="24"/>
      <w:lang w:val="es-ES" w:eastAsia="es-ES"/>
    </w:rPr>
  </w:style>
  <w:style w:type="character" w:styleId="Hipervnculo">
    <w:name w:val="Hyperlink"/>
    <w:uiPriority w:val="99"/>
    <w:unhideWhenUsed/>
    <w:rsid w:val="00A33CE8"/>
    <w:rPr>
      <w:color w:val="0000FF"/>
      <w:u w:val="single"/>
    </w:rPr>
  </w:style>
  <w:style w:type="paragraph" w:styleId="Prrafodelista">
    <w:name w:val="List Paragraph"/>
    <w:basedOn w:val="Normal"/>
    <w:uiPriority w:val="34"/>
    <w:qFormat/>
    <w:rsid w:val="00ED12F6"/>
    <w:pPr>
      <w:ind w:left="720"/>
      <w:contextualSpacing/>
    </w:pPr>
  </w:style>
  <w:style w:type="paragraph" w:styleId="Textodeglobo">
    <w:name w:val="Balloon Text"/>
    <w:basedOn w:val="Normal"/>
    <w:link w:val="TextodegloboCar"/>
    <w:uiPriority w:val="99"/>
    <w:semiHidden/>
    <w:unhideWhenUsed/>
    <w:rsid w:val="00E94F47"/>
    <w:rPr>
      <w:rFonts w:ascii="Tahoma" w:hAnsi="Tahoma" w:cs="Tahoma"/>
      <w:sz w:val="16"/>
      <w:szCs w:val="16"/>
    </w:rPr>
  </w:style>
  <w:style w:type="character" w:customStyle="1" w:styleId="TextodegloboCar">
    <w:name w:val="Texto de globo Car"/>
    <w:basedOn w:val="Fuentedeprrafopredeter"/>
    <w:link w:val="Textodeglobo"/>
    <w:uiPriority w:val="99"/>
    <w:semiHidden/>
    <w:rsid w:val="00E94F47"/>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642</Words>
  <Characters>3535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4</cp:revision>
  <cp:lastPrinted>2018-06-20T13:36:00Z</cp:lastPrinted>
  <dcterms:created xsi:type="dcterms:W3CDTF">2018-06-18T19:24:00Z</dcterms:created>
  <dcterms:modified xsi:type="dcterms:W3CDTF">2018-06-20T13:36:00Z</dcterms:modified>
</cp:coreProperties>
</file>