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EC6" w:rsidRPr="00786EEB" w:rsidRDefault="00513EC6"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1400/18</w:t>
      </w:r>
    </w:p>
    <w:p w:rsidR="00513EC6" w:rsidRDefault="00513EC6" w:rsidP="00786EEB">
      <w:pPr>
        <w:tabs>
          <w:tab w:val="center" w:pos="4253"/>
        </w:tabs>
        <w:suppressAutoHyphens/>
        <w:jc w:val="right"/>
        <w:rPr>
          <w:rFonts w:ascii="Arial" w:hAnsi="Arial" w:cs="Arial"/>
          <w:b/>
          <w:lang w:val="es-ES_tradnl"/>
        </w:rPr>
      </w:pPr>
    </w:p>
    <w:p w:rsidR="00513EC6" w:rsidRPr="00762B34" w:rsidRDefault="00513EC6" w:rsidP="00513EC6">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513EC6" w:rsidRPr="00762B34" w:rsidRDefault="00513EC6" w:rsidP="00513EC6">
      <w:pPr>
        <w:tabs>
          <w:tab w:val="left" w:pos="-720"/>
        </w:tabs>
        <w:suppressAutoHyphens/>
        <w:spacing w:after="0" w:line="240" w:lineRule="auto"/>
        <w:jc w:val="center"/>
        <w:rPr>
          <w:rFonts w:ascii="Arial" w:hAnsi="Arial" w:cs="Arial"/>
          <w:b/>
          <w:lang w:val="es-ES_tradnl"/>
        </w:rPr>
      </w:pPr>
    </w:p>
    <w:p w:rsidR="00513EC6" w:rsidRPr="00762B34" w:rsidRDefault="00513EC6" w:rsidP="00513EC6">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513EC6" w:rsidRPr="00762B34" w:rsidRDefault="00513EC6" w:rsidP="00513EC6">
      <w:pPr>
        <w:tabs>
          <w:tab w:val="left" w:pos="-720"/>
        </w:tabs>
        <w:suppressAutoHyphens/>
        <w:spacing w:after="0" w:line="240" w:lineRule="auto"/>
        <w:jc w:val="center"/>
        <w:rPr>
          <w:rFonts w:ascii="Arial" w:hAnsi="Arial" w:cs="Arial"/>
          <w:b/>
          <w:lang w:val="es-ES_tradnl"/>
        </w:rPr>
      </w:pPr>
    </w:p>
    <w:p w:rsidR="00513EC6" w:rsidRPr="00762B34" w:rsidRDefault="00513EC6" w:rsidP="00513EC6">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26 DE ABRIL </w:t>
      </w:r>
      <w:r>
        <w:rPr>
          <w:rFonts w:ascii="Helvetica" w:hAnsi="Helvetica"/>
          <w:b/>
          <w:lang w:val="es-ES_tradnl"/>
        </w:rPr>
        <w:t>DE 2018</w:t>
      </w:r>
    </w:p>
    <w:p w:rsidR="00513EC6" w:rsidRPr="00762B34" w:rsidRDefault="00513EC6" w:rsidP="00513EC6">
      <w:pPr>
        <w:tabs>
          <w:tab w:val="center" w:pos="4253"/>
        </w:tabs>
        <w:suppressAutoHyphens/>
        <w:spacing w:after="0" w:line="240" w:lineRule="auto"/>
        <w:jc w:val="center"/>
        <w:rPr>
          <w:rFonts w:ascii="Arial" w:hAnsi="Arial" w:cs="Arial"/>
          <w:b/>
          <w:lang w:val="es-ES_tradnl"/>
        </w:rPr>
      </w:pPr>
    </w:p>
    <w:p w:rsidR="00513EC6" w:rsidRPr="000B5E76" w:rsidRDefault="00513EC6" w:rsidP="00513EC6">
      <w:pPr>
        <w:tabs>
          <w:tab w:val="center" w:pos="4253"/>
        </w:tabs>
        <w:suppressAutoHyphens/>
        <w:spacing w:after="0" w:line="240" w:lineRule="auto"/>
        <w:jc w:val="center"/>
        <w:rPr>
          <w:rFonts w:ascii="Arial" w:hAnsi="Arial" w:cs="Arial"/>
          <w:b/>
        </w:rPr>
      </w:pPr>
      <w:r w:rsidRPr="000B5E76">
        <w:rPr>
          <w:rFonts w:ascii="Arial" w:hAnsi="Arial" w:cs="Arial"/>
          <w:b/>
        </w:rPr>
        <w:t xml:space="preserve">(E. E. Nº 2017-17-1-0004791, </w:t>
      </w:r>
      <w:proofErr w:type="spellStart"/>
      <w:r w:rsidRPr="000B5E76">
        <w:rPr>
          <w:rFonts w:ascii="Arial" w:hAnsi="Arial" w:cs="Arial"/>
          <w:b/>
        </w:rPr>
        <w:t>Ent</w:t>
      </w:r>
      <w:proofErr w:type="spellEnd"/>
      <w:r w:rsidRPr="000B5E76">
        <w:rPr>
          <w:rFonts w:ascii="Arial" w:hAnsi="Arial" w:cs="Arial"/>
          <w:b/>
        </w:rPr>
        <w:t>. N° 3847/17)</w:t>
      </w:r>
    </w:p>
    <w:p w:rsidR="00513EC6" w:rsidRDefault="00513EC6" w:rsidP="007C0E7D">
      <w:pPr>
        <w:spacing w:line="360" w:lineRule="auto"/>
        <w:jc w:val="both"/>
        <w:rPr>
          <w:rFonts w:ascii="Arial" w:hAnsi="Arial" w:cs="Arial"/>
          <w:b/>
        </w:rPr>
      </w:pPr>
    </w:p>
    <w:p w:rsidR="00513EC6" w:rsidRDefault="00E13EA2" w:rsidP="00513EC6">
      <w:pPr>
        <w:spacing w:after="0" w:line="360" w:lineRule="auto"/>
        <w:ind w:firstLine="851"/>
        <w:jc w:val="both"/>
        <w:rPr>
          <w:rFonts w:ascii="Arial" w:hAnsi="Arial" w:cs="Arial"/>
        </w:rPr>
      </w:pPr>
      <w:r w:rsidRPr="007C0E7D">
        <w:rPr>
          <w:rFonts w:ascii="Arial" w:hAnsi="Arial" w:cs="Arial"/>
          <w:b/>
        </w:rPr>
        <w:t>VISTO:</w:t>
      </w:r>
      <w:r w:rsidRPr="00E13EA2">
        <w:rPr>
          <w:rFonts w:ascii="Arial" w:hAnsi="Arial" w:cs="Arial"/>
        </w:rPr>
        <w:t xml:space="preserve"> que este Tribunal ha examinado la Rendición de Cuentas correspondiente al Ejercicio finalizado el 31 de diciembre 2016 formulado por la Comisión Administrativa del Poder Legislativo;</w:t>
      </w:r>
    </w:p>
    <w:p w:rsidR="00513EC6" w:rsidRDefault="00E13EA2" w:rsidP="00513EC6">
      <w:pPr>
        <w:spacing w:after="0" w:line="360" w:lineRule="auto"/>
        <w:ind w:firstLine="851"/>
        <w:jc w:val="both"/>
        <w:rPr>
          <w:rFonts w:ascii="Arial" w:hAnsi="Arial" w:cs="Arial"/>
        </w:rPr>
      </w:pPr>
      <w:r w:rsidRPr="007C0E7D">
        <w:rPr>
          <w:rFonts w:ascii="Arial" w:hAnsi="Arial" w:cs="Arial"/>
          <w:b/>
        </w:rPr>
        <w:t>RESULTANDO:</w:t>
      </w:r>
      <w:r w:rsidRPr="00E13EA2">
        <w:rPr>
          <w:rFonts w:ascii="Arial" w:hAnsi="Arial" w:cs="Arial"/>
        </w:rPr>
        <w:t xml:space="preserve"> que la auditoría fue practicada de acuerdo con los Principios Fundamentales de Auditoría (ISSAI 100 y 200) de la Organización Internacional de Entidades Fiscalizadoras Superiores (INTOSAI);</w:t>
      </w:r>
    </w:p>
    <w:p w:rsidR="00513EC6" w:rsidRDefault="00E13EA2" w:rsidP="00513EC6">
      <w:pPr>
        <w:spacing w:after="0" w:line="360" w:lineRule="auto"/>
        <w:ind w:firstLine="851"/>
        <w:jc w:val="both"/>
        <w:rPr>
          <w:rFonts w:ascii="Arial" w:hAnsi="Arial" w:cs="Arial"/>
        </w:rPr>
      </w:pPr>
      <w:r w:rsidRPr="007C0E7D">
        <w:rPr>
          <w:rFonts w:ascii="Arial" w:hAnsi="Arial" w:cs="Arial"/>
          <w:b/>
        </w:rPr>
        <w:t>CONSIDERANDO:</w:t>
      </w:r>
      <w:r w:rsidRPr="00E13EA2">
        <w:rPr>
          <w:rFonts w:ascii="Arial" w:hAnsi="Arial" w:cs="Arial"/>
        </w:rPr>
        <w:t xml:space="preserve"> que las conclusiones y evidencias obtenidas son las que se expresan en el informe de Auditoría que incluye Dictamen e Informe a la Administración;</w:t>
      </w:r>
    </w:p>
    <w:p w:rsidR="00E13EA2" w:rsidRPr="00E13EA2" w:rsidRDefault="00E13EA2" w:rsidP="00513EC6">
      <w:pPr>
        <w:spacing w:after="0" w:line="360" w:lineRule="auto"/>
        <w:ind w:firstLine="851"/>
        <w:jc w:val="both"/>
        <w:rPr>
          <w:rFonts w:ascii="Arial" w:hAnsi="Arial" w:cs="Arial"/>
        </w:rPr>
      </w:pPr>
      <w:r w:rsidRPr="007C0E7D">
        <w:rPr>
          <w:rFonts w:ascii="Arial" w:hAnsi="Arial" w:cs="Arial"/>
          <w:b/>
        </w:rPr>
        <w:t>ATENTO:</w:t>
      </w:r>
      <w:r w:rsidRPr="00E13EA2">
        <w:rPr>
          <w:rFonts w:ascii="Arial" w:hAnsi="Arial" w:cs="Arial"/>
        </w:rPr>
        <w:t xml:space="preserve"> a lo dispuesto en el Artículo 211 Literal C) de la Constitución de la República;</w:t>
      </w:r>
    </w:p>
    <w:p w:rsidR="00E13EA2" w:rsidRPr="007C0E7D" w:rsidRDefault="00E13EA2" w:rsidP="00513EC6">
      <w:pPr>
        <w:spacing w:after="0" w:line="360" w:lineRule="auto"/>
        <w:jc w:val="center"/>
        <w:rPr>
          <w:rFonts w:ascii="Arial" w:hAnsi="Arial" w:cs="Arial"/>
          <w:b/>
        </w:rPr>
      </w:pPr>
      <w:r w:rsidRPr="007C0E7D">
        <w:rPr>
          <w:rFonts w:ascii="Arial" w:hAnsi="Arial" w:cs="Arial"/>
          <w:b/>
        </w:rPr>
        <w:t>EL TRIBUNAL ACUERDA</w:t>
      </w:r>
    </w:p>
    <w:p w:rsidR="00E13EA2" w:rsidRPr="00E13EA2" w:rsidRDefault="00355811" w:rsidP="00355811">
      <w:pPr>
        <w:spacing w:after="0" w:line="360" w:lineRule="auto"/>
        <w:ind w:left="284" w:hanging="284"/>
        <w:jc w:val="both"/>
        <w:rPr>
          <w:rFonts w:ascii="Arial" w:hAnsi="Arial" w:cs="Arial"/>
        </w:rPr>
      </w:pPr>
      <w:r>
        <w:rPr>
          <w:rFonts w:ascii="Arial" w:hAnsi="Arial" w:cs="Arial"/>
          <w:b/>
        </w:rPr>
        <w:t xml:space="preserve">1) </w:t>
      </w:r>
      <w:r w:rsidR="00E13EA2" w:rsidRPr="00E13EA2">
        <w:rPr>
          <w:rFonts w:ascii="Arial" w:hAnsi="Arial" w:cs="Arial"/>
        </w:rPr>
        <w:t xml:space="preserve">Aprobar el Informe de Auditoría correspondiente a la Rendición de Cuentas de la </w:t>
      </w:r>
      <w:r>
        <w:rPr>
          <w:rFonts w:ascii="Arial" w:hAnsi="Arial" w:cs="Arial"/>
        </w:rPr>
        <w:t>Comisión Administrativa por el E</w:t>
      </w:r>
      <w:r w:rsidR="00E13EA2" w:rsidRPr="00E13EA2">
        <w:rPr>
          <w:rFonts w:ascii="Arial" w:hAnsi="Arial" w:cs="Arial"/>
        </w:rPr>
        <w:t>jercicio 2016;</w:t>
      </w:r>
    </w:p>
    <w:p w:rsidR="00E13EA2" w:rsidRPr="00E13EA2" w:rsidRDefault="00355811" w:rsidP="00513EC6">
      <w:pPr>
        <w:spacing w:after="0" w:line="360" w:lineRule="auto"/>
        <w:jc w:val="both"/>
        <w:rPr>
          <w:rFonts w:ascii="Arial" w:hAnsi="Arial" w:cs="Arial"/>
        </w:rPr>
      </w:pPr>
      <w:r>
        <w:rPr>
          <w:rFonts w:ascii="Arial" w:hAnsi="Arial" w:cs="Arial"/>
          <w:b/>
        </w:rPr>
        <w:t xml:space="preserve">2) </w:t>
      </w:r>
      <w:r w:rsidR="00E13EA2" w:rsidRPr="00E13EA2">
        <w:rPr>
          <w:rFonts w:ascii="Arial" w:hAnsi="Arial" w:cs="Arial"/>
        </w:rPr>
        <w:t>Comunicar la presente Resoluc</w:t>
      </w:r>
      <w:r w:rsidR="002332E2">
        <w:rPr>
          <w:rFonts w:ascii="Arial" w:hAnsi="Arial" w:cs="Arial"/>
        </w:rPr>
        <w:t>ión a la Cámara de Senadores; y</w:t>
      </w:r>
    </w:p>
    <w:p w:rsidR="00E13EA2" w:rsidRDefault="00355811" w:rsidP="00513EC6">
      <w:pPr>
        <w:spacing w:after="0" w:line="360" w:lineRule="auto"/>
        <w:jc w:val="both"/>
        <w:rPr>
          <w:rFonts w:ascii="Arial" w:hAnsi="Arial" w:cs="Arial"/>
        </w:rPr>
      </w:pPr>
      <w:r>
        <w:rPr>
          <w:rFonts w:ascii="Arial" w:hAnsi="Arial" w:cs="Arial"/>
          <w:b/>
        </w:rPr>
        <w:t xml:space="preserve">3) </w:t>
      </w:r>
      <w:r w:rsidR="00E13EA2" w:rsidRPr="00E13EA2">
        <w:rPr>
          <w:rFonts w:ascii="Arial" w:hAnsi="Arial" w:cs="Arial"/>
        </w:rPr>
        <w:t>Dar</w:t>
      </w:r>
      <w:r w:rsidR="002332E2">
        <w:rPr>
          <w:rFonts w:ascii="Arial" w:hAnsi="Arial" w:cs="Arial"/>
        </w:rPr>
        <w:t xml:space="preserve"> cuenta a la Asamblea General.</w:t>
      </w:r>
    </w:p>
    <w:p w:rsidR="00355811" w:rsidRDefault="00355811" w:rsidP="00513EC6">
      <w:pPr>
        <w:spacing w:after="0" w:line="360" w:lineRule="auto"/>
        <w:jc w:val="both"/>
        <w:rPr>
          <w:rFonts w:ascii="Arial" w:hAnsi="Arial" w:cs="Arial"/>
        </w:rPr>
      </w:pPr>
    </w:p>
    <w:p w:rsidR="00355811" w:rsidRDefault="00355811" w:rsidP="00513EC6">
      <w:pPr>
        <w:spacing w:after="0" w:line="360" w:lineRule="auto"/>
        <w:jc w:val="both"/>
        <w:rPr>
          <w:rFonts w:ascii="Arial" w:hAnsi="Arial" w:cs="Arial"/>
        </w:rPr>
      </w:pPr>
    </w:p>
    <w:p w:rsidR="00355811" w:rsidRDefault="00355811" w:rsidP="00513EC6">
      <w:pPr>
        <w:spacing w:after="0" w:line="360" w:lineRule="auto"/>
        <w:jc w:val="both"/>
        <w:rPr>
          <w:rFonts w:ascii="Arial" w:hAnsi="Arial" w:cs="Arial"/>
        </w:rPr>
      </w:pPr>
    </w:p>
    <w:p w:rsidR="00355811" w:rsidRDefault="00355811" w:rsidP="00355811">
      <w:pPr>
        <w:spacing w:after="0" w:line="360" w:lineRule="auto"/>
        <w:ind w:hanging="284"/>
        <w:jc w:val="both"/>
        <w:rPr>
          <w:rFonts w:ascii="Arial" w:hAnsi="Arial" w:cs="Arial"/>
        </w:rPr>
      </w:pPr>
      <w:proofErr w:type="gramStart"/>
      <w:r>
        <w:rPr>
          <w:rFonts w:ascii="Arial" w:hAnsi="Arial" w:cs="Arial"/>
        </w:rPr>
        <w:t>dc</w:t>
      </w:r>
      <w:proofErr w:type="gramEnd"/>
    </w:p>
    <w:p w:rsidR="000B5E76" w:rsidRPr="00E13EA2" w:rsidRDefault="000B5E76" w:rsidP="00960FDE">
      <w:pPr>
        <w:spacing w:line="360" w:lineRule="auto"/>
        <w:jc w:val="center"/>
        <w:rPr>
          <w:rFonts w:ascii="Arial" w:hAnsi="Arial" w:cs="Arial"/>
          <w:b/>
        </w:rPr>
      </w:pPr>
      <w:r>
        <w:rPr>
          <w:rFonts w:ascii="Arial" w:hAnsi="Arial" w:cs="Arial"/>
          <w:b/>
        </w:rPr>
        <w:lastRenderedPageBreak/>
        <w:t>DICTAMEN</w:t>
      </w:r>
    </w:p>
    <w:p w:rsidR="000B5E76" w:rsidRPr="00E13EA2" w:rsidRDefault="000B5E76" w:rsidP="00960FDE">
      <w:pPr>
        <w:spacing w:after="0" w:line="360" w:lineRule="auto"/>
        <w:jc w:val="both"/>
        <w:rPr>
          <w:rFonts w:ascii="Arial" w:hAnsi="Arial" w:cs="Arial"/>
          <w:szCs w:val="24"/>
        </w:rPr>
      </w:pPr>
      <w:r w:rsidRPr="00E13EA2">
        <w:rPr>
          <w:rFonts w:ascii="Arial" w:hAnsi="Arial" w:cs="Arial"/>
          <w:szCs w:val="24"/>
        </w:rPr>
        <w:t>El Tribunal de Cuentas ha examinado la Rendición de Cuentas de la Comisión Administrativa que se adjun</w:t>
      </w:r>
      <w:r w:rsidR="002332E2">
        <w:rPr>
          <w:rFonts w:ascii="Arial" w:hAnsi="Arial" w:cs="Arial"/>
          <w:szCs w:val="24"/>
        </w:rPr>
        <w:t>ta, al 31 de diciembre de 2016.</w:t>
      </w:r>
    </w:p>
    <w:p w:rsidR="000B5E76" w:rsidRDefault="000B5E76" w:rsidP="00960FDE">
      <w:pPr>
        <w:spacing w:after="0" w:line="360" w:lineRule="auto"/>
        <w:jc w:val="both"/>
        <w:rPr>
          <w:rFonts w:ascii="Arial" w:hAnsi="Arial" w:cs="Arial"/>
          <w:szCs w:val="24"/>
        </w:rPr>
      </w:pPr>
      <w:r w:rsidRPr="00E13EA2">
        <w:rPr>
          <w:rFonts w:ascii="Arial" w:hAnsi="Arial" w:cs="Arial"/>
          <w:szCs w:val="24"/>
        </w:rPr>
        <w:t>También se presentan, en caso de corresponder, los incumplimientos legales constatados por el Tribunal de Cuentas en el curso de la auditoría efectuada.</w:t>
      </w:r>
    </w:p>
    <w:p w:rsidR="002332E2" w:rsidRPr="00E13EA2" w:rsidRDefault="002332E2" w:rsidP="00960FDE">
      <w:pPr>
        <w:spacing w:after="0" w:line="360" w:lineRule="auto"/>
        <w:jc w:val="both"/>
        <w:rPr>
          <w:rFonts w:ascii="Arial" w:hAnsi="Arial" w:cs="Arial"/>
          <w:szCs w:val="24"/>
        </w:rPr>
      </w:pPr>
    </w:p>
    <w:p w:rsidR="000B5E76" w:rsidRPr="00E13EA2" w:rsidRDefault="000B5E76" w:rsidP="00960FDE">
      <w:pPr>
        <w:spacing w:after="0" w:line="360" w:lineRule="auto"/>
        <w:jc w:val="both"/>
        <w:rPr>
          <w:rFonts w:ascii="Arial" w:hAnsi="Arial" w:cs="Arial"/>
          <w:b/>
          <w:szCs w:val="24"/>
        </w:rPr>
      </w:pPr>
      <w:r w:rsidRPr="00E13EA2">
        <w:rPr>
          <w:rFonts w:ascii="Arial" w:hAnsi="Arial" w:cs="Arial"/>
          <w:b/>
          <w:szCs w:val="24"/>
        </w:rPr>
        <w:t>Responsabilidad de la Dirección por los estados financieros</w:t>
      </w:r>
    </w:p>
    <w:p w:rsidR="000B5E76" w:rsidRDefault="000B5E76" w:rsidP="00960FDE">
      <w:pPr>
        <w:spacing w:after="0" w:line="360" w:lineRule="auto"/>
        <w:jc w:val="both"/>
        <w:rPr>
          <w:rFonts w:ascii="Arial" w:hAnsi="Arial" w:cs="Arial"/>
          <w:szCs w:val="24"/>
        </w:rPr>
      </w:pPr>
      <w:r w:rsidRPr="00E13EA2">
        <w:rPr>
          <w:rFonts w:ascii="Arial" w:hAnsi="Arial" w:cs="Arial"/>
          <w:szCs w:val="24"/>
        </w:rPr>
        <w:t>La Dirección de la Comisión Administrativa es responsable por la preparación y la razonable presentación del balance de ejecución presupuestal de acuerdo con las normas establecidas en el TOCAF y las legales y reglamentarias aplicable.</w:t>
      </w:r>
      <w:r w:rsidRPr="00E13EA2">
        <w:rPr>
          <w:rFonts w:ascii="Arial" w:hAnsi="Arial" w:cs="Arial"/>
          <w:i/>
          <w:szCs w:val="24"/>
        </w:rPr>
        <w:t xml:space="preserve"> </w:t>
      </w:r>
      <w:r w:rsidRPr="00E13EA2">
        <w:rPr>
          <w:rFonts w:ascii="Arial" w:hAnsi="Arial" w:cs="Arial"/>
          <w:szCs w:val="24"/>
        </w:rPr>
        <w:t>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w:t>
      </w:r>
    </w:p>
    <w:p w:rsidR="002332E2" w:rsidRPr="00E13EA2" w:rsidRDefault="002332E2" w:rsidP="00960FDE">
      <w:pPr>
        <w:spacing w:after="0" w:line="360" w:lineRule="auto"/>
        <w:jc w:val="both"/>
        <w:rPr>
          <w:rFonts w:ascii="Arial" w:hAnsi="Arial" w:cs="Arial"/>
          <w:szCs w:val="24"/>
        </w:rPr>
      </w:pPr>
    </w:p>
    <w:p w:rsidR="000B5E76" w:rsidRPr="00E13EA2" w:rsidRDefault="000B5E76" w:rsidP="00960FDE">
      <w:pPr>
        <w:spacing w:after="0" w:line="360" w:lineRule="auto"/>
        <w:jc w:val="both"/>
        <w:rPr>
          <w:rFonts w:ascii="Arial" w:hAnsi="Arial" w:cs="Arial"/>
          <w:b/>
          <w:szCs w:val="24"/>
        </w:rPr>
      </w:pPr>
      <w:r w:rsidRPr="00E13EA2">
        <w:rPr>
          <w:rFonts w:ascii="Arial" w:hAnsi="Arial" w:cs="Arial"/>
          <w:b/>
          <w:szCs w:val="24"/>
        </w:rPr>
        <w:t>Responsabilidad del auditor</w:t>
      </w:r>
    </w:p>
    <w:p w:rsidR="000B5E76" w:rsidRPr="00E13EA2" w:rsidRDefault="000B5E76" w:rsidP="00960FDE">
      <w:pPr>
        <w:spacing w:after="0" w:line="360" w:lineRule="auto"/>
        <w:jc w:val="both"/>
        <w:rPr>
          <w:rFonts w:ascii="Arial" w:hAnsi="Arial" w:cs="Arial"/>
        </w:rPr>
      </w:pPr>
      <w:r w:rsidRPr="00E13EA2">
        <w:rPr>
          <w:rFonts w:ascii="Arial" w:hAnsi="Arial" w:cs="Arial"/>
          <w:szCs w:val="24"/>
        </w:rPr>
        <w:t>La responsabilidad del Tribunal de Cuentas es expresar una opinión sobre dichos estados financieros basada en la auditoría realizada. Esta auditoría fue practicada de acuerdo con los Principios Fundamentales de Auditoría (ISSAI 100 y 200) de la Organización Internacional de Entidades Fiscalizadoras Superiores (INTOSAI). Estas normas requieren que se cumpla con requisitos éticos, se planifique y se realice la auditoría para obtener</w:t>
      </w:r>
      <w:r>
        <w:rPr>
          <w:rFonts w:ascii="Arial" w:hAnsi="Arial" w:cs="Arial"/>
          <w:szCs w:val="24"/>
        </w:rPr>
        <w:t xml:space="preserve"> </w:t>
      </w:r>
      <w:r w:rsidRPr="00E13EA2">
        <w:rPr>
          <w:rFonts w:ascii="Arial" w:hAnsi="Arial" w:cs="Arial"/>
        </w:rPr>
        <w:t>seguridad razonable acerca de si los estados financieros están libres de errores significativos.</w:t>
      </w:r>
    </w:p>
    <w:p w:rsidR="000B5E76" w:rsidRPr="00E13EA2" w:rsidRDefault="000B5E76" w:rsidP="00960FDE">
      <w:pPr>
        <w:spacing w:after="0" w:line="360" w:lineRule="auto"/>
        <w:jc w:val="both"/>
        <w:rPr>
          <w:rFonts w:ascii="Arial" w:hAnsi="Arial" w:cs="Arial"/>
        </w:rPr>
      </w:pPr>
      <w:r w:rsidRPr="00E13EA2">
        <w:rPr>
          <w:rFonts w:ascii="Arial" w:hAnsi="Arial" w:cs="Aria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financieros.</w:t>
      </w:r>
    </w:p>
    <w:p w:rsidR="000B5E76" w:rsidRDefault="000B5E76" w:rsidP="00960FDE">
      <w:pPr>
        <w:spacing w:after="0" w:line="360" w:lineRule="auto"/>
        <w:jc w:val="both"/>
        <w:rPr>
          <w:rFonts w:ascii="Arial" w:hAnsi="Arial" w:cs="Arial"/>
        </w:rPr>
      </w:pPr>
      <w:r w:rsidRPr="00E13EA2">
        <w:rPr>
          <w:rFonts w:ascii="Arial" w:hAnsi="Arial" w:cs="Arial"/>
        </w:rPr>
        <w:t>Se considera que la evidencia de auditoría obtenida brinda una base suficiente y apropiada para sustentar la opinión.</w:t>
      </w:r>
    </w:p>
    <w:p w:rsidR="002332E2" w:rsidRPr="00E13EA2" w:rsidRDefault="002332E2" w:rsidP="00960FDE">
      <w:pPr>
        <w:spacing w:after="0" w:line="360" w:lineRule="auto"/>
        <w:jc w:val="both"/>
        <w:rPr>
          <w:rFonts w:ascii="Arial" w:hAnsi="Arial" w:cs="Arial"/>
        </w:rPr>
      </w:pPr>
    </w:p>
    <w:p w:rsidR="000B5E76" w:rsidRPr="00296D00" w:rsidRDefault="000B5E76" w:rsidP="00960FDE">
      <w:pPr>
        <w:spacing w:after="0" w:line="360" w:lineRule="auto"/>
        <w:rPr>
          <w:rFonts w:ascii="Arial" w:hAnsi="Arial" w:cs="Arial"/>
          <w:b/>
        </w:rPr>
      </w:pPr>
      <w:r w:rsidRPr="00296D00">
        <w:rPr>
          <w:rFonts w:ascii="Arial" w:hAnsi="Arial" w:cs="Arial"/>
          <w:b/>
        </w:rPr>
        <w:t>Opinión</w:t>
      </w:r>
    </w:p>
    <w:p w:rsidR="000B5E76" w:rsidRPr="00E13EA2" w:rsidRDefault="000B5E76" w:rsidP="00960FDE">
      <w:pPr>
        <w:spacing w:after="0" w:line="360" w:lineRule="auto"/>
        <w:jc w:val="both"/>
        <w:rPr>
          <w:rFonts w:ascii="Arial" w:hAnsi="Arial" w:cs="Arial"/>
        </w:rPr>
      </w:pPr>
      <w:r w:rsidRPr="00E13EA2">
        <w:rPr>
          <w:rFonts w:ascii="Arial" w:hAnsi="Arial" w:cs="Arial"/>
        </w:rPr>
        <w:t>En opinión del Tribunal de Cuentas, la Rendición de Cuentas referida precedentemente presenta razonablemente, en todos sus aspectos importantes, la ejecución presupuestal de la Comisión Administrativa, correspondiente al ejercicio finalizado el 31 de diciembre de 2016, de acuerdo con las normas y los criterios establecidos en el TOCAF y otras normas legales y reglamentarias vigentes, aplicables en mat</w:t>
      </w:r>
      <w:r w:rsidR="002332E2">
        <w:rPr>
          <w:rFonts w:ascii="Arial" w:hAnsi="Arial" w:cs="Arial"/>
        </w:rPr>
        <w:t>eria de ejecución presupuestal.</w:t>
      </w:r>
    </w:p>
    <w:p w:rsidR="000B5E76" w:rsidRPr="00E13EA2" w:rsidRDefault="000B5E76" w:rsidP="00960FDE">
      <w:pPr>
        <w:spacing w:after="0" w:line="360" w:lineRule="auto"/>
        <w:jc w:val="both"/>
        <w:rPr>
          <w:rFonts w:ascii="Arial" w:hAnsi="Arial" w:cs="Arial"/>
        </w:rPr>
      </w:pPr>
      <w:r w:rsidRPr="00E13EA2">
        <w:rPr>
          <w:rFonts w:ascii="Arial" w:hAnsi="Arial" w:cs="Arial"/>
        </w:rPr>
        <w:t>Con relación al cumplimiento de la normativa vigente, en el curso de la auditoría realizada, se ha constatado que no se ha dado cumplimiento a las siguientes normas:</w:t>
      </w:r>
    </w:p>
    <w:p w:rsidR="000B5E76" w:rsidRPr="00E13EA2" w:rsidRDefault="000B5E76" w:rsidP="00960FDE">
      <w:pPr>
        <w:spacing w:after="0" w:line="360" w:lineRule="auto"/>
        <w:jc w:val="both"/>
        <w:rPr>
          <w:rFonts w:ascii="Arial" w:hAnsi="Arial" w:cs="Arial"/>
        </w:rPr>
      </w:pPr>
      <w:r w:rsidRPr="00E13EA2">
        <w:rPr>
          <w:rFonts w:ascii="Arial" w:hAnsi="Arial" w:cs="Arial"/>
        </w:rPr>
        <w:t>-</w:t>
      </w:r>
      <w:r w:rsidRPr="00E13EA2">
        <w:rPr>
          <w:rFonts w:ascii="Arial" w:hAnsi="Arial" w:cs="Arial"/>
        </w:rPr>
        <w:tab/>
        <w:t>Artículo 33 del TOCAF, no se dio cumplimiento al procedimiento establecido en la compra de mobiliario donde se supera el</w:t>
      </w:r>
      <w:r w:rsidR="002332E2">
        <w:rPr>
          <w:rFonts w:ascii="Arial" w:hAnsi="Arial" w:cs="Arial"/>
        </w:rPr>
        <w:t xml:space="preserve"> monto de compra directa anual.</w:t>
      </w:r>
    </w:p>
    <w:p w:rsidR="000B5E76" w:rsidRPr="00E13EA2" w:rsidRDefault="000B5E76" w:rsidP="00960FDE">
      <w:pPr>
        <w:spacing w:after="0" w:line="360" w:lineRule="auto"/>
        <w:jc w:val="both"/>
        <w:rPr>
          <w:rFonts w:ascii="Arial" w:hAnsi="Arial" w:cs="Arial"/>
        </w:rPr>
      </w:pPr>
      <w:r w:rsidRPr="00E13EA2">
        <w:rPr>
          <w:rFonts w:ascii="Arial" w:hAnsi="Arial" w:cs="Arial"/>
        </w:rPr>
        <w:t>-</w:t>
      </w:r>
      <w:r w:rsidRPr="00E13EA2">
        <w:rPr>
          <w:rFonts w:ascii="Arial" w:hAnsi="Arial" w:cs="Arial"/>
        </w:rPr>
        <w:tab/>
        <w:t>Ley 16.713, al no realizar los  aportes al Banco de Previsión Social por la partida de Prensa que perciben los funcionarios en aquellos casos en que no se encuentren comprendidos en el régimen de AFAP (Fondo de Ahorro Previsional).</w:t>
      </w:r>
    </w:p>
    <w:p w:rsidR="000B5E76" w:rsidRPr="00E13EA2" w:rsidRDefault="000B5E76" w:rsidP="00960FDE">
      <w:pPr>
        <w:spacing w:after="0" w:line="360" w:lineRule="auto"/>
        <w:jc w:val="both"/>
        <w:rPr>
          <w:rFonts w:ascii="Arial" w:hAnsi="Arial" w:cs="Arial"/>
        </w:rPr>
      </w:pPr>
      <w:r w:rsidRPr="00E13EA2">
        <w:rPr>
          <w:rFonts w:ascii="Arial" w:hAnsi="Arial" w:cs="Arial"/>
        </w:rPr>
        <w:t>-</w:t>
      </w:r>
      <w:r w:rsidRPr="00E13EA2">
        <w:rPr>
          <w:rFonts w:ascii="Arial" w:hAnsi="Arial" w:cs="Arial"/>
        </w:rPr>
        <w:tab/>
        <w:t>Artículo 132 del TOCAF,</w:t>
      </w:r>
      <w:r w:rsidR="00CC68A1">
        <w:rPr>
          <w:rFonts w:ascii="Arial" w:hAnsi="Arial" w:cs="Arial"/>
        </w:rPr>
        <w:t xml:space="preserve"> </w:t>
      </w:r>
      <w:r w:rsidRPr="00E13EA2">
        <w:rPr>
          <w:rFonts w:ascii="Arial" w:hAnsi="Arial" w:cs="Arial"/>
        </w:rPr>
        <w:t>se constató la existencia de anticipos de caja que no fueron rendidos en el plazo de 60 días posteriores al mes en que fueron otorgados.</w:t>
      </w:r>
    </w:p>
    <w:p w:rsidR="000B5E76" w:rsidRDefault="002332E2" w:rsidP="00960FDE">
      <w:pPr>
        <w:spacing w:line="360" w:lineRule="auto"/>
        <w:jc w:val="right"/>
        <w:rPr>
          <w:rFonts w:ascii="Arial" w:hAnsi="Arial" w:cs="Arial"/>
        </w:rPr>
      </w:pPr>
      <w:r>
        <w:rPr>
          <w:rFonts w:ascii="Arial" w:hAnsi="Arial" w:cs="Arial"/>
        </w:rPr>
        <w:t>Montevideo, 30 de enero de 2018</w:t>
      </w:r>
    </w:p>
    <w:p w:rsidR="002332E2" w:rsidRDefault="002332E2" w:rsidP="00960FDE">
      <w:pPr>
        <w:spacing w:line="360" w:lineRule="auto"/>
        <w:jc w:val="right"/>
        <w:rPr>
          <w:rFonts w:ascii="Arial" w:hAnsi="Arial" w:cs="Arial"/>
        </w:rPr>
      </w:pPr>
    </w:p>
    <w:p w:rsidR="002332E2" w:rsidRDefault="002332E2" w:rsidP="00960FDE">
      <w:pPr>
        <w:spacing w:line="360" w:lineRule="auto"/>
        <w:jc w:val="right"/>
        <w:rPr>
          <w:rFonts w:ascii="Arial" w:hAnsi="Arial" w:cs="Arial"/>
        </w:rPr>
      </w:pPr>
    </w:p>
    <w:p w:rsidR="000B5E76" w:rsidRPr="00E13EA2" w:rsidRDefault="000B5E76" w:rsidP="00960FDE">
      <w:pPr>
        <w:spacing w:line="360" w:lineRule="auto"/>
        <w:ind w:hanging="426"/>
        <w:rPr>
          <w:rFonts w:ascii="Arial" w:hAnsi="Arial" w:cs="Arial"/>
        </w:rPr>
      </w:pPr>
      <w:proofErr w:type="gramStart"/>
      <w:r>
        <w:rPr>
          <w:rFonts w:ascii="Arial" w:hAnsi="Arial" w:cs="Arial"/>
        </w:rPr>
        <w:t>dc</w:t>
      </w:r>
      <w:proofErr w:type="gramEnd"/>
    </w:p>
    <w:p w:rsidR="000B5E76" w:rsidRDefault="000B5E76" w:rsidP="00355811">
      <w:pPr>
        <w:spacing w:after="0" w:line="360" w:lineRule="auto"/>
        <w:ind w:hanging="284"/>
        <w:jc w:val="both"/>
        <w:rPr>
          <w:rFonts w:ascii="Arial" w:hAnsi="Arial" w:cs="Arial"/>
        </w:rPr>
      </w:pPr>
    </w:p>
    <w:p w:rsidR="000B5E76" w:rsidRDefault="000B5E76" w:rsidP="00355811">
      <w:pPr>
        <w:spacing w:after="0" w:line="360" w:lineRule="auto"/>
        <w:ind w:hanging="284"/>
        <w:jc w:val="both"/>
        <w:rPr>
          <w:rFonts w:ascii="Arial" w:hAnsi="Arial" w:cs="Arial"/>
        </w:rPr>
      </w:pPr>
    </w:p>
    <w:p w:rsidR="000B5E76" w:rsidRDefault="000B5E76" w:rsidP="00355811">
      <w:pPr>
        <w:spacing w:after="0" w:line="360" w:lineRule="auto"/>
        <w:ind w:hanging="284"/>
        <w:jc w:val="both"/>
        <w:rPr>
          <w:rFonts w:ascii="Arial" w:hAnsi="Arial" w:cs="Arial"/>
        </w:rPr>
      </w:pPr>
    </w:p>
    <w:p w:rsidR="000B5E76" w:rsidRDefault="000B5E76" w:rsidP="00355811">
      <w:pPr>
        <w:spacing w:after="0" w:line="360" w:lineRule="auto"/>
        <w:ind w:hanging="284"/>
        <w:jc w:val="both"/>
        <w:rPr>
          <w:rFonts w:ascii="Arial" w:hAnsi="Arial" w:cs="Arial"/>
        </w:rPr>
      </w:pPr>
    </w:p>
    <w:p w:rsidR="000B5E76" w:rsidRDefault="000B5E76" w:rsidP="00355811">
      <w:pPr>
        <w:spacing w:after="0" w:line="360" w:lineRule="auto"/>
        <w:ind w:hanging="284"/>
        <w:jc w:val="both"/>
        <w:rPr>
          <w:rFonts w:ascii="Arial" w:hAnsi="Arial" w:cs="Arial"/>
        </w:rPr>
      </w:pPr>
    </w:p>
    <w:p w:rsidR="000B5E76" w:rsidRDefault="000B5E76" w:rsidP="00355811">
      <w:pPr>
        <w:spacing w:after="0" w:line="360" w:lineRule="auto"/>
        <w:ind w:hanging="284"/>
        <w:jc w:val="both"/>
        <w:rPr>
          <w:rFonts w:ascii="Arial" w:hAnsi="Arial" w:cs="Arial"/>
        </w:rPr>
      </w:pPr>
    </w:p>
    <w:p w:rsidR="000B5E76" w:rsidRDefault="000B5E76" w:rsidP="00355811">
      <w:pPr>
        <w:spacing w:after="0" w:line="360" w:lineRule="auto"/>
        <w:ind w:hanging="284"/>
        <w:jc w:val="both"/>
        <w:rPr>
          <w:rFonts w:ascii="Arial" w:hAnsi="Arial" w:cs="Arial"/>
        </w:rPr>
      </w:pPr>
    </w:p>
    <w:p w:rsidR="000B5E76" w:rsidRDefault="000B5E76" w:rsidP="00355811">
      <w:pPr>
        <w:spacing w:after="0" w:line="360" w:lineRule="auto"/>
        <w:ind w:hanging="284"/>
        <w:jc w:val="both"/>
        <w:rPr>
          <w:rFonts w:ascii="Arial" w:hAnsi="Arial" w:cs="Arial"/>
        </w:rPr>
      </w:pPr>
    </w:p>
    <w:p w:rsidR="000B5E76" w:rsidRDefault="000B5E76" w:rsidP="00355811">
      <w:pPr>
        <w:spacing w:after="0" w:line="360" w:lineRule="auto"/>
        <w:ind w:hanging="284"/>
        <w:jc w:val="both"/>
        <w:rPr>
          <w:rFonts w:ascii="Arial" w:hAnsi="Arial" w:cs="Arial"/>
        </w:rPr>
      </w:pPr>
    </w:p>
    <w:p w:rsidR="000B5E76" w:rsidRDefault="000B5E76" w:rsidP="00355811">
      <w:pPr>
        <w:spacing w:after="0" w:line="360" w:lineRule="auto"/>
        <w:ind w:hanging="284"/>
        <w:jc w:val="both"/>
        <w:rPr>
          <w:rFonts w:ascii="Arial" w:hAnsi="Arial" w:cs="Arial"/>
        </w:rPr>
      </w:pPr>
    </w:p>
    <w:p w:rsidR="000B5E76" w:rsidRDefault="000B5E76" w:rsidP="00355811">
      <w:pPr>
        <w:spacing w:after="0" w:line="360" w:lineRule="auto"/>
        <w:ind w:hanging="284"/>
        <w:jc w:val="both"/>
        <w:rPr>
          <w:rFonts w:ascii="Arial" w:hAnsi="Arial" w:cs="Arial"/>
        </w:rPr>
      </w:pPr>
    </w:p>
    <w:p w:rsidR="002332E2" w:rsidRDefault="002332E2" w:rsidP="00355811">
      <w:pPr>
        <w:spacing w:after="0" w:line="360" w:lineRule="auto"/>
        <w:ind w:hanging="284"/>
        <w:jc w:val="both"/>
        <w:rPr>
          <w:rFonts w:ascii="Arial" w:hAnsi="Arial" w:cs="Arial"/>
        </w:rPr>
      </w:pPr>
    </w:p>
    <w:p w:rsidR="002332E2" w:rsidRDefault="002332E2" w:rsidP="00355811">
      <w:pPr>
        <w:spacing w:after="0" w:line="360" w:lineRule="auto"/>
        <w:ind w:hanging="284"/>
        <w:jc w:val="both"/>
        <w:rPr>
          <w:rFonts w:ascii="Arial" w:hAnsi="Arial" w:cs="Arial"/>
        </w:rPr>
      </w:pPr>
    </w:p>
    <w:p w:rsidR="002332E2" w:rsidRDefault="002332E2" w:rsidP="00355811">
      <w:pPr>
        <w:spacing w:after="0" w:line="360" w:lineRule="auto"/>
        <w:ind w:hanging="284"/>
        <w:jc w:val="both"/>
        <w:rPr>
          <w:rFonts w:ascii="Arial" w:hAnsi="Arial" w:cs="Arial"/>
        </w:rPr>
      </w:pPr>
    </w:p>
    <w:p w:rsidR="002332E2" w:rsidRDefault="002332E2" w:rsidP="00355811">
      <w:pPr>
        <w:spacing w:after="0" w:line="360" w:lineRule="auto"/>
        <w:ind w:hanging="284"/>
        <w:jc w:val="both"/>
        <w:rPr>
          <w:rFonts w:ascii="Arial" w:hAnsi="Arial" w:cs="Arial"/>
        </w:rPr>
      </w:pPr>
    </w:p>
    <w:p w:rsidR="002332E2" w:rsidRDefault="002332E2" w:rsidP="00355811">
      <w:pPr>
        <w:spacing w:after="0" w:line="360" w:lineRule="auto"/>
        <w:ind w:hanging="284"/>
        <w:jc w:val="both"/>
        <w:rPr>
          <w:rFonts w:ascii="Arial" w:hAnsi="Arial" w:cs="Arial"/>
        </w:rPr>
      </w:pPr>
    </w:p>
    <w:p w:rsidR="002332E2" w:rsidRDefault="002332E2" w:rsidP="00355811">
      <w:pPr>
        <w:spacing w:after="0" w:line="360" w:lineRule="auto"/>
        <w:ind w:hanging="284"/>
        <w:jc w:val="both"/>
        <w:rPr>
          <w:rFonts w:ascii="Arial" w:hAnsi="Arial" w:cs="Arial"/>
        </w:rPr>
      </w:pPr>
    </w:p>
    <w:p w:rsidR="002332E2" w:rsidRDefault="002332E2" w:rsidP="00355811">
      <w:pPr>
        <w:spacing w:after="0" w:line="360" w:lineRule="auto"/>
        <w:ind w:hanging="284"/>
        <w:jc w:val="both"/>
        <w:rPr>
          <w:rFonts w:ascii="Arial" w:hAnsi="Arial" w:cs="Arial"/>
        </w:rPr>
      </w:pPr>
    </w:p>
    <w:p w:rsidR="000B5E76" w:rsidRDefault="000B5E76" w:rsidP="00355811">
      <w:pPr>
        <w:spacing w:after="0" w:line="360" w:lineRule="auto"/>
        <w:ind w:hanging="284"/>
        <w:jc w:val="both"/>
        <w:rPr>
          <w:rFonts w:ascii="Arial" w:hAnsi="Arial" w:cs="Arial"/>
        </w:rPr>
      </w:pPr>
    </w:p>
    <w:p w:rsidR="000B5E76" w:rsidRDefault="000B5E76" w:rsidP="00355811">
      <w:pPr>
        <w:spacing w:after="0" w:line="360" w:lineRule="auto"/>
        <w:ind w:hanging="284"/>
        <w:jc w:val="both"/>
        <w:rPr>
          <w:rFonts w:ascii="Arial" w:hAnsi="Arial" w:cs="Arial"/>
        </w:rPr>
      </w:pPr>
    </w:p>
    <w:p w:rsidR="000B5E76" w:rsidRPr="00FB5D58" w:rsidRDefault="000B5E76" w:rsidP="00392040">
      <w:pPr>
        <w:spacing w:line="360" w:lineRule="auto"/>
        <w:jc w:val="center"/>
        <w:rPr>
          <w:rFonts w:ascii="Arial" w:hAnsi="Arial" w:cs="Arial"/>
          <w:b/>
        </w:rPr>
      </w:pPr>
      <w:r w:rsidRPr="00FB5D58">
        <w:rPr>
          <w:rFonts w:ascii="Arial" w:hAnsi="Arial" w:cs="Arial"/>
          <w:b/>
        </w:rPr>
        <w:t>INFORME A LA ADMINISTRACIÓN</w:t>
      </w:r>
    </w:p>
    <w:p w:rsidR="000B5E76" w:rsidRPr="00E13EA2" w:rsidRDefault="000B5E76" w:rsidP="00392040">
      <w:pPr>
        <w:spacing w:after="0" w:line="360" w:lineRule="auto"/>
        <w:jc w:val="both"/>
        <w:rPr>
          <w:rFonts w:ascii="Arial" w:hAnsi="Arial" w:cs="Arial"/>
        </w:rPr>
      </w:pPr>
      <w:r w:rsidRPr="00E13EA2">
        <w:rPr>
          <w:rFonts w:ascii="Arial" w:hAnsi="Arial" w:cs="Arial"/>
        </w:rPr>
        <w:t xml:space="preserve">El Tribunal de Cuentas ha examinado la Rendición de Cuentas de la </w:t>
      </w:r>
      <w:r>
        <w:rPr>
          <w:rFonts w:ascii="Arial" w:hAnsi="Arial" w:cs="Arial"/>
        </w:rPr>
        <w:t>Comisión Administrativa por el E</w:t>
      </w:r>
      <w:r w:rsidRPr="00E13EA2">
        <w:rPr>
          <w:rFonts w:ascii="Arial" w:hAnsi="Arial" w:cs="Arial"/>
        </w:rPr>
        <w:t>jercicio finalizado el 31 de diciembre de 2016 y ha emitido su Dictamen.</w:t>
      </w:r>
    </w:p>
    <w:p w:rsidR="000B5E76" w:rsidRPr="00E13EA2" w:rsidRDefault="000B5E76" w:rsidP="00392040">
      <w:pPr>
        <w:spacing w:after="0" w:line="360" w:lineRule="auto"/>
        <w:jc w:val="both"/>
        <w:rPr>
          <w:rFonts w:ascii="Arial" w:hAnsi="Arial" w:cs="Arial"/>
        </w:rPr>
      </w:pPr>
      <w:r w:rsidRPr="00E13EA2">
        <w:rPr>
          <w:rFonts w:ascii="Arial" w:hAnsi="Arial" w:cs="Arial"/>
        </w:rPr>
        <w:t>Se incluyen comentarios que se ha entendido pertinente exponer, relacionados a la situación de determinados capítulos y rubros de los estados examinados y a disposiciones legales vigentes.</w:t>
      </w:r>
    </w:p>
    <w:p w:rsidR="000B5E76" w:rsidRPr="00E13EA2" w:rsidRDefault="000B5E76" w:rsidP="00392040">
      <w:pPr>
        <w:spacing w:after="0" w:line="360" w:lineRule="auto"/>
        <w:jc w:val="both"/>
        <w:rPr>
          <w:rFonts w:ascii="Arial" w:hAnsi="Arial" w:cs="Arial"/>
        </w:rPr>
      </w:pPr>
      <w:r w:rsidRPr="00E13EA2">
        <w:rPr>
          <w:rFonts w:ascii="Arial" w:hAnsi="Arial" w:cs="Arial"/>
        </w:rPr>
        <w:t xml:space="preserve">También se agregan las principales recomendaciones que </w:t>
      </w:r>
      <w:proofErr w:type="gramStart"/>
      <w:r w:rsidRPr="00E13EA2">
        <w:rPr>
          <w:rFonts w:ascii="Arial" w:hAnsi="Arial" w:cs="Arial"/>
        </w:rPr>
        <w:t>deberá</w:t>
      </w:r>
      <w:proofErr w:type="gramEnd"/>
      <w:r w:rsidRPr="00E13EA2">
        <w:rPr>
          <w:rFonts w:ascii="Arial" w:hAnsi="Arial" w:cs="Arial"/>
        </w:rPr>
        <w:t xml:space="preserve">  atender el Organismo y una evaluación del cumplimiento de las recomendaciones presentadas </w:t>
      </w:r>
      <w:r>
        <w:rPr>
          <w:rFonts w:ascii="Arial" w:hAnsi="Arial" w:cs="Arial"/>
        </w:rPr>
        <w:t>en el informe de auditoría del E</w:t>
      </w:r>
      <w:r w:rsidRPr="00E13EA2">
        <w:rPr>
          <w:rFonts w:ascii="Arial" w:hAnsi="Arial" w:cs="Arial"/>
        </w:rPr>
        <w:t>jercicio anterior.</w:t>
      </w:r>
    </w:p>
    <w:p w:rsidR="000B5E76" w:rsidRPr="00E13EA2" w:rsidRDefault="000B5E76" w:rsidP="00392040">
      <w:pPr>
        <w:spacing w:after="0" w:line="360" w:lineRule="auto"/>
        <w:rPr>
          <w:rFonts w:ascii="Arial" w:hAnsi="Arial" w:cs="Arial"/>
        </w:rPr>
      </w:pPr>
    </w:p>
    <w:p w:rsidR="000B5E76" w:rsidRPr="00FB5D58" w:rsidRDefault="00CC68A1" w:rsidP="00392040">
      <w:pPr>
        <w:spacing w:after="0" w:line="360" w:lineRule="auto"/>
        <w:rPr>
          <w:rFonts w:ascii="Arial" w:hAnsi="Arial" w:cs="Arial"/>
          <w:b/>
        </w:rPr>
      </w:pPr>
      <w:r>
        <w:rPr>
          <w:rFonts w:ascii="Arial" w:hAnsi="Arial" w:cs="Arial"/>
          <w:b/>
        </w:rPr>
        <w:t>Presentación de los Estados</w:t>
      </w:r>
    </w:p>
    <w:p w:rsidR="000B5E76" w:rsidRPr="00E13EA2" w:rsidRDefault="000B5E76" w:rsidP="00392040">
      <w:pPr>
        <w:spacing w:after="0" w:line="360" w:lineRule="auto"/>
        <w:jc w:val="both"/>
        <w:rPr>
          <w:rFonts w:ascii="Arial" w:hAnsi="Arial" w:cs="Arial"/>
        </w:rPr>
      </w:pPr>
      <w:r w:rsidRPr="00E13EA2">
        <w:rPr>
          <w:rFonts w:ascii="Arial" w:hAnsi="Arial" w:cs="Arial"/>
        </w:rPr>
        <w:t>La Rendición de Cuentas de la Comisión Administrativa corr</w:t>
      </w:r>
      <w:r>
        <w:rPr>
          <w:rFonts w:ascii="Arial" w:hAnsi="Arial" w:cs="Arial"/>
        </w:rPr>
        <w:t>espondientes al E</w:t>
      </w:r>
      <w:r w:rsidRPr="00E13EA2">
        <w:rPr>
          <w:rFonts w:ascii="Arial" w:hAnsi="Arial" w:cs="Arial"/>
        </w:rPr>
        <w:t>jercicio finalizado el 31 de diciembre de 2016 fue remitida para su examen a este Tribunal con fecha 31 de julio de 2017.</w:t>
      </w:r>
    </w:p>
    <w:p w:rsidR="000B5E76" w:rsidRPr="00E13EA2" w:rsidRDefault="000B5E76" w:rsidP="00392040">
      <w:pPr>
        <w:spacing w:after="0" w:line="360" w:lineRule="auto"/>
        <w:rPr>
          <w:rFonts w:ascii="Arial" w:hAnsi="Arial" w:cs="Arial"/>
        </w:rPr>
      </w:pPr>
    </w:p>
    <w:p w:rsidR="000B5E76" w:rsidRPr="00970EDD" w:rsidRDefault="000B5E76" w:rsidP="00392040">
      <w:pPr>
        <w:spacing w:after="0" w:line="360" w:lineRule="auto"/>
        <w:rPr>
          <w:rFonts w:ascii="Arial" w:hAnsi="Arial" w:cs="Arial"/>
          <w:b/>
        </w:rPr>
      </w:pPr>
      <w:r w:rsidRPr="00970EDD">
        <w:rPr>
          <w:rFonts w:ascii="Arial" w:hAnsi="Arial" w:cs="Arial"/>
          <w:b/>
        </w:rPr>
        <w:t>1)</w:t>
      </w:r>
      <w:r w:rsidRPr="00970EDD">
        <w:rPr>
          <w:rFonts w:ascii="Arial" w:hAnsi="Arial" w:cs="Arial"/>
          <w:b/>
        </w:rPr>
        <w:tab/>
        <w:t>Incumplimiento de disposiciones legales y reglamentarias</w:t>
      </w:r>
    </w:p>
    <w:p w:rsidR="000B5E76" w:rsidRPr="00E13EA2" w:rsidRDefault="000B5E76" w:rsidP="00392040">
      <w:pPr>
        <w:spacing w:after="0" w:line="360" w:lineRule="auto"/>
        <w:jc w:val="both"/>
        <w:rPr>
          <w:rFonts w:ascii="Arial" w:hAnsi="Arial" w:cs="Arial"/>
        </w:rPr>
      </w:pPr>
      <w:r w:rsidRPr="00970EDD">
        <w:rPr>
          <w:rFonts w:ascii="Arial" w:hAnsi="Arial" w:cs="Arial"/>
          <w:b/>
        </w:rPr>
        <w:t>1.1)</w:t>
      </w:r>
      <w:r w:rsidRPr="00970EDD">
        <w:rPr>
          <w:rFonts w:ascii="Arial" w:hAnsi="Arial" w:cs="Arial"/>
          <w:b/>
        </w:rPr>
        <w:tab/>
      </w:r>
      <w:r w:rsidRPr="00E13EA2">
        <w:rPr>
          <w:rFonts w:ascii="Arial" w:hAnsi="Arial" w:cs="Arial"/>
        </w:rPr>
        <w:t>Se  constató que en el caso de funcionarios que no están  comprendidos en el régimen de aportación AFAP (Fondo de Ahorro Previsional) no se efectuaron los aportes al Banco de Previsión Social por la partida de Prensa escrita. Dicha partida constituye materia grabada para las Contribuciones Especiales de Seguridad Social  por ser un ingreso que en forma regular y permanente, percibe un trabajador dependi</w:t>
      </w:r>
      <w:r>
        <w:rPr>
          <w:rFonts w:ascii="Arial" w:hAnsi="Arial" w:cs="Arial"/>
        </w:rPr>
        <w:t>ente en concepto de retribución</w:t>
      </w:r>
      <w:r w:rsidRPr="00E13EA2">
        <w:rPr>
          <w:rFonts w:ascii="Arial" w:hAnsi="Arial" w:cs="Arial"/>
        </w:rPr>
        <w:t>; incumpliendo con la Ley 16.713.</w:t>
      </w:r>
    </w:p>
    <w:p w:rsidR="000B5E76" w:rsidRPr="00E13EA2" w:rsidRDefault="000B5E76" w:rsidP="00392040">
      <w:pPr>
        <w:spacing w:after="0" w:line="360" w:lineRule="auto"/>
        <w:jc w:val="both"/>
        <w:rPr>
          <w:rFonts w:ascii="Arial" w:hAnsi="Arial" w:cs="Arial"/>
        </w:rPr>
      </w:pPr>
      <w:r w:rsidRPr="00970EDD">
        <w:rPr>
          <w:rFonts w:ascii="Arial" w:hAnsi="Arial" w:cs="Arial"/>
          <w:b/>
        </w:rPr>
        <w:t>1.2)</w:t>
      </w:r>
      <w:r w:rsidRPr="00970EDD">
        <w:rPr>
          <w:rFonts w:ascii="Arial" w:hAnsi="Arial" w:cs="Arial"/>
          <w:b/>
        </w:rPr>
        <w:tab/>
      </w:r>
      <w:r>
        <w:rPr>
          <w:rFonts w:ascii="Arial" w:hAnsi="Arial" w:cs="Arial"/>
        </w:rPr>
        <w:t>Durante el E</w:t>
      </w:r>
      <w:r w:rsidRPr="00E13EA2">
        <w:rPr>
          <w:rFonts w:ascii="Arial" w:hAnsi="Arial" w:cs="Arial"/>
        </w:rPr>
        <w:t>jercicio se adquirió mobiliario por valor de $ 500.500 por el procedimiento de compra directa, sin establecer causal de excepción; superando el referido monto al estab</w:t>
      </w:r>
      <w:r>
        <w:rPr>
          <w:rFonts w:ascii="Arial" w:hAnsi="Arial" w:cs="Arial"/>
        </w:rPr>
        <w:t xml:space="preserve">lecido para dicho procedimiento </w:t>
      </w:r>
      <w:r w:rsidRPr="00E13EA2">
        <w:rPr>
          <w:rFonts w:ascii="Arial" w:hAnsi="Arial" w:cs="Arial"/>
        </w:rPr>
        <w:t>(Art</w:t>
      </w:r>
      <w:r>
        <w:rPr>
          <w:rFonts w:ascii="Arial" w:hAnsi="Arial" w:cs="Arial"/>
        </w:rPr>
        <w:t>ículo</w:t>
      </w:r>
      <w:r w:rsidRPr="00E13EA2">
        <w:rPr>
          <w:rFonts w:ascii="Arial" w:hAnsi="Arial" w:cs="Arial"/>
        </w:rPr>
        <w:t xml:space="preserve"> 33 del TOCAF).</w:t>
      </w:r>
    </w:p>
    <w:p w:rsidR="000B5E76" w:rsidRPr="00E13EA2" w:rsidRDefault="000B5E76" w:rsidP="00392040">
      <w:pPr>
        <w:spacing w:after="0" w:line="360" w:lineRule="auto"/>
        <w:jc w:val="both"/>
        <w:rPr>
          <w:rFonts w:ascii="Arial" w:hAnsi="Arial" w:cs="Arial"/>
        </w:rPr>
      </w:pPr>
      <w:r w:rsidRPr="00970EDD">
        <w:rPr>
          <w:rFonts w:ascii="Arial" w:hAnsi="Arial" w:cs="Arial"/>
          <w:b/>
        </w:rPr>
        <w:t>1.3)</w:t>
      </w:r>
      <w:r w:rsidRPr="00970EDD">
        <w:rPr>
          <w:rFonts w:ascii="Arial" w:hAnsi="Arial" w:cs="Arial"/>
          <w:b/>
        </w:rPr>
        <w:tab/>
      </w:r>
      <w:r w:rsidRPr="00E13EA2">
        <w:rPr>
          <w:rFonts w:ascii="Arial" w:hAnsi="Arial" w:cs="Arial"/>
        </w:rPr>
        <w:t>Se constató en la documentación correspondiente</w:t>
      </w:r>
      <w:r>
        <w:rPr>
          <w:rFonts w:ascii="Arial" w:hAnsi="Arial" w:cs="Arial"/>
        </w:rPr>
        <w:t xml:space="preserve"> a los arqueos realizados en el Ejercicio</w:t>
      </w:r>
      <w:r w:rsidRPr="00E13EA2">
        <w:rPr>
          <w:rFonts w:ascii="Arial" w:hAnsi="Arial" w:cs="Arial"/>
        </w:rPr>
        <w:t>, la existencia d</w:t>
      </w:r>
      <w:r>
        <w:rPr>
          <w:rFonts w:ascii="Arial" w:hAnsi="Arial" w:cs="Arial"/>
        </w:rPr>
        <w:t>e anticipos de caja</w:t>
      </w:r>
      <w:r w:rsidRPr="00E13EA2">
        <w:rPr>
          <w:rFonts w:ascii="Arial" w:hAnsi="Arial" w:cs="Arial"/>
        </w:rPr>
        <w:t>,</w:t>
      </w:r>
      <w:r>
        <w:rPr>
          <w:rFonts w:ascii="Arial" w:hAnsi="Arial" w:cs="Arial"/>
        </w:rPr>
        <w:t xml:space="preserve"> </w:t>
      </w:r>
      <w:r w:rsidRPr="00E13EA2">
        <w:rPr>
          <w:rFonts w:ascii="Arial" w:hAnsi="Arial" w:cs="Arial"/>
        </w:rPr>
        <w:t>que permanecen sin rendir, con una antigüedad superior a los 60 días posteriores a los que fueron oto</w:t>
      </w:r>
      <w:r>
        <w:rPr>
          <w:rFonts w:ascii="Arial" w:hAnsi="Arial" w:cs="Arial"/>
        </w:rPr>
        <w:t xml:space="preserve">rgados, incumpliendo con el Artículo </w:t>
      </w:r>
      <w:r w:rsidR="00CC68A1">
        <w:rPr>
          <w:rFonts w:ascii="Arial" w:hAnsi="Arial" w:cs="Arial"/>
        </w:rPr>
        <w:t>132 del TOCAF.</w:t>
      </w:r>
    </w:p>
    <w:p w:rsidR="000B5E76" w:rsidRDefault="000B5E76" w:rsidP="00392040">
      <w:pPr>
        <w:spacing w:after="0" w:line="360" w:lineRule="auto"/>
        <w:rPr>
          <w:rFonts w:ascii="Arial" w:hAnsi="Arial" w:cs="Arial"/>
          <w:b/>
        </w:rPr>
      </w:pPr>
    </w:p>
    <w:p w:rsidR="000B5E76" w:rsidRPr="00FB5D58" w:rsidRDefault="000B5E76" w:rsidP="00392040">
      <w:pPr>
        <w:spacing w:after="0" w:line="360" w:lineRule="auto"/>
        <w:rPr>
          <w:rFonts w:ascii="Arial" w:hAnsi="Arial" w:cs="Arial"/>
          <w:b/>
        </w:rPr>
      </w:pPr>
      <w:r w:rsidRPr="00FB5D58">
        <w:rPr>
          <w:rFonts w:ascii="Arial" w:hAnsi="Arial" w:cs="Arial"/>
          <w:b/>
        </w:rPr>
        <w:t>Recomendaciones</w:t>
      </w:r>
    </w:p>
    <w:p w:rsidR="000B5E76" w:rsidRPr="00FB5D58" w:rsidRDefault="000B5E76" w:rsidP="00392040">
      <w:pPr>
        <w:spacing w:after="0" w:line="360" w:lineRule="auto"/>
        <w:rPr>
          <w:rFonts w:ascii="Arial" w:hAnsi="Arial" w:cs="Arial"/>
          <w:b/>
        </w:rPr>
      </w:pPr>
      <w:r w:rsidRPr="00FB5D58">
        <w:rPr>
          <w:rFonts w:ascii="Arial" w:hAnsi="Arial" w:cs="Arial"/>
          <w:b/>
        </w:rPr>
        <w:t xml:space="preserve">Recomendaciones de </w:t>
      </w:r>
      <w:r>
        <w:rPr>
          <w:rFonts w:ascii="Arial" w:hAnsi="Arial" w:cs="Arial"/>
          <w:b/>
        </w:rPr>
        <w:t>E</w:t>
      </w:r>
      <w:r w:rsidRPr="00FB5D58">
        <w:rPr>
          <w:rFonts w:ascii="Arial" w:hAnsi="Arial" w:cs="Arial"/>
          <w:b/>
        </w:rPr>
        <w:t>jercicios anteriores no cumplidas</w:t>
      </w:r>
    </w:p>
    <w:p w:rsidR="000B5E76" w:rsidRPr="00E13EA2" w:rsidRDefault="000B5E76" w:rsidP="00392040">
      <w:pPr>
        <w:spacing w:after="0" w:line="360" w:lineRule="auto"/>
        <w:jc w:val="both"/>
        <w:rPr>
          <w:rFonts w:ascii="Arial" w:hAnsi="Arial" w:cs="Arial"/>
        </w:rPr>
      </w:pPr>
      <w:r w:rsidRPr="00E13EA2">
        <w:rPr>
          <w:rFonts w:ascii="Arial" w:hAnsi="Arial" w:cs="Arial"/>
        </w:rPr>
        <w:t>Realizar los aportes a la seguridad social por la partid</w:t>
      </w:r>
      <w:r>
        <w:rPr>
          <w:rFonts w:ascii="Arial" w:hAnsi="Arial" w:cs="Arial"/>
        </w:rPr>
        <w:t>a de prensa escrita de acuerdo con</w:t>
      </w:r>
      <w:r w:rsidRPr="00E13EA2">
        <w:rPr>
          <w:rFonts w:ascii="Arial" w:hAnsi="Arial" w:cs="Arial"/>
        </w:rPr>
        <w:t xml:space="preserve"> lo establecido en la Ley 16.713 en aquellos casos en que los funcionarios no están incluidos en el régimen de AFAP</w:t>
      </w:r>
      <w:r w:rsidR="00CC68A1">
        <w:rPr>
          <w:rFonts w:ascii="Arial" w:hAnsi="Arial" w:cs="Arial"/>
        </w:rPr>
        <w:t>.</w:t>
      </w:r>
    </w:p>
    <w:p w:rsidR="000B5E76" w:rsidRDefault="00CC68A1" w:rsidP="00392040">
      <w:pPr>
        <w:spacing w:after="0" w:line="360" w:lineRule="auto"/>
        <w:jc w:val="right"/>
        <w:rPr>
          <w:rFonts w:ascii="Arial" w:hAnsi="Arial" w:cs="Arial"/>
        </w:rPr>
      </w:pPr>
      <w:r>
        <w:rPr>
          <w:rFonts w:ascii="Arial" w:hAnsi="Arial" w:cs="Arial"/>
        </w:rPr>
        <w:t>Montevideo, 30 de enero de 2018</w:t>
      </w:r>
    </w:p>
    <w:p w:rsidR="000B5E76" w:rsidRDefault="000B5E76" w:rsidP="00392040">
      <w:pPr>
        <w:spacing w:after="0" w:line="360" w:lineRule="auto"/>
        <w:jc w:val="right"/>
        <w:rPr>
          <w:rFonts w:ascii="Arial" w:hAnsi="Arial" w:cs="Arial"/>
        </w:rPr>
      </w:pPr>
    </w:p>
    <w:p w:rsidR="000B5E76" w:rsidRDefault="000B5E76" w:rsidP="00392040">
      <w:pPr>
        <w:spacing w:after="0" w:line="360" w:lineRule="auto"/>
        <w:jc w:val="right"/>
        <w:rPr>
          <w:rFonts w:ascii="Arial" w:hAnsi="Arial" w:cs="Arial"/>
        </w:rPr>
      </w:pPr>
    </w:p>
    <w:p w:rsidR="000B5E76" w:rsidRDefault="000B5E76" w:rsidP="00392040">
      <w:pPr>
        <w:spacing w:after="0" w:line="360" w:lineRule="auto"/>
        <w:jc w:val="right"/>
        <w:rPr>
          <w:rFonts w:ascii="Arial" w:hAnsi="Arial" w:cs="Arial"/>
        </w:rPr>
      </w:pPr>
    </w:p>
    <w:p w:rsidR="000B5E76" w:rsidRDefault="000B5E76" w:rsidP="00392040">
      <w:pPr>
        <w:spacing w:after="0" w:line="360" w:lineRule="auto"/>
        <w:jc w:val="right"/>
        <w:rPr>
          <w:rFonts w:ascii="Arial" w:hAnsi="Arial" w:cs="Arial"/>
        </w:rPr>
      </w:pPr>
    </w:p>
    <w:p w:rsidR="000B5E76" w:rsidRDefault="000B5E76" w:rsidP="00392040">
      <w:pPr>
        <w:spacing w:after="0" w:line="360" w:lineRule="auto"/>
        <w:jc w:val="right"/>
        <w:rPr>
          <w:rFonts w:ascii="Arial" w:hAnsi="Arial" w:cs="Arial"/>
        </w:rPr>
      </w:pPr>
    </w:p>
    <w:p w:rsidR="000B5E76" w:rsidRDefault="000B5E76" w:rsidP="00392040">
      <w:pPr>
        <w:spacing w:after="0" w:line="360" w:lineRule="auto"/>
        <w:jc w:val="right"/>
        <w:rPr>
          <w:rFonts w:ascii="Arial" w:hAnsi="Arial" w:cs="Arial"/>
        </w:rPr>
      </w:pPr>
    </w:p>
    <w:p w:rsidR="000B5E76" w:rsidRPr="00E13EA2" w:rsidRDefault="000B5E76" w:rsidP="00CC68A1">
      <w:pPr>
        <w:spacing w:after="0" w:line="360" w:lineRule="auto"/>
        <w:ind w:hanging="284"/>
        <w:rPr>
          <w:rFonts w:ascii="Arial" w:hAnsi="Arial" w:cs="Arial"/>
        </w:rPr>
      </w:pPr>
      <w:proofErr w:type="gramStart"/>
      <w:r>
        <w:rPr>
          <w:rFonts w:ascii="Arial" w:hAnsi="Arial" w:cs="Arial"/>
        </w:rPr>
        <w:t>dc</w:t>
      </w:r>
      <w:proofErr w:type="gramEnd"/>
    </w:p>
    <w:sectPr w:rsidR="000B5E76" w:rsidRPr="00E13EA2" w:rsidSect="00355811">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EA2"/>
    <w:rsid w:val="000B5E76"/>
    <w:rsid w:val="00201CD4"/>
    <w:rsid w:val="002332E2"/>
    <w:rsid w:val="00296D00"/>
    <w:rsid w:val="00355811"/>
    <w:rsid w:val="00513EC6"/>
    <w:rsid w:val="00556079"/>
    <w:rsid w:val="005B7813"/>
    <w:rsid w:val="00636A37"/>
    <w:rsid w:val="007C0E7D"/>
    <w:rsid w:val="008A2DAD"/>
    <w:rsid w:val="00970EDD"/>
    <w:rsid w:val="009B5D72"/>
    <w:rsid w:val="00C45069"/>
    <w:rsid w:val="00CC68A1"/>
    <w:rsid w:val="00DD78FA"/>
    <w:rsid w:val="00E13EA2"/>
    <w:rsid w:val="00FB5D5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EA2"/>
    <w:rPr>
      <w:rFonts w:ascii="Calibri" w:eastAsia="Times New Roman" w:hAnsi="Calibri" w:cs="Times New Roman"/>
      <w:sz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3E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3EA2"/>
    <w:rPr>
      <w:rFonts w:ascii="Calibri" w:eastAsia="Times New Roman" w:hAnsi="Calibri" w:cs="Times New Roman"/>
      <w:sz w:val="24"/>
      <w:lang w:eastAsia="es-UY"/>
    </w:rPr>
  </w:style>
  <w:style w:type="paragraph" w:customStyle="1" w:styleId="ndice11">
    <w:name w:val="Índice 11"/>
    <w:aliases w:val="in1"/>
    <w:basedOn w:val="Normal"/>
    <w:next w:val="Normal"/>
    <w:rsid w:val="00E13EA2"/>
    <w:pPr>
      <w:tabs>
        <w:tab w:val="right" w:pos="3960"/>
      </w:tabs>
      <w:spacing w:before="200" w:after="0" w:line="260" w:lineRule="exact"/>
    </w:pPr>
    <w:rPr>
      <w:rFonts w:ascii="Times" w:hAnsi="Times"/>
      <w:b/>
      <w:sz w:val="22"/>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EA2"/>
    <w:rPr>
      <w:rFonts w:ascii="Calibri" w:eastAsia="Times New Roman" w:hAnsi="Calibri" w:cs="Times New Roman"/>
      <w:sz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3E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3EA2"/>
    <w:rPr>
      <w:rFonts w:ascii="Calibri" w:eastAsia="Times New Roman" w:hAnsi="Calibri" w:cs="Times New Roman"/>
      <w:sz w:val="24"/>
      <w:lang w:eastAsia="es-UY"/>
    </w:rPr>
  </w:style>
  <w:style w:type="paragraph" w:customStyle="1" w:styleId="ndice11">
    <w:name w:val="Índice 11"/>
    <w:aliases w:val="in1"/>
    <w:basedOn w:val="Normal"/>
    <w:next w:val="Normal"/>
    <w:rsid w:val="00E13EA2"/>
    <w:pPr>
      <w:tabs>
        <w:tab w:val="right" w:pos="3960"/>
      </w:tabs>
      <w:spacing w:before="200" w:after="0" w:line="260" w:lineRule="exact"/>
    </w:pPr>
    <w:rPr>
      <w:rFonts w:ascii="Times" w:hAnsi="Times"/>
      <w:b/>
      <w:sz w:val="22"/>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1065</Words>
  <Characters>5862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Patricio Young</dc:creator>
  <cp:lastModifiedBy>Tribunal1</cp:lastModifiedBy>
  <cp:revision>5</cp:revision>
  <cp:lastPrinted>2018-05-02T18:11:00Z</cp:lastPrinted>
  <dcterms:created xsi:type="dcterms:W3CDTF">2018-05-02T18:12:00Z</dcterms:created>
  <dcterms:modified xsi:type="dcterms:W3CDTF">2018-07-19T18:36:00Z</dcterms:modified>
</cp:coreProperties>
</file>