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39" w:rsidRPr="00C61614" w:rsidRDefault="00267B39" w:rsidP="00C61614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1848/18</w:t>
      </w:r>
    </w:p>
    <w:p w:rsidR="00267B39" w:rsidRDefault="00267B3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267B39" w:rsidRDefault="00267B39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267B39" w:rsidRDefault="00267B39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67B39" w:rsidRDefault="00267B39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67B39" w:rsidRDefault="00267B39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67B39" w:rsidRDefault="00267B39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6 DE JUNIO</w:t>
      </w:r>
      <w:r>
        <w:rPr>
          <w:rFonts w:cs="Arial"/>
          <w:b/>
          <w:lang w:val="es-ES_tradnl"/>
        </w:rPr>
        <w:t xml:space="preserve"> </w:t>
      </w:r>
      <w:r>
        <w:rPr>
          <w:rFonts w:ascii="Helvetica" w:hAnsi="Helvetica"/>
          <w:b/>
          <w:lang w:val="es-ES_tradnl"/>
        </w:rPr>
        <w:t>DE 2018</w:t>
      </w:r>
    </w:p>
    <w:p w:rsidR="00267B39" w:rsidRDefault="00267B39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67B39" w:rsidRPr="00267B39" w:rsidRDefault="00267B39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267B39">
        <w:rPr>
          <w:rFonts w:ascii="Helvetica" w:hAnsi="Helvetica"/>
          <w:b/>
        </w:rPr>
        <w:t xml:space="preserve">(E. E. Nº 2018-17-1-0002665, </w:t>
      </w:r>
      <w:proofErr w:type="spellStart"/>
      <w:r w:rsidRPr="00267B39">
        <w:rPr>
          <w:rFonts w:ascii="Helvetica" w:hAnsi="Helvetica"/>
          <w:b/>
        </w:rPr>
        <w:t>Ent</w:t>
      </w:r>
      <w:proofErr w:type="spellEnd"/>
      <w:r w:rsidRPr="00267B39">
        <w:rPr>
          <w:rFonts w:ascii="Helvetica" w:hAnsi="Helvetica"/>
          <w:b/>
        </w:rPr>
        <w:t>. N° 2600/18)</w:t>
      </w:r>
    </w:p>
    <w:p w:rsidR="00267B39" w:rsidRPr="00267B39" w:rsidRDefault="00267B39">
      <w:pPr>
        <w:tabs>
          <w:tab w:val="center" w:pos="4253"/>
        </w:tabs>
        <w:suppressAutoHyphens/>
        <w:jc w:val="center"/>
        <w:rPr>
          <w:rFonts w:cs="Arial"/>
          <w:b/>
        </w:rPr>
      </w:pPr>
    </w:p>
    <w:p w:rsidR="00267B39" w:rsidRDefault="00267B39" w:rsidP="00305CD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63190" w:rsidRPr="00D63190" w:rsidRDefault="00D63190" w:rsidP="00D63190"/>
    <w:p w:rsidR="00D63190" w:rsidRDefault="00D63190" w:rsidP="00AA43C8">
      <w:pPr>
        <w:spacing w:line="360" w:lineRule="auto"/>
        <w:ind w:left="60" w:firstLine="791"/>
        <w:jc w:val="both"/>
      </w:pPr>
      <w:r>
        <w:rPr>
          <w:b/>
          <w:bCs/>
        </w:rPr>
        <w:t xml:space="preserve">VISTO: </w:t>
      </w:r>
      <w:r>
        <w:t>los antecedentes remitidos por el Instituto del Niño y Adolescente del Uruguay (INAU) relacionados con el convenio celebrado con la Asociación Pro-Fundación para las Ciencias Sociales;</w:t>
      </w:r>
    </w:p>
    <w:p w:rsidR="00D63190" w:rsidRDefault="00D63190" w:rsidP="00AA43C8">
      <w:pPr>
        <w:spacing w:line="360" w:lineRule="auto"/>
        <w:ind w:left="60" w:firstLine="791"/>
        <w:jc w:val="both"/>
      </w:pPr>
      <w:r>
        <w:rPr>
          <w:b/>
          <w:bCs/>
        </w:rPr>
        <w:t xml:space="preserve">RESULTANDO: 1) </w:t>
      </w:r>
      <w:r>
        <w:t>que con fecha 22 de diciembre de 2017</w:t>
      </w:r>
      <w:r w:rsidR="00DE01E1">
        <w:t>,</w:t>
      </w:r>
      <w:r>
        <w:t xml:space="preserve"> el INAU  y  la Asociación Pro-Fundación para las Ciencias Sociales celebraron un convenio, cuyo  objeto consiste en que la mencionada Asociación apoye al INAU en la </w:t>
      </w:r>
      <w:proofErr w:type="gramStart"/>
      <w:r>
        <w:t>toma</w:t>
      </w:r>
      <w:proofErr w:type="gramEnd"/>
      <w:r>
        <w:t xml:space="preserve"> de decisiones sobre los dispositivos de recepción de demanda o “puertas de entrada” del sistema de protección del Organismo;</w:t>
      </w:r>
    </w:p>
    <w:p w:rsidR="00D63190" w:rsidRDefault="00D63190" w:rsidP="00AA43C8">
      <w:pPr>
        <w:spacing w:line="360" w:lineRule="auto"/>
        <w:ind w:firstLine="2694"/>
        <w:jc w:val="both"/>
      </w:pPr>
      <w:r w:rsidRPr="00644A67">
        <w:rPr>
          <w:b/>
        </w:rPr>
        <w:t>2)</w:t>
      </w:r>
      <w:r>
        <w:t xml:space="preserve"> que este Tribunal, por Resolución</w:t>
      </w:r>
      <w:r w:rsidR="000E1709">
        <w:t xml:space="preserve"> Nº 332/18</w:t>
      </w:r>
      <w:r>
        <w:t xml:space="preserve"> adoptada el 2</w:t>
      </w:r>
      <w:r w:rsidR="00627B9D">
        <w:t>6</w:t>
      </w:r>
      <w:r>
        <w:t xml:space="preserve"> de </w:t>
      </w:r>
      <w:r w:rsidR="00627B9D">
        <w:t>abril</w:t>
      </w:r>
      <w:r>
        <w:t xml:space="preserve"> de 2018, observó el gasto derivado del convenio referido, en virtud de que el mismo contaba con principio de ejecución, en contravención de lo dispuesto por el </w:t>
      </w:r>
      <w:r w:rsidR="00AA43C8">
        <w:t>L</w:t>
      </w:r>
      <w:r>
        <w:t xml:space="preserve">iteral B) del </w:t>
      </w:r>
      <w:r w:rsidR="00AA43C8">
        <w:t>A</w:t>
      </w:r>
      <w:r>
        <w:t>rtículo 211 de la Constitución de la República;</w:t>
      </w:r>
    </w:p>
    <w:p w:rsidR="00627B9D" w:rsidRDefault="00D63190" w:rsidP="00AA43C8">
      <w:pPr>
        <w:spacing w:line="360" w:lineRule="auto"/>
        <w:ind w:firstLine="2694"/>
        <w:jc w:val="both"/>
        <w:rPr>
          <w:rFonts w:cs="Arial"/>
          <w:lang w:val="es-MX"/>
        </w:rPr>
      </w:pPr>
      <w:r>
        <w:rPr>
          <w:b/>
        </w:rPr>
        <w:t>3)</w:t>
      </w:r>
      <w:r>
        <w:t xml:space="preserve"> </w:t>
      </w:r>
      <w:r>
        <w:rPr>
          <w:rFonts w:cs="Arial"/>
          <w:lang w:val="es-MX"/>
        </w:rPr>
        <w:t xml:space="preserve">que en esta oportunidad,  se remite por parte del INAU la </w:t>
      </w:r>
      <w:r w:rsidR="00627B9D">
        <w:rPr>
          <w:rFonts w:cs="Arial"/>
          <w:lang w:val="es-MX"/>
        </w:rPr>
        <w:t>Resolución</w:t>
      </w:r>
      <w:r>
        <w:rPr>
          <w:rFonts w:cs="Arial"/>
          <w:lang w:val="es-MX"/>
        </w:rPr>
        <w:t xml:space="preserve">  Nº 1402/18  dictada por su </w:t>
      </w:r>
      <w:r w:rsidR="00627B9D">
        <w:rPr>
          <w:rFonts w:cs="Arial"/>
          <w:lang w:val="es-MX"/>
        </w:rPr>
        <w:t>Directorio</w:t>
      </w:r>
      <w:r>
        <w:rPr>
          <w:rFonts w:cs="Arial"/>
          <w:lang w:val="es-MX"/>
        </w:rPr>
        <w:t xml:space="preserve">  el</w:t>
      </w:r>
      <w:r w:rsidR="00627B9D">
        <w:rPr>
          <w:rFonts w:cs="Arial"/>
          <w:lang w:val="es-MX"/>
        </w:rPr>
        <w:t xml:space="preserve"> 9 de mayo de 2018, por la cual </w:t>
      </w:r>
      <w:r>
        <w:rPr>
          <w:rFonts w:cs="Arial"/>
          <w:lang w:val="es-MX"/>
        </w:rPr>
        <w:t>se disp</w:t>
      </w:r>
      <w:r w:rsidR="00627B9D">
        <w:rPr>
          <w:rFonts w:cs="Arial"/>
          <w:lang w:val="es-MX"/>
        </w:rPr>
        <w:t>one</w:t>
      </w:r>
      <w:r>
        <w:rPr>
          <w:rFonts w:cs="Arial"/>
          <w:lang w:val="es-MX"/>
        </w:rPr>
        <w:t xml:space="preserve"> reiterar el gasto observado en virtud </w:t>
      </w:r>
      <w:r w:rsidR="00627B9D">
        <w:rPr>
          <w:rFonts w:cs="Arial"/>
          <w:lang w:val="es-MX"/>
        </w:rPr>
        <w:t>que, según se expresa,  el producto de emergente del convenio contribuirá a la toma de decisiones efectivas direccionando las acciones realizadas por los dispositivos de puertas de entrada;</w:t>
      </w:r>
    </w:p>
    <w:p w:rsidR="00D63190" w:rsidRDefault="00D63190" w:rsidP="00AA43C8">
      <w:pPr>
        <w:pStyle w:val="Textoindependiente"/>
        <w:ind w:firstLine="851"/>
        <w:rPr>
          <w:rFonts w:cs="Arial"/>
          <w:lang w:val="es-MX"/>
        </w:rPr>
      </w:pPr>
      <w:r>
        <w:rPr>
          <w:b/>
          <w:bCs/>
        </w:rPr>
        <w:t>CONSIDERANDO:</w:t>
      </w:r>
      <w:r>
        <w:rPr>
          <w:rFonts w:cs="Arial"/>
          <w:lang w:val="es-MX"/>
        </w:rPr>
        <w:t xml:space="preserve"> </w:t>
      </w:r>
      <w:r w:rsidRPr="000B7422">
        <w:rPr>
          <w:rFonts w:cs="Arial"/>
          <w:b/>
          <w:bCs/>
          <w:lang w:val="es-MX"/>
        </w:rPr>
        <w:t xml:space="preserve">1) </w:t>
      </w:r>
      <w:r w:rsidRPr="000B7422">
        <w:rPr>
          <w:rFonts w:cs="Arial"/>
          <w:lang w:val="es-MX"/>
        </w:rPr>
        <w:t>que el Artículo 475 de la Ley 17.296 de 21</w:t>
      </w:r>
      <w:r w:rsidR="003528D8">
        <w:rPr>
          <w:rFonts w:cs="Arial"/>
          <w:lang w:val="es-MX"/>
        </w:rPr>
        <w:t xml:space="preserve"> de febrero de 2001</w:t>
      </w:r>
      <w:r w:rsidRPr="000B7422">
        <w:rPr>
          <w:rFonts w:cs="Arial"/>
          <w:lang w:val="es-MX"/>
        </w:rPr>
        <w:t>, establece que los Ordenadores de gastos o pagos, al ejercer la facultad de insistencia o reiteración que les acuerda el Artículo 211 Literal B) de la Constitución de la República, deben hacerlo en forma fundada, detallando los motivos que a su juicio justifican seguir el curso del gasto o pago;</w:t>
      </w:r>
    </w:p>
    <w:p w:rsidR="00D63190" w:rsidRPr="000B7422" w:rsidRDefault="00D63190" w:rsidP="00AA43C8">
      <w:pPr>
        <w:pStyle w:val="Textoindependiente"/>
        <w:ind w:firstLine="2977"/>
        <w:rPr>
          <w:rFonts w:cs="Arial"/>
          <w:lang w:val="es-MX"/>
        </w:rPr>
      </w:pPr>
      <w:r w:rsidRPr="000B7422">
        <w:rPr>
          <w:rFonts w:cs="Arial"/>
          <w:b/>
          <w:lang w:val="es-MX"/>
        </w:rPr>
        <w:lastRenderedPageBreak/>
        <w:t>2)</w:t>
      </w:r>
      <w:r w:rsidRPr="000B7422">
        <w:rPr>
          <w:rFonts w:cs="Arial"/>
          <w:lang w:val="es-MX"/>
        </w:rPr>
        <w:t xml:space="preserve"> que </w:t>
      </w:r>
      <w:r>
        <w:rPr>
          <w:rFonts w:cs="Arial"/>
          <w:lang w:val="es-MX"/>
        </w:rPr>
        <w:t>e</w:t>
      </w:r>
      <w:r w:rsidRPr="000B7422">
        <w:rPr>
          <w:rFonts w:cs="Arial"/>
          <w:lang w:val="es-MX"/>
        </w:rPr>
        <w:t>l argumento esgrimido por la Administración para reiterar el gasto en cuestión refiere a su conveniencia y no a la legalidad del mismo;</w:t>
      </w:r>
    </w:p>
    <w:p w:rsidR="00D63190" w:rsidRPr="000B7422" w:rsidRDefault="00D63190" w:rsidP="00AA43C8">
      <w:pPr>
        <w:pStyle w:val="Textoindependiente"/>
        <w:ind w:firstLine="851"/>
        <w:rPr>
          <w:rFonts w:cs="Arial"/>
        </w:rPr>
      </w:pPr>
      <w:r w:rsidRPr="000B7422">
        <w:rPr>
          <w:rFonts w:cs="Arial"/>
          <w:b/>
          <w:bCs/>
        </w:rPr>
        <w:t>ATENTO</w:t>
      </w:r>
      <w:r w:rsidR="00AA43C8">
        <w:rPr>
          <w:rFonts w:cs="Arial"/>
          <w:b/>
          <w:bCs/>
        </w:rPr>
        <w:t>:</w:t>
      </w:r>
      <w:r w:rsidRPr="000B7422">
        <w:rPr>
          <w:rFonts w:cs="Arial"/>
          <w:b/>
          <w:bCs/>
        </w:rPr>
        <w:t xml:space="preserve"> </w:t>
      </w:r>
      <w:r w:rsidRPr="000B7422">
        <w:rPr>
          <w:rFonts w:cs="Arial"/>
        </w:rPr>
        <w:t xml:space="preserve">a lo precedentemente expuesto y a lo establecido por </w:t>
      </w:r>
      <w:r>
        <w:rPr>
          <w:rFonts w:cs="Arial"/>
        </w:rPr>
        <w:t>e</w:t>
      </w:r>
      <w:r w:rsidRPr="000B7422">
        <w:rPr>
          <w:rFonts w:cs="Arial"/>
        </w:rPr>
        <w:t xml:space="preserve">l </w:t>
      </w:r>
      <w:r w:rsidR="00AA43C8">
        <w:rPr>
          <w:rFonts w:cs="Arial"/>
        </w:rPr>
        <w:t>A</w:t>
      </w:r>
      <w:r w:rsidRPr="000B7422">
        <w:rPr>
          <w:rFonts w:cs="Arial"/>
        </w:rPr>
        <w:t>rt</w:t>
      </w:r>
      <w:r>
        <w:rPr>
          <w:rFonts w:cs="Arial"/>
        </w:rPr>
        <w:t>ículo</w:t>
      </w:r>
      <w:r w:rsidRPr="000B7422">
        <w:rPr>
          <w:rFonts w:cs="Arial"/>
        </w:rPr>
        <w:t xml:space="preserve"> 211 </w:t>
      </w:r>
      <w:r w:rsidR="00AA43C8">
        <w:rPr>
          <w:rFonts w:cs="Arial"/>
        </w:rPr>
        <w:t>L</w:t>
      </w:r>
      <w:r w:rsidRPr="000B7422">
        <w:rPr>
          <w:rFonts w:cs="Arial"/>
        </w:rPr>
        <w:t xml:space="preserve">iteral B) de la Constitución de la República; </w:t>
      </w:r>
    </w:p>
    <w:p w:rsidR="00D63190" w:rsidRPr="000B7422" w:rsidRDefault="00D63190" w:rsidP="00D63190">
      <w:pPr>
        <w:pStyle w:val="Textoindependiente"/>
        <w:jc w:val="center"/>
        <w:rPr>
          <w:rFonts w:cs="Arial"/>
          <w:b/>
          <w:bCs/>
        </w:rPr>
      </w:pPr>
      <w:r w:rsidRPr="000B7422">
        <w:rPr>
          <w:rFonts w:cs="Arial"/>
          <w:b/>
          <w:bCs/>
        </w:rPr>
        <w:t>EL TRIBUNAL ACUERDA</w:t>
      </w:r>
    </w:p>
    <w:p w:rsidR="00D63190" w:rsidRPr="000B7422" w:rsidRDefault="00AA43C8" w:rsidP="00AA43C8">
      <w:pPr>
        <w:spacing w:line="360" w:lineRule="auto"/>
        <w:rPr>
          <w:rFonts w:cs="Arial"/>
          <w:lang w:val="es-ES_tradnl"/>
        </w:rPr>
      </w:pPr>
      <w:r w:rsidRPr="00AA43C8">
        <w:rPr>
          <w:rFonts w:cs="Arial"/>
          <w:b/>
          <w:lang w:val="es-MX"/>
        </w:rPr>
        <w:t>1)</w:t>
      </w:r>
      <w:r>
        <w:rPr>
          <w:rFonts w:cs="Arial"/>
          <w:lang w:val="es-MX"/>
        </w:rPr>
        <w:t xml:space="preserve"> </w:t>
      </w:r>
      <w:r w:rsidR="00D63190" w:rsidRPr="000B7422">
        <w:rPr>
          <w:rFonts w:cs="Arial"/>
          <w:lang w:val="es-MX"/>
        </w:rPr>
        <w:t xml:space="preserve">Mantener la observación formulada con fecha </w:t>
      </w:r>
      <w:r w:rsidR="00627B9D">
        <w:rPr>
          <w:rFonts w:cs="Arial"/>
          <w:lang w:val="es-MX"/>
        </w:rPr>
        <w:t>26</w:t>
      </w:r>
      <w:r w:rsidR="00D63190" w:rsidRPr="000B7422">
        <w:rPr>
          <w:rFonts w:cs="Arial"/>
          <w:lang w:val="es-MX"/>
        </w:rPr>
        <w:t xml:space="preserve"> de</w:t>
      </w:r>
      <w:r w:rsidR="00D63190">
        <w:rPr>
          <w:rFonts w:cs="Arial"/>
          <w:lang w:val="es-MX"/>
        </w:rPr>
        <w:t xml:space="preserve"> </w:t>
      </w:r>
      <w:r w:rsidR="00627B9D">
        <w:rPr>
          <w:rFonts w:cs="Arial"/>
          <w:lang w:val="es-MX"/>
        </w:rPr>
        <w:t>abril</w:t>
      </w:r>
      <w:r w:rsidR="00D63190" w:rsidRPr="000B7422">
        <w:rPr>
          <w:rFonts w:cs="Arial"/>
          <w:lang w:val="es-MX"/>
        </w:rPr>
        <w:t xml:space="preserve"> de 201</w:t>
      </w:r>
      <w:r w:rsidR="00627B9D">
        <w:rPr>
          <w:rFonts w:cs="Arial"/>
          <w:lang w:val="es-MX"/>
        </w:rPr>
        <w:t>8</w:t>
      </w:r>
      <w:r w:rsidR="00D63190" w:rsidRPr="000B7422">
        <w:rPr>
          <w:rFonts w:cs="Arial"/>
          <w:lang w:val="es-ES_tradnl"/>
        </w:rPr>
        <w:t>;</w:t>
      </w:r>
    </w:p>
    <w:p w:rsidR="00AA43C8" w:rsidRDefault="00D63190" w:rsidP="00D63190">
      <w:pPr>
        <w:spacing w:line="360" w:lineRule="auto"/>
        <w:jc w:val="both"/>
        <w:rPr>
          <w:rFonts w:cs="Arial"/>
          <w:lang w:val="es-MX"/>
        </w:rPr>
      </w:pPr>
      <w:r w:rsidRPr="000B7422">
        <w:rPr>
          <w:rFonts w:cs="Arial"/>
          <w:b/>
          <w:bCs/>
          <w:lang w:val="es-MX"/>
        </w:rPr>
        <w:t>2)</w:t>
      </w:r>
      <w:r w:rsidRPr="000B7422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 xml:space="preserve"> </w:t>
      </w:r>
      <w:r w:rsidR="00AA43C8">
        <w:rPr>
          <w:rFonts w:cs="Arial"/>
          <w:lang w:val="es-MX"/>
        </w:rPr>
        <w:t>Oficiar a la Administración actuante;</w:t>
      </w:r>
    </w:p>
    <w:p w:rsidR="00D63190" w:rsidRPr="000B7422" w:rsidRDefault="00AA43C8" w:rsidP="00D63190">
      <w:pPr>
        <w:spacing w:line="360" w:lineRule="auto"/>
        <w:jc w:val="both"/>
        <w:rPr>
          <w:rFonts w:cs="Arial"/>
          <w:lang w:val="es-MX"/>
        </w:rPr>
      </w:pPr>
      <w:r w:rsidRPr="00AA43C8">
        <w:rPr>
          <w:rFonts w:cs="Arial"/>
          <w:b/>
          <w:lang w:val="es-MX"/>
        </w:rPr>
        <w:t>3)</w:t>
      </w:r>
      <w:r>
        <w:rPr>
          <w:rFonts w:cs="Arial"/>
          <w:lang w:val="es-MX"/>
        </w:rPr>
        <w:t xml:space="preserve"> </w:t>
      </w:r>
      <w:r w:rsidR="00D63190" w:rsidRPr="000B7422">
        <w:rPr>
          <w:rFonts w:cs="Arial"/>
          <w:lang w:val="es-MX"/>
        </w:rPr>
        <w:t>Dar cuenta a la Asamblea General</w:t>
      </w:r>
      <w:r>
        <w:rPr>
          <w:rFonts w:cs="Arial"/>
          <w:lang w:val="es-MX"/>
        </w:rPr>
        <w:t>.</w:t>
      </w:r>
      <w:bookmarkStart w:id="0" w:name="_GoBack"/>
      <w:bookmarkEnd w:id="0"/>
      <w:r w:rsidR="00D63190" w:rsidRPr="000B7422">
        <w:rPr>
          <w:rFonts w:cs="Arial"/>
          <w:lang w:val="es-MX"/>
        </w:rPr>
        <w:t xml:space="preserve"> </w:t>
      </w:r>
    </w:p>
    <w:p w:rsidR="00D63190" w:rsidRPr="000B7422" w:rsidRDefault="00D63190" w:rsidP="00D63190">
      <w:pPr>
        <w:spacing w:line="360" w:lineRule="auto"/>
        <w:jc w:val="both"/>
        <w:rPr>
          <w:rFonts w:cs="Arial"/>
          <w:lang w:val="es-ES_tradnl"/>
        </w:rPr>
      </w:pPr>
    </w:p>
    <w:p w:rsidR="00D63190" w:rsidRPr="000B7422" w:rsidRDefault="00D63190" w:rsidP="00D63190">
      <w:pPr>
        <w:pStyle w:val="Textoindependiente"/>
        <w:rPr>
          <w:rFonts w:cs="Arial"/>
        </w:rPr>
      </w:pPr>
    </w:p>
    <w:p w:rsidR="00D63190" w:rsidRDefault="00AA43C8" w:rsidP="00D63190">
      <w:proofErr w:type="spellStart"/>
      <w:proofErr w:type="gramStart"/>
      <w:r>
        <w:t>ag</w:t>
      </w:r>
      <w:proofErr w:type="spellEnd"/>
      <w:proofErr w:type="gramEnd"/>
    </w:p>
    <w:p w:rsidR="00DF32CA" w:rsidRDefault="00DF32CA"/>
    <w:sectPr w:rsidR="00DF32CA" w:rsidSect="00267B39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030F1"/>
    <w:multiLevelType w:val="hybridMultilevel"/>
    <w:tmpl w:val="27CAEF84"/>
    <w:lvl w:ilvl="0" w:tplc="B8F295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90"/>
    <w:rsid w:val="000E1709"/>
    <w:rsid w:val="00193C12"/>
    <w:rsid w:val="00267B39"/>
    <w:rsid w:val="003528D8"/>
    <w:rsid w:val="005C6660"/>
    <w:rsid w:val="005D7A3E"/>
    <w:rsid w:val="005F54EE"/>
    <w:rsid w:val="00627B9D"/>
    <w:rsid w:val="00AA43C8"/>
    <w:rsid w:val="00D63190"/>
    <w:rsid w:val="00DE01E1"/>
    <w:rsid w:val="00D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19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190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D63190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31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19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6319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D63190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190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31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A4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19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190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D63190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31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19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6319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D63190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190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31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A4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5</cp:revision>
  <dcterms:created xsi:type="dcterms:W3CDTF">2018-06-06T19:30:00Z</dcterms:created>
  <dcterms:modified xsi:type="dcterms:W3CDTF">2018-06-08T17:54:00Z</dcterms:modified>
</cp:coreProperties>
</file>