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552" w:rsidRPr="00786EEB" w:rsidRDefault="00DA6552" w:rsidP="00786EEB">
      <w:pPr>
        <w:tabs>
          <w:tab w:val="center" w:pos="4253"/>
        </w:tabs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1898/18</w:t>
      </w:r>
    </w:p>
    <w:p w:rsidR="00DA6552" w:rsidRDefault="00DA6552" w:rsidP="00786EEB">
      <w:pPr>
        <w:tabs>
          <w:tab w:val="center" w:pos="4253"/>
        </w:tabs>
        <w:jc w:val="right"/>
        <w:rPr>
          <w:rFonts w:cs="Arial"/>
          <w:b/>
          <w:lang w:val="es-ES_tradnl"/>
        </w:rPr>
      </w:pPr>
    </w:p>
    <w:p w:rsidR="00DA6552" w:rsidRPr="00762B34" w:rsidRDefault="00DA6552">
      <w:pPr>
        <w:tabs>
          <w:tab w:val="center" w:pos="4253"/>
        </w:tabs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DA6552" w:rsidRPr="00762B34" w:rsidRDefault="00DA6552">
      <w:pPr>
        <w:tabs>
          <w:tab w:val="left" w:pos="-720"/>
        </w:tabs>
        <w:jc w:val="center"/>
        <w:rPr>
          <w:rFonts w:cs="Arial"/>
          <w:b/>
          <w:lang w:val="es-ES_tradnl"/>
        </w:rPr>
      </w:pPr>
    </w:p>
    <w:p w:rsidR="00DA6552" w:rsidRPr="00762B34" w:rsidRDefault="00DA6552">
      <w:pPr>
        <w:tabs>
          <w:tab w:val="center" w:pos="4253"/>
        </w:tabs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DA6552" w:rsidRPr="00762B34" w:rsidRDefault="00DA6552">
      <w:pPr>
        <w:tabs>
          <w:tab w:val="left" w:pos="-720"/>
        </w:tabs>
        <w:jc w:val="center"/>
        <w:rPr>
          <w:rFonts w:cs="Arial"/>
          <w:b/>
          <w:lang w:val="es-ES_tradnl"/>
        </w:rPr>
      </w:pPr>
    </w:p>
    <w:p w:rsidR="00DA6552" w:rsidRPr="00762B34" w:rsidRDefault="00DA6552">
      <w:pPr>
        <w:tabs>
          <w:tab w:val="center" w:pos="4253"/>
        </w:tabs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6 DE JUNIO </w:t>
      </w:r>
      <w:r>
        <w:rPr>
          <w:rFonts w:ascii="Helvetica" w:hAnsi="Helvetica"/>
          <w:b/>
          <w:lang w:val="es-ES_tradnl"/>
        </w:rPr>
        <w:t>DE 2018</w:t>
      </w:r>
    </w:p>
    <w:p w:rsidR="00DA6552" w:rsidRPr="00762B34" w:rsidRDefault="00DA6552">
      <w:pPr>
        <w:tabs>
          <w:tab w:val="center" w:pos="4253"/>
        </w:tabs>
        <w:jc w:val="center"/>
        <w:rPr>
          <w:rFonts w:cs="Arial"/>
          <w:b/>
          <w:lang w:val="es-ES_tradnl"/>
        </w:rPr>
      </w:pPr>
    </w:p>
    <w:p w:rsidR="00DA6552" w:rsidRPr="00762B34" w:rsidRDefault="00DA6552">
      <w:pPr>
        <w:tabs>
          <w:tab w:val="center" w:pos="4253"/>
        </w:tabs>
        <w:jc w:val="center"/>
        <w:rPr>
          <w:rFonts w:cs="Arial"/>
          <w:b/>
          <w:lang w:val="en-US"/>
        </w:rPr>
      </w:pPr>
      <w:r w:rsidRPr="00762B34">
        <w:rPr>
          <w:rFonts w:cs="Arial"/>
          <w:b/>
          <w:lang w:val="en-US"/>
        </w:rPr>
        <w:t xml:space="preserve">(E. E. Nº </w:t>
      </w:r>
      <w:r>
        <w:rPr>
          <w:rFonts w:cs="Arial"/>
          <w:b/>
          <w:lang w:val="en-US"/>
        </w:rPr>
        <w:t>2018-17-1-0002728</w:t>
      </w:r>
      <w:r w:rsidRPr="00762B34">
        <w:rPr>
          <w:rFonts w:cs="Arial"/>
          <w:b/>
          <w:lang w:val="en-US"/>
        </w:rPr>
        <w:t xml:space="preserve">, </w:t>
      </w:r>
      <w:proofErr w:type="gramStart"/>
      <w:r w:rsidRPr="00762B34">
        <w:rPr>
          <w:rFonts w:cs="Arial"/>
          <w:b/>
          <w:lang w:val="en-US"/>
        </w:rPr>
        <w:t>Ent</w:t>
      </w:r>
      <w:proofErr w:type="gramEnd"/>
      <w:r w:rsidRPr="00762B34">
        <w:rPr>
          <w:rFonts w:cs="Arial"/>
          <w:b/>
          <w:lang w:val="en-US"/>
        </w:rPr>
        <w:t>. N°</w:t>
      </w:r>
      <w:r>
        <w:rPr>
          <w:rFonts w:cs="Arial"/>
          <w:b/>
          <w:lang w:val="en-US"/>
        </w:rPr>
        <w:t xml:space="preserve"> 2032/18</w:t>
      </w:r>
      <w:r w:rsidRPr="00762B34">
        <w:rPr>
          <w:rFonts w:cs="Arial"/>
          <w:b/>
          <w:lang w:val="en-US"/>
        </w:rPr>
        <w:t>)</w:t>
      </w:r>
    </w:p>
    <w:p w:rsidR="00DA6552" w:rsidRDefault="00DA6552">
      <w:pPr>
        <w:tabs>
          <w:tab w:val="center" w:pos="4253"/>
        </w:tabs>
        <w:jc w:val="center"/>
        <w:rPr>
          <w:rFonts w:ascii="Helvetica" w:hAnsi="Helvetica"/>
          <w:b/>
          <w:lang w:val="en-US"/>
        </w:rPr>
      </w:pPr>
    </w:p>
    <w:p w:rsidR="00DA6552" w:rsidRDefault="00DA6552" w:rsidP="00762B34">
      <w:pPr>
        <w:tabs>
          <w:tab w:val="center" w:pos="4253"/>
        </w:tabs>
        <w:jc w:val="right"/>
        <w:rPr>
          <w:spacing w:val="-3"/>
          <w:lang w:val="en-US"/>
        </w:rPr>
      </w:pPr>
    </w:p>
    <w:p w:rsidR="009A46B4" w:rsidRDefault="009A46B4" w:rsidP="00DA6552">
      <w:pPr>
        <w:spacing w:line="360" w:lineRule="auto"/>
        <w:ind w:firstLine="708"/>
        <w:jc w:val="both"/>
      </w:pPr>
      <w:r>
        <w:rPr>
          <w:b/>
          <w:bCs/>
        </w:rPr>
        <w:t>VISTO</w:t>
      </w:r>
      <w:r>
        <w:t xml:space="preserve">: las actuaciones remitidas por el </w:t>
      </w:r>
      <w:r>
        <w:rPr>
          <w:rFonts w:cs="Arial"/>
          <w:lang w:val="es-MX"/>
        </w:rPr>
        <w:t xml:space="preserve">Ministerio de Industria, </w:t>
      </w:r>
      <w:r w:rsidR="00B74F07">
        <w:rPr>
          <w:rFonts w:cs="Arial"/>
          <w:lang w:val="es-MX"/>
        </w:rPr>
        <w:t>E</w:t>
      </w:r>
      <w:r>
        <w:rPr>
          <w:rFonts w:cs="Arial"/>
          <w:lang w:val="es-MX"/>
        </w:rPr>
        <w:t>nergía y Minería (M.I.E.M.)</w:t>
      </w:r>
      <w:r>
        <w:t>, relacionadas con el convenio marco a celebrar con la Universidad de la Rep</w:t>
      </w:r>
      <w:r w:rsidR="00B74F07">
        <w:t>ú</w:t>
      </w:r>
      <w:r>
        <w:t>blica</w:t>
      </w:r>
      <w:r w:rsidR="00B74F07">
        <w:t xml:space="preserve"> (U.D.E.L.A.R.)</w:t>
      </w:r>
      <w:r>
        <w:t xml:space="preserve">, la Cámara de Industrias del Uruguay </w:t>
      </w:r>
      <w:r w:rsidR="00B74F07">
        <w:t xml:space="preserve">(C.I.U.) </w:t>
      </w:r>
      <w:r>
        <w:t>y la Agencia Nacional de Desarrollo</w:t>
      </w:r>
      <w:r w:rsidR="00B74F07">
        <w:t xml:space="preserve"> (A.N.D.E.)</w:t>
      </w:r>
      <w:r>
        <w:t>;</w:t>
      </w:r>
    </w:p>
    <w:p w:rsidR="00F62019" w:rsidRPr="00BD0154" w:rsidRDefault="009A46B4" w:rsidP="00DA6552">
      <w:pPr>
        <w:tabs>
          <w:tab w:val="left" w:pos="1800"/>
        </w:tabs>
        <w:spacing w:line="360" w:lineRule="auto"/>
        <w:ind w:firstLine="709"/>
        <w:jc w:val="both"/>
        <w:rPr>
          <w:bCs/>
        </w:rPr>
      </w:pPr>
      <w:r>
        <w:rPr>
          <w:b/>
          <w:bCs/>
        </w:rPr>
        <w:t>RESULTANDO: 1)</w:t>
      </w:r>
      <w:r w:rsidR="00F62019">
        <w:rPr>
          <w:b/>
          <w:bCs/>
        </w:rPr>
        <w:t xml:space="preserve"> </w:t>
      </w:r>
      <w:r w:rsidR="00F62019" w:rsidRPr="00BD0154">
        <w:rPr>
          <w:bCs/>
        </w:rPr>
        <w:t xml:space="preserve">que </w:t>
      </w:r>
      <w:r w:rsidR="00B74F07">
        <w:rPr>
          <w:bCs/>
        </w:rPr>
        <w:t xml:space="preserve">según se señala, </w:t>
      </w:r>
      <w:r w:rsidR="00F62019" w:rsidRPr="00BD0154">
        <w:rPr>
          <w:bCs/>
        </w:rPr>
        <w:t>con fecha 12/11/10, el M</w:t>
      </w:r>
      <w:r w:rsidR="00B74F07">
        <w:rPr>
          <w:bCs/>
        </w:rPr>
        <w:t>.</w:t>
      </w:r>
      <w:r w:rsidR="00F62019" w:rsidRPr="00BD0154">
        <w:rPr>
          <w:bCs/>
        </w:rPr>
        <w:t>I</w:t>
      </w:r>
      <w:r w:rsidR="00B74F07">
        <w:rPr>
          <w:bCs/>
        </w:rPr>
        <w:t>.</w:t>
      </w:r>
      <w:r w:rsidR="00F62019" w:rsidRPr="00BD0154">
        <w:rPr>
          <w:bCs/>
        </w:rPr>
        <w:t>E</w:t>
      </w:r>
      <w:r w:rsidR="00B74F07">
        <w:rPr>
          <w:bCs/>
        </w:rPr>
        <w:t>.</w:t>
      </w:r>
      <w:r w:rsidR="00F62019" w:rsidRPr="00BD0154">
        <w:rPr>
          <w:bCs/>
        </w:rPr>
        <w:t>M</w:t>
      </w:r>
      <w:r w:rsidR="00B74F07">
        <w:rPr>
          <w:bCs/>
        </w:rPr>
        <w:t>.</w:t>
      </w:r>
      <w:r w:rsidR="00F62019" w:rsidRPr="00BD0154">
        <w:rPr>
          <w:bCs/>
        </w:rPr>
        <w:t xml:space="preserve">, </w:t>
      </w:r>
      <w:r w:rsidR="00B74F07">
        <w:rPr>
          <w:bCs/>
        </w:rPr>
        <w:t xml:space="preserve">la </w:t>
      </w:r>
      <w:r w:rsidR="00F62019" w:rsidRPr="00BD0154">
        <w:rPr>
          <w:bCs/>
        </w:rPr>
        <w:t>U</w:t>
      </w:r>
      <w:r w:rsidR="00B74F07">
        <w:rPr>
          <w:bCs/>
        </w:rPr>
        <w:t>.</w:t>
      </w:r>
      <w:r w:rsidR="00F62019" w:rsidRPr="00BD0154">
        <w:rPr>
          <w:bCs/>
        </w:rPr>
        <w:t>D</w:t>
      </w:r>
      <w:r w:rsidR="00B74F07">
        <w:rPr>
          <w:bCs/>
        </w:rPr>
        <w:t>.</w:t>
      </w:r>
      <w:r w:rsidR="00F62019" w:rsidRPr="00BD0154">
        <w:rPr>
          <w:bCs/>
        </w:rPr>
        <w:t>E</w:t>
      </w:r>
      <w:r w:rsidR="00B74F07">
        <w:rPr>
          <w:bCs/>
        </w:rPr>
        <w:t>.</w:t>
      </w:r>
      <w:r w:rsidR="00F62019" w:rsidRPr="00BD0154">
        <w:rPr>
          <w:bCs/>
        </w:rPr>
        <w:t>L</w:t>
      </w:r>
      <w:r w:rsidR="00B74F07">
        <w:rPr>
          <w:bCs/>
        </w:rPr>
        <w:t>.</w:t>
      </w:r>
      <w:r w:rsidR="00F62019" w:rsidRPr="00BD0154">
        <w:rPr>
          <w:bCs/>
        </w:rPr>
        <w:t>A</w:t>
      </w:r>
      <w:r w:rsidR="00B74F07">
        <w:rPr>
          <w:bCs/>
        </w:rPr>
        <w:t>.</w:t>
      </w:r>
      <w:r w:rsidR="00F62019" w:rsidRPr="00BD0154">
        <w:rPr>
          <w:bCs/>
        </w:rPr>
        <w:t>R</w:t>
      </w:r>
      <w:r w:rsidR="00B74F07">
        <w:rPr>
          <w:bCs/>
        </w:rPr>
        <w:t>.</w:t>
      </w:r>
      <w:r w:rsidR="00F62019" w:rsidRPr="00BD0154">
        <w:rPr>
          <w:bCs/>
        </w:rPr>
        <w:t xml:space="preserve"> y el C</w:t>
      </w:r>
      <w:r w:rsidR="00B74F07">
        <w:rPr>
          <w:bCs/>
        </w:rPr>
        <w:t>.</w:t>
      </w:r>
      <w:r w:rsidR="00F62019" w:rsidRPr="00BD0154">
        <w:rPr>
          <w:bCs/>
        </w:rPr>
        <w:t>I</w:t>
      </w:r>
      <w:r w:rsidR="00B74F07">
        <w:rPr>
          <w:bCs/>
        </w:rPr>
        <w:t>.</w:t>
      </w:r>
      <w:r w:rsidR="00F62019" w:rsidRPr="00BD0154">
        <w:rPr>
          <w:bCs/>
        </w:rPr>
        <w:t>U</w:t>
      </w:r>
      <w:r w:rsidR="00B74F07">
        <w:rPr>
          <w:bCs/>
        </w:rPr>
        <w:t>.</w:t>
      </w:r>
      <w:r w:rsidR="00F62019" w:rsidRPr="00BD0154">
        <w:rPr>
          <w:bCs/>
        </w:rPr>
        <w:t xml:space="preserve"> suscribieron un convenio con el objeto de realizar una </w:t>
      </w:r>
      <w:r w:rsidR="008C0C23" w:rsidRPr="00BD0154">
        <w:rPr>
          <w:bCs/>
        </w:rPr>
        <w:t>investigación</w:t>
      </w:r>
      <w:r w:rsidR="00F62019" w:rsidRPr="00BD0154">
        <w:rPr>
          <w:bCs/>
        </w:rPr>
        <w:t xml:space="preserve"> sobre las capacidades, </w:t>
      </w:r>
      <w:r w:rsidR="008C0C23" w:rsidRPr="00BD0154">
        <w:rPr>
          <w:bCs/>
        </w:rPr>
        <w:t>ne</w:t>
      </w:r>
      <w:r w:rsidR="00F62019" w:rsidRPr="00BD0154">
        <w:rPr>
          <w:bCs/>
        </w:rPr>
        <w:t>cesidades y oportu</w:t>
      </w:r>
      <w:r w:rsidR="008C0C23" w:rsidRPr="00BD0154">
        <w:rPr>
          <w:bCs/>
        </w:rPr>
        <w:t>n</w:t>
      </w:r>
      <w:r w:rsidR="00F62019" w:rsidRPr="00BD0154">
        <w:rPr>
          <w:bCs/>
        </w:rPr>
        <w:t xml:space="preserve">idades de la industria </w:t>
      </w:r>
      <w:r w:rsidR="008C0C23" w:rsidRPr="00BD0154">
        <w:rPr>
          <w:bCs/>
        </w:rPr>
        <w:t>uruguaya</w:t>
      </w:r>
      <w:r w:rsidR="00F62019" w:rsidRPr="00BD0154">
        <w:rPr>
          <w:bCs/>
        </w:rPr>
        <w:t xml:space="preserve"> en materia tecnología e innovación en </w:t>
      </w:r>
      <w:r w:rsidR="00BD0154" w:rsidRPr="00BD0154">
        <w:rPr>
          <w:bCs/>
        </w:rPr>
        <w:t>los sectores alimentarios, metalúrgicos y plásticos</w:t>
      </w:r>
      <w:r w:rsidR="00F168ED" w:rsidRPr="00BD0154">
        <w:rPr>
          <w:bCs/>
        </w:rPr>
        <w:t xml:space="preserve">. Dicha investigación,  consolidó el </w:t>
      </w:r>
      <w:r w:rsidR="008C0C23" w:rsidRPr="00BD0154">
        <w:rPr>
          <w:bCs/>
        </w:rPr>
        <w:t>interés</w:t>
      </w:r>
      <w:r w:rsidR="00F168ED" w:rsidRPr="00BD0154">
        <w:rPr>
          <w:bCs/>
        </w:rPr>
        <w:t xml:space="preserve"> de las tr</w:t>
      </w:r>
      <w:r w:rsidR="00BD0154" w:rsidRPr="00BD0154">
        <w:rPr>
          <w:bCs/>
        </w:rPr>
        <w:t>e</w:t>
      </w:r>
      <w:r w:rsidR="00F168ED" w:rsidRPr="00BD0154">
        <w:rPr>
          <w:bCs/>
        </w:rPr>
        <w:t xml:space="preserve">s instituciones en colaborar en el </w:t>
      </w:r>
      <w:r w:rsidR="008C0C23" w:rsidRPr="00BD0154">
        <w:rPr>
          <w:bCs/>
        </w:rPr>
        <w:t>diseño</w:t>
      </w:r>
      <w:r w:rsidR="00F168ED" w:rsidRPr="00BD0154">
        <w:rPr>
          <w:bCs/>
        </w:rPr>
        <w:t xml:space="preserve"> de una </w:t>
      </w:r>
      <w:r w:rsidR="008C0C23" w:rsidRPr="00BD0154">
        <w:rPr>
          <w:bCs/>
        </w:rPr>
        <w:t>herramienta</w:t>
      </w:r>
      <w:r w:rsidR="00F168ED" w:rsidRPr="00BD0154">
        <w:rPr>
          <w:bCs/>
        </w:rPr>
        <w:t xml:space="preserve"> de política industria</w:t>
      </w:r>
      <w:r w:rsidR="00B74F07">
        <w:rPr>
          <w:bCs/>
        </w:rPr>
        <w:t>l</w:t>
      </w:r>
      <w:r w:rsidR="00F168ED" w:rsidRPr="00BD0154">
        <w:rPr>
          <w:bCs/>
        </w:rPr>
        <w:t xml:space="preserve"> que, </w:t>
      </w:r>
      <w:r w:rsidR="008C0C23" w:rsidRPr="00BD0154">
        <w:rPr>
          <w:bCs/>
        </w:rPr>
        <w:t>mediante</w:t>
      </w:r>
      <w:r w:rsidR="00F168ED" w:rsidRPr="00BD0154">
        <w:rPr>
          <w:bCs/>
        </w:rPr>
        <w:t xml:space="preserve"> u</w:t>
      </w:r>
      <w:r w:rsidR="00BD0154" w:rsidRPr="00BD0154">
        <w:rPr>
          <w:bCs/>
        </w:rPr>
        <w:t>n</w:t>
      </w:r>
      <w:r w:rsidR="00F168ED" w:rsidRPr="00BD0154">
        <w:rPr>
          <w:bCs/>
        </w:rPr>
        <w:t>a gestión integrada de carácter interinstitucional</w:t>
      </w:r>
      <w:r w:rsidR="00BD0154" w:rsidRPr="00BD0154">
        <w:rPr>
          <w:bCs/>
        </w:rPr>
        <w:t xml:space="preserve"> </w:t>
      </w:r>
      <w:r w:rsidR="008C0C23" w:rsidRPr="00BD0154">
        <w:rPr>
          <w:bCs/>
        </w:rPr>
        <w:t>Academia</w:t>
      </w:r>
      <w:r w:rsidR="00F168ED" w:rsidRPr="00BD0154">
        <w:rPr>
          <w:bCs/>
        </w:rPr>
        <w:t xml:space="preserve">-Industria-Estado, estimule </w:t>
      </w:r>
      <w:r w:rsidR="008C0C23" w:rsidRPr="00BD0154">
        <w:rPr>
          <w:bCs/>
        </w:rPr>
        <w:t>sistemáticamente</w:t>
      </w:r>
      <w:r w:rsidR="00F168ED" w:rsidRPr="00BD0154">
        <w:rPr>
          <w:bCs/>
        </w:rPr>
        <w:t xml:space="preserve"> la expresión de </w:t>
      </w:r>
      <w:r w:rsidR="00BD0154" w:rsidRPr="00BD0154">
        <w:rPr>
          <w:bCs/>
        </w:rPr>
        <w:t>demandas</w:t>
      </w:r>
      <w:r w:rsidR="00F168ED" w:rsidRPr="00BD0154">
        <w:rPr>
          <w:bCs/>
        </w:rPr>
        <w:t xml:space="preserve"> </w:t>
      </w:r>
      <w:r w:rsidR="008C0C23" w:rsidRPr="00BD0154">
        <w:rPr>
          <w:bCs/>
        </w:rPr>
        <w:t>tecnológicas</w:t>
      </w:r>
      <w:r w:rsidR="00F168ED" w:rsidRPr="00BD0154">
        <w:rPr>
          <w:bCs/>
        </w:rPr>
        <w:t xml:space="preserve"> y de innovación de las empresas uruguayas y su articulación con las </w:t>
      </w:r>
      <w:r w:rsidR="008C0C23" w:rsidRPr="00BD0154">
        <w:rPr>
          <w:bCs/>
        </w:rPr>
        <w:t>capacidades</w:t>
      </w:r>
      <w:r w:rsidR="00F168ED" w:rsidRPr="00BD0154">
        <w:rPr>
          <w:bCs/>
        </w:rPr>
        <w:t xml:space="preserve"> del </w:t>
      </w:r>
      <w:r w:rsidR="008C0C23" w:rsidRPr="00BD0154">
        <w:rPr>
          <w:bCs/>
        </w:rPr>
        <w:t>Sistema</w:t>
      </w:r>
      <w:r w:rsidR="00F168ED" w:rsidRPr="00BD0154">
        <w:rPr>
          <w:bCs/>
        </w:rPr>
        <w:t xml:space="preserve"> Nacional de </w:t>
      </w:r>
      <w:r w:rsidR="008C0C23" w:rsidRPr="00BD0154">
        <w:rPr>
          <w:bCs/>
        </w:rPr>
        <w:t>Transformación</w:t>
      </w:r>
      <w:r w:rsidR="00F168ED" w:rsidRPr="00BD0154">
        <w:rPr>
          <w:bCs/>
        </w:rPr>
        <w:t xml:space="preserve"> Productiva y </w:t>
      </w:r>
      <w:r w:rsidR="00BD0154" w:rsidRPr="00BD0154">
        <w:rPr>
          <w:bCs/>
        </w:rPr>
        <w:t>Competitividad</w:t>
      </w:r>
      <w:r w:rsidR="008C0C23" w:rsidRPr="00BD0154">
        <w:rPr>
          <w:bCs/>
        </w:rPr>
        <w:t>. A efectos de efectivizar dicha herramienta, el 14</w:t>
      </w:r>
      <w:r w:rsidR="00B74F07">
        <w:rPr>
          <w:bCs/>
        </w:rPr>
        <w:t>/8/13</w:t>
      </w:r>
      <w:r w:rsidR="008C0C23" w:rsidRPr="00BD0154">
        <w:rPr>
          <w:bCs/>
        </w:rPr>
        <w:t xml:space="preserve"> se realizó el lanzamiento del Centro de </w:t>
      </w:r>
      <w:proofErr w:type="spellStart"/>
      <w:r w:rsidR="00BD0154" w:rsidRPr="00BD0154">
        <w:rPr>
          <w:bCs/>
        </w:rPr>
        <w:t>E</w:t>
      </w:r>
      <w:r w:rsidR="008C0C23" w:rsidRPr="00BD0154">
        <w:rPr>
          <w:bCs/>
        </w:rPr>
        <w:t>xtensionismo</w:t>
      </w:r>
      <w:proofErr w:type="spellEnd"/>
      <w:r w:rsidR="008C0C23" w:rsidRPr="00BD0154">
        <w:rPr>
          <w:bCs/>
        </w:rPr>
        <w:t xml:space="preserve"> Industrial (C</w:t>
      </w:r>
      <w:r w:rsidR="00B74F07">
        <w:rPr>
          <w:bCs/>
        </w:rPr>
        <w:t>.</w:t>
      </w:r>
      <w:r w:rsidR="008C0C23" w:rsidRPr="00BD0154">
        <w:rPr>
          <w:bCs/>
        </w:rPr>
        <w:t>E</w:t>
      </w:r>
      <w:r w:rsidR="00B74F07">
        <w:rPr>
          <w:bCs/>
        </w:rPr>
        <w:t>.</w:t>
      </w:r>
      <w:r w:rsidR="008C0C23" w:rsidRPr="00BD0154">
        <w:rPr>
          <w:bCs/>
        </w:rPr>
        <w:t>I</w:t>
      </w:r>
      <w:r w:rsidR="00B74F07">
        <w:rPr>
          <w:bCs/>
        </w:rPr>
        <w:t>.</w:t>
      </w:r>
      <w:r w:rsidR="008C0C23" w:rsidRPr="00BD0154">
        <w:rPr>
          <w:bCs/>
        </w:rPr>
        <w:t>), con participación de las autoridades del M</w:t>
      </w:r>
      <w:r w:rsidR="00B74F07">
        <w:rPr>
          <w:bCs/>
        </w:rPr>
        <w:t>.</w:t>
      </w:r>
      <w:r w:rsidR="008C0C23" w:rsidRPr="00BD0154">
        <w:rPr>
          <w:bCs/>
        </w:rPr>
        <w:t>I</w:t>
      </w:r>
      <w:r w:rsidR="00B74F07">
        <w:rPr>
          <w:bCs/>
        </w:rPr>
        <w:t>.</w:t>
      </w:r>
      <w:r w:rsidR="008C0C23" w:rsidRPr="00BD0154">
        <w:rPr>
          <w:bCs/>
        </w:rPr>
        <w:t>E</w:t>
      </w:r>
      <w:r w:rsidR="00B74F07">
        <w:rPr>
          <w:bCs/>
        </w:rPr>
        <w:t>.</w:t>
      </w:r>
      <w:r w:rsidR="008C0C23" w:rsidRPr="00BD0154">
        <w:rPr>
          <w:bCs/>
        </w:rPr>
        <w:t>M</w:t>
      </w:r>
      <w:r w:rsidR="00B74F07">
        <w:rPr>
          <w:bCs/>
        </w:rPr>
        <w:t>.</w:t>
      </w:r>
      <w:r w:rsidR="008C0C23" w:rsidRPr="00BD0154">
        <w:rPr>
          <w:bCs/>
        </w:rPr>
        <w:t>, U</w:t>
      </w:r>
      <w:r w:rsidR="00B74F07">
        <w:rPr>
          <w:bCs/>
        </w:rPr>
        <w:t>.</w:t>
      </w:r>
      <w:r w:rsidR="008C0C23" w:rsidRPr="00BD0154">
        <w:rPr>
          <w:bCs/>
        </w:rPr>
        <w:t>D</w:t>
      </w:r>
      <w:r w:rsidR="00B74F07">
        <w:rPr>
          <w:bCs/>
        </w:rPr>
        <w:t>.</w:t>
      </w:r>
      <w:r w:rsidR="008C0C23" w:rsidRPr="00BD0154">
        <w:rPr>
          <w:bCs/>
        </w:rPr>
        <w:t>E</w:t>
      </w:r>
      <w:r w:rsidR="00B74F07">
        <w:rPr>
          <w:bCs/>
        </w:rPr>
        <w:t>.</w:t>
      </w:r>
      <w:r w:rsidR="008C0C23" w:rsidRPr="00BD0154">
        <w:rPr>
          <w:bCs/>
        </w:rPr>
        <w:t>L</w:t>
      </w:r>
      <w:r w:rsidR="00B74F07">
        <w:rPr>
          <w:bCs/>
        </w:rPr>
        <w:t>.</w:t>
      </w:r>
      <w:r w:rsidR="008C0C23" w:rsidRPr="00BD0154">
        <w:rPr>
          <w:bCs/>
        </w:rPr>
        <w:t>A</w:t>
      </w:r>
      <w:r w:rsidR="00B74F07">
        <w:rPr>
          <w:bCs/>
        </w:rPr>
        <w:t>.</w:t>
      </w:r>
      <w:r w:rsidR="008C0C23" w:rsidRPr="00BD0154">
        <w:rPr>
          <w:bCs/>
        </w:rPr>
        <w:t>R</w:t>
      </w:r>
      <w:r w:rsidR="00B74F07">
        <w:rPr>
          <w:bCs/>
        </w:rPr>
        <w:t>.</w:t>
      </w:r>
      <w:r w:rsidR="008C0C23" w:rsidRPr="00BD0154">
        <w:rPr>
          <w:bCs/>
        </w:rPr>
        <w:t xml:space="preserve"> y C</w:t>
      </w:r>
      <w:r w:rsidR="00B74F07">
        <w:rPr>
          <w:bCs/>
        </w:rPr>
        <w:t>.</w:t>
      </w:r>
      <w:r w:rsidR="008C0C23" w:rsidRPr="00BD0154">
        <w:rPr>
          <w:bCs/>
        </w:rPr>
        <w:t>I</w:t>
      </w:r>
      <w:r w:rsidR="00B74F07">
        <w:rPr>
          <w:bCs/>
        </w:rPr>
        <w:t>.</w:t>
      </w:r>
      <w:r w:rsidR="008C0C23" w:rsidRPr="00BD0154">
        <w:rPr>
          <w:bCs/>
        </w:rPr>
        <w:t>U</w:t>
      </w:r>
      <w:r w:rsidR="00B74F07">
        <w:rPr>
          <w:bCs/>
        </w:rPr>
        <w:t>.</w:t>
      </w:r>
      <w:r w:rsidR="008C0C23" w:rsidRPr="00BD0154">
        <w:rPr>
          <w:bCs/>
        </w:rPr>
        <w:t>;</w:t>
      </w:r>
      <w:r w:rsidR="00F168ED" w:rsidRPr="00BD0154">
        <w:rPr>
          <w:bCs/>
        </w:rPr>
        <w:t xml:space="preserve">  </w:t>
      </w:r>
      <w:r w:rsidR="00F62019" w:rsidRPr="00BD0154">
        <w:rPr>
          <w:bCs/>
        </w:rPr>
        <w:t xml:space="preserve"> </w:t>
      </w:r>
      <w:r w:rsidRPr="00BD0154">
        <w:rPr>
          <w:bCs/>
        </w:rPr>
        <w:t xml:space="preserve"> </w:t>
      </w:r>
    </w:p>
    <w:p w:rsidR="00AD5D66" w:rsidRDefault="008C0C23" w:rsidP="00DA6552">
      <w:pPr>
        <w:tabs>
          <w:tab w:val="left" w:pos="1800"/>
        </w:tabs>
        <w:spacing w:line="360" w:lineRule="auto"/>
        <w:ind w:firstLine="2694"/>
        <w:jc w:val="both"/>
        <w:rPr>
          <w:rFonts w:cs="Arial"/>
          <w:bCs/>
        </w:rPr>
      </w:pPr>
      <w:r w:rsidRPr="00B74F07">
        <w:rPr>
          <w:b/>
        </w:rPr>
        <w:t>2)</w:t>
      </w:r>
      <w:r>
        <w:t xml:space="preserve"> </w:t>
      </w:r>
      <w:r w:rsidR="009A46B4">
        <w:t xml:space="preserve">que </w:t>
      </w:r>
      <w:r>
        <w:t xml:space="preserve">en ese marco, en esta instancia </w:t>
      </w:r>
      <w:r w:rsidR="009A46B4">
        <w:t>el M.I.E.M.</w:t>
      </w:r>
      <w:r w:rsidR="009A46B4">
        <w:rPr>
          <w:rFonts w:cs="Arial"/>
          <w:lang w:val="es-MX"/>
        </w:rPr>
        <w:t xml:space="preserve"> </w:t>
      </w:r>
      <w:r w:rsidR="009A46B4">
        <w:rPr>
          <w:rFonts w:cs="Arial"/>
          <w:bCs/>
        </w:rPr>
        <w:t xml:space="preserve">remite </w:t>
      </w:r>
      <w:r w:rsidR="00043EB4">
        <w:rPr>
          <w:rFonts w:cs="Arial"/>
          <w:bCs/>
        </w:rPr>
        <w:t xml:space="preserve"> proyecto </w:t>
      </w:r>
      <w:r w:rsidR="009A46B4">
        <w:rPr>
          <w:rFonts w:cs="Arial"/>
          <w:bCs/>
        </w:rPr>
        <w:t>convenio</w:t>
      </w:r>
      <w:r w:rsidR="00043EB4">
        <w:rPr>
          <w:rFonts w:cs="Arial"/>
          <w:bCs/>
        </w:rPr>
        <w:t xml:space="preserve"> a </w:t>
      </w:r>
      <w:r>
        <w:rPr>
          <w:rFonts w:cs="Arial"/>
          <w:bCs/>
        </w:rPr>
        <w:t>suscribirse</w:t>
      </w:r>
      <w:r w:rsidR="00043EB4">
        <w:rPr>
          <w:rFonts w:cs="Arial"/>
          <w:bCs/>
        </w:rPr>
        <w:t xml:space="preserve"> con la U</w:t>
      </w:r>
      <w:r w:rsidR="00B74F07">
        <w:rPr>
          <w:rFonts w:cs="Arial"/>
          <w:bCs/>
        </w:rPr>
        <w:t>.</w:t>
      </w:r>
      <w:r w:rsidR="00043EB4">
        <w:rPr>
          <w:rFonts w:cs="Arial"/>
          <w:bCs/>
        </w:rPr>
        <w:t>D</w:t>
      </w:r>
      <w:r w:rsidR="00B74F07">
        <w:rPr>
          <w:rFonts w:cs="Arial"/>
          <w:bCs/>
        </w:rPr>
        <w:t>.</w:t>
      </w:r>
      <w:r w:rsidR="00043EB4">
        <w:rPr>
          <w:rFonts w:cs="Arial"/>
          <w:bCs/>
        </w:rPr>
        <w:t>E</w:t>
      </w:r>
      <w:r w:rsidR="00B74F07">
        <w:rPr>
          <w:rFonts w:cs="Arial"/>
          <w:bCs/>
        </w:rPr>
        <w:t>.</w:t>
      </w:r>
      <w:r w:rsidR="00043EB4">
        <w:rPr>
          <w:rFonts w:cs="Arial"/>
          <w:bCs/>
        </w:rPr>
        <w:t>L</w:t>
      </w:r>
      <w:r w:rsidR="00B74F07">
        <w:rPr>
          <w:rFonts w:cs="Arial"/>
          <w:bCs/>
        </w:rPr>
        <w:t>.</w:t>
      </w:r>
      <w:r w:rsidR="00043EB4">
        <w:rPr>
          <w:rFonts w:cs="Arial"/>
          <w:bCs/>
        </w:rPr>
        <w:t>A</w:t>
      </w:r>
      <w:r w:rsidR="00B74F07">
        <w:rPr>
          <w:rFonts w:cs="Arial"/>
          <w:bCs/>
        </w:rPr>
        <w:t>.</w:t>
      </w:r>
      <w:r w:rsidR="00043EB4">
        <w:rPr>
          <w:rFonts w:cs="Arial"/>
          <w:bCs/>
        </w:rPr>
        <w:t>R</w:t>
      </w:r>
      <w:r w:rsidR="00B74F07">
        <w:rPr>
          <w:rFonts w:cs="Arial"/>
          <w:bCs/>
        </w:rPr>
        <w:t>.</w:t>
      </w:r>
      <w:r w:rsidR="00043EB4">
        <w:rPr>
          <w:rFonts w:cs="Arial"/>
          <w:bCs/>
        </w:rPr>
        <w:t>, A</w:t>
      </w:r>
      <w:r w:rsidR="00B74F07">
        <w:rPr>
          <w:rFonts w:cs="Arial"/>
          <w:bCs/>
        </w:rPr>
        <w:t>.</w:t>
      </w:r>
      <w:r w:rsidR="00043EB4">
        <w:rPr>
          <w:rFonts w:cs="Arial"/>
          <w:bCs/>
        </w:rPr>
        <w:t>N</w:t>
      </w:r>
      <w:r w:rsidR="00B74F07">
        <w:rPr>
          <w:rFonts w:cs="Arial"/>
          <w:bCs/>
        </w:rPr>
        <w:t>.</w:t>
      </w:r>
      <w:r w:rsidR="00043EB4">
        <w:rPr>
          <w:rFonts w:cs="Arial"/>
          <w:bCs/>
        </w:rPr>
        <w:t>D</w:t>
      </w:r>
      <w:r w:rsidR="00B74F07">
        <w:rPr>
          <w:rFonts w:cs="Arial"/>
          <w:bCs/>
        </w:rPr>
        <w:t>.</w:t>
      </w:r>
      <w:r w:rsidR="00043EB4">
        <w:rPr>
          <w:rFonts w:cs="Arial"/>
          <w:bCs/>
        </w:rPr>
        <w:t>E</w:t>
      </w:r>
      <w:r w:rsidR="00B74F07">
        <w:rPr>
          <w:rFonts w:cs="Arial"/>
          <w:bCs/>
        </w:rPr>
        <w:t>.</w:t>
      </w:r>
      <w:r w:rsidR="00043EB4">
        <w:rPr>
          <w:rFonts w:cs="Arial"/>
          <w:bCs/>
        </w:rPr>
        <w:t xml:space="preserve"> y la C</w:t>
      </w:r>
      <w:r w:rsidR="00B74F07">
        <w:rPr>
          <w:rFonts w:cs="Arial"/>
          <w:bCs/>
        </w:rPr>
        <w:t>.</w:t>
      </w:r>
      <w:r w:rsidR="00043EB4">
        <w:rPr>
          <w:rFonts w:cs="Arial"/>
          <w:bCs/>
        </w:rPr>
        <w:t>I</w:t>
      </w:r>
      <w:r w:rsidR="00B74F07">
        <w:rPr>
          <w:rFonts w:cs="Arial"/>
          <w:bCs/>
        </w:rPr>
        <w:t>.</w:t>
      </w:r>
      <w:r w:rsidR="00043EB4">
        <w:rPr>
          <w:rFonts w:cs="Arial"/>
          <w:bCs/>
        </w:rPr>
        <w:t>U</w:t>
      </w:r>
      <w:r w:rsidR="00B74F07">
        <w:rPr>
          <w:rFonts w:cs="Arial"/>
          <w:bCs/>
        </w:rPr>
        <w:t>.</w:t>
      </w:r>
      <w:r w:rsidR="00043EB4">
        <w:rPr>
          <w:rFonts w:cs="Arial"/>
          <w:bCs/>
        </w:rPr>
        <w:t xml:space="preserve">  cuy</w:t>
      </w:r>
      <w:r w:rsidR="00AD5D66">
        <w:rPr>
          <w:rFonts w:cs="Arial"/>
          <w:bCs/>
        </w:rPr>
        <w:t xml:space="preserve">o </w:t>
      </w:r>
      <w:r w:rsidR="00F62019">
        <w:rPr>
          <w:rFonts w:cs="Arial"/>
          <w:bCs/>
        </w:rPr>
        <w:t>objeto</w:t>
      </w:r>
      <w:r w:rsidR="00AD5D66">
        <w:rPr>
          <w:rFonts w:cs="Arial"/>
          <w:bCs/>
        </w:rPr>
        <w:t xml:space="preserve"> consiste en consolidar y potenciar al C</w:t>
      </w:r>
      <w:r w:rsidR="00B74F07">
        <w:rPr>
          <w:rFonts w:cs="Arial"/>
          <w:bCs/>
        </w:rPr>
        <w:t>.</w:t>
      </w:r>
      <w:r w:rsidR="00AD5D66">
        <w:rPr>
          <w:rFonts w:cs="Arial"/>
          <w:bCs/>
        </w:rPr>
        <w:t>E</w:t>
      </w:r>
      <w:r w:rsidR="00B74F07">
        <w:rPr>
          <w:rFonts w:cs="Arial"/>
          <w:bCs/>
        </w:rPr>
        <w:t>.</w:t>
      </w:r>
      <w:r w:rsidR="00AD5D66">
        <w:rPr>
          <w:rFonts w:cs="Arial"/>
          <w:bCs/>
        </w:rPr>
        <w:t>I</w:t>
      </w:r>
      <w:r w:rsidR="00B74F07">
        <w:rPr>
          <w:rFonts w:cs="Arial"/>
          <w:bCs/>
        </w:rPr>
        <w:t>.</w:t>
      </w:r>
      <w:r w:rsidR="00AD5D66">
        <w:rPr>
          <w:rFonts w:cs="Arial"/>
          <w:bCs/>
        </w:rPr>
        <w:t xml:space="preserve"> como </w:t>
      </w:r>
      <w:r w:rsidR="00F62019">
        <w:rPr>
          <w:rFonts w:cs="Arial"/>
          <w:bCs/>
        </w:rPr>
        <w:t>herramienta</w:t>
      </w:r>
      <w:r w:rsidR="00AD5D66">
        <w:rPr>
          <w:rFonts w:cs="Arial"/>
          <w:bCs/>
        </w:rPr>
        <w:t xml:space="preserve"> de </w:t>
      </w:r>
      <w:r w:rsidR="00AD5D66">
        <w:rPr>
          <w:rFonts w:cs="Arial"/>
          <w:bCs/>
        </w:rPr>
        <w:lastRenderedPageBreak/>
        <w:t>política industrial para la detección y articulación d</w:t>
      </w:r>
      <w:r w:rsidR="00B74F07">
        <w:rPr>
          <w:rFonts w:cs="Arial"/>
          <w:bCs/>
        </w:rPr>
        <w:t>e</w:t>
      </w:r>
      <w:r w:rsidR="00AD5D66">
        <w:rPr>
          <w:rFonts w:cs="Arial"/>
          <w:bCs/>
        </w:rPr>
        <w:t xml:space="preserve"> demandas tecnológicas y de innovación de la industria </w:t>
      </w:r>
      <w:r>
        <w:rPr>
          <w:rFonts w:cs="Arial"/>
          <w:bCs/>
        </w:rPr>
        <w:t>uruguaya</w:t>
      </w:r>
      <w:r w:rsidR="00AD5D66">
        <w:rPr>
          <w:rFonts w:cs="Arial"/>
          <w:bCs/>
        </w:rPr>
        <w:t xml:space="preserve">, </w:t>
      </w:r>
      <w:r>
        <w:rPr>
          <w:rFonts w:cs="Arial"/>
          <w:bCs/>
        </w:rPr>
        <w:t>especialmente</w:t>
      </w:r>
      <w:r w:rsidR="00AD5D66">
        <w:rPr>
          <w:rFonts w:cs="Arial"/>
          <w:bCs/>
        </w:rPr>
        <w:t xml:space="preserve"> sus pequeñas y </w:t>
      </w:r>
      <w:r w:rsidR="00BD0154">
        <w:rPr>
          <w:rFonts w:cs="Arial"/>
          <w:bCs/>
        </w:rPr>
        <w:t>medianas</w:t>
      </w:r>
      <w:r w:rsidR="00AD5D66">
        <w:rPr>
          <w:rFonts w:cs="Arial"/>
          <w:bCs/>
        </w:rPr>
        <w:t xml:space="preserve"> empresas y cooperativas de producción, con la oferta de </w:t>
      </w:r>
      <w:r w:rsidR="00BD0154">
        <w:rPr>
          <w:rFonts w:cs="Arial"/>
          <w:bCs/>
        </w:rPr>
        <w:t>conocimientos</w:t>
      </w:r>
      <w:r w:rsidR="00AD5D66">
        <w:rPr>
          <w:rFonts w:cs="Arial"/>
          <w:bCs/>
        </w:rPr>
        <w:t xml:space="preserve"> disponibles en el Pis y la estructura existente de apoyo a la </w:t>
      </w:r>
      <w:r>
        <w:rPr>
          <w:rFonts w:cs="Arial"/>
          <w:bCs/>
        </w:rPr>
        <w:t>competitividad</w:t>
      </w:r>
      <w:r w:rsidR="00AD5D66">
        <w:rPr>
          <w:rFonts w:cs="Arial"/>
          <w:bCs/>
        </w:rPr>
        <w:t>;</w:t>
      </w:r>
    </w:p>
    <w:p w:rsidR="0067519D" w:rsidRDefault="00B74F07" w:rsidP="00DA6552">
      <w:pPr>
        <w:tabs>
          <w:tab w:val="left" w:pos="1800"/>
        </w:tabs>
        <w:spacing w:line="360" w:lineRule="auto"/>
        <w:ind w:firstLine="2694"/>
        <w:jc w:val="both"/>
        <w:rPr>
          <w:rFonts w:cs="Arial"/>
          <w:bCs/>
        </w:rPr>
      </w:pPr>
      <w:r w:rsidRPr="00B74F07">
        <w:rPr>
          <w:rFonts w:cs="Arial"/>
          <w:b/>
          <w:bCs/>
        </w:rPr>
        <w:t>3</w:t>
      </w:r>
      <w:r w:rsidR="00AD5D66" w:rsidRPr="00B74F07">
        <w:rPr>
          <w:rFonts w:cs="Arial"/>
          <w:b/>
          <w:bCs/>
        </w:rPr>
        <w:t>)</w:t>
      </w:r>
      <w:r>
        <w:rPr>
          <w:rFonts w:cs="Arial"/>
          <w:b/>
          <w:bCs/>
        </w:rPr>
        <w:t xml:space="preserve"> </w:t>
      </w:r>
      <w:proofErr w:type="gramStart"/>
      <w:r w:rsidR="00AD5D66">
        <w:rPr>
          <w:rFonts w:cs="Arial"/>
          <w:bCs/>
        </w:rPr>
        <w:t>que</w:t>
      </w:r>
      <w:proofErr w:type="gramEnd"/>
      <w:r w:rsidR="00AD5D66">
        <w:rPr>
          <w:rFonts w:cs="Arial"/>
          <w:bCs/>
        </w:rPr>
        <w:t xml:space="preserve"> en tal sentido, por intermedio del conv</w:t>
      </w:r>
      <w:r w:rsidR="0067519D">
        <w:rPr>
          <w:rFonts w:cs="Arial"/>
          <w:bCs/>
        </w:rPr>
        <w:t xml:space="preserve">enio, las partes se obligan concretamente a: </w:t>
      </w:r>
      <w:r w:rsidR="0067519D" w:rsidRPr="00B74F07">
        <w:rPr>
          <w:rFonts w:cs="Arial"/>
          <w:b/>
          <w:bCs/>
        </w:rPr>
        <w:t>a)</w:t>
      </w:r>
      <w:r w:rsidR="0067519D">
        <w:rPr>
          <w:rFonts w:cs="Arial"/>
          <w:bCs/>
        </w:rPr>
        <w:t xml:space="preserve"> designar un representante para integra</w:t>
      </w:r>
      <w:r>
        <w:rPr>
          <w:rFonts w:cs="Arial"/>
          <w:bCs/>
        </w:rPr>
        <w:t>r</w:t>
      </w:r>
      <w:r w:rsidR="0067519D">
        <w:rPr>
          <w:rFonts w:cs="Arial"/>
          <w:bCs/>
        </w:rPr>
        <w:t xml:space="preserve"> el </w:t>
      </w:r>
      <w:r w:rsidR="00BD0154">
        <w:rPr>
          <w:rFonts w:cs="Arial"/>
          <w:bCs/>
        </w:rPr>
        <w:t>Comité</w:t>
      </w:r>
      <w:r w:rsidR="0067519D">
        <w:rPr>
          <w:rFonts w:cs="Arial"/>
          <w:bCs/>
        </w:rPr>
        <w:t xml:space="preserve"> </w:t>
      </w:r>
      <w:r w:rsidR="008C0C23">
        <w:rPr>
          <w:rFonts w:cs="Arial"/>
          <w:bCs/>
        </w:rPr>
        <w:t>Directivo</w:t>
      </w:r>
      <w:r w:rsidR="0067519D">
        <w:rPr>
          <w:rFonts w:cs="Arial"/>
          <w:bCs/>
        </w:rPr>
        <w:t xml:space="preserve"> del C</w:t>
      </w:r>
      <w:r>
        <w:rPr>
          <w:rFonts w:cs="Arial"/>
          <w:bCs/>
        </w:rPr>
        <w:t>.</w:t>
      </w:r>
      <w:r w:rsidR="0067519D">
        <w:rPr>
          <w:rFonts w:cs="Arial"/>
          <w:bCs/>
        </w:rPr>
        <w:t>E</w:t>
      </w:r>
      <w:r>
        <w:rPr>
          <w:rFonts w:cs="Arial"/>
          <w:bCs/>
        </w:rPr>
        <w:t>.</w:t>
      </w:r>
      <w:r w:rsidR="0067519D">
        <w:rPr>
          <w:rFonts w:cs="Arial"/>
          <w:bCs/>
        </w:rPr>
        <w:t>I</w:t>
      </w:r>
      <w:r>
        <w:rPr>
          <w:rFonts w:cs="Arial"/>
          <w:bCs/>
        </w:rPr>
        <w:t>.,</w:t>
      </w:r>
      <w:r w:rsidR="0067519D">
        <w:rPr>
          <w:rFonts w:cs="Arial"/>
          <w:bCs/>
        </w:rPr>
        <w:t xml:space="preserve"> </w:t>
      </w:r>
      <w:r w:rsidR="0067519D" w:rsidRPr="00B74F07">
        <w:rPr>
          <w:rFonts w:cs="Arial"/>
          <w:b/>
          <w:bCs/>
        </w:rPr>
        <w:t>b</w:t>
      </w:r>
      <w:r w:rsidR="00AD5D66" w:rsidRPr="00B74F07">
        <w:rPr>
          <w:rFonts w:cs="Arial"/>
          <w:b/>
          <w:bCs/>
        </w:rPr>
        <w:t>)</w:t>
      </w:r>
      <w:r w:rsidR="00AD5D66">
        <w:rPr>
          <w:rFonts w:cs="Arial"/>
          <w:bCs/>
        </w:rPr>
        <w:t xml:space="preserve"> aportar, en la m</w:t>
      </w:r>
      <w:r w:rsidR="00395E6B">
        <w:rPr>
          <w:rFonts w:cs="Arial"/>
          <w:bCs/>
        </w:rPr>
        <w:t>e</w:t>
      </w:r>
      <w:r w:rsidR="00AD5D66">
        <w:rPr>
          <w:rFonts w:cs="Arial"/>
          <w:bCs/>
        </w:rPr>
        <w:t>did</w:t>
      </w:r>
      <w:r w:rsidR="00395E6B">
        <w:rPr>
          <w:rFonts w:cs="Arial"/>
          <w:bCs/>
        </w:rPr>
        <w:t>a</w:t>
      </w:r>
      <w:r w:rsidR="00AD5D66">
        <w:rPr>
          <w:rFonts w:cs="Arial"/>
          <w:bCs/>
        </w:rPr>
        <w:t xml:space="preserve"> de sus posibilidades y para la </w:t>
      </w:r>
      <w:r w:rsidR="008C0C23">
        <w:rPr>
          <w:rFonts w:cs="Arial"/>
          <w:bCs/>
        </w:rPr>
        <w:t>ejecución</w:t>
      </w:r>
      <w:r w:rsidR="00AD5D66">
        <w:rPr>
          <w:rFonts w:cs="Arial"/>
          <w:bCs/>
        </w:rPr>
        <w:t xml:space="preserve"> de actividades que se encuentren dentro de sus compete</w:t>
      </w:r>
      <w:r w:rsidR="00395E6B">
        <w:rPr>
          <w:rFonts w:cs="Arial"/>
          <w:bCs/>
        </w:rPr>
        <w:t>n</w:t>
      </w:r>
      <w:r w:rsidR="00AD5D66">
        <w:rPr>
          <w:rFonts w:cs="Arial"/>
          <w:bCs/>
        </w:rPr>
        <w:t xml:space="preserve">cias, recursos (humanos, materiales, </w:t>
      </w:r>
      <w:proofErr w:type="spellStart"/>
      <w:r w:rsidR="00AD5D66">
        <w:rPr>
          <w:rFonts w:cs="Arial"/>
          <w:bCs/>
        </w:rPr>
        <w:t>etc</w:t>
      </w:r>
      <w:proofErr w:type="spellEnd"/>
      <w:r w:rsidR="00AD5D66">
        <w:rPr>
          <w:rFonts w:cs="Arial"/>
          <w:bCs/>
        </w:rPr>
        <w:t xml:space="preserve">) ya sea para el </w:t>
      </w:r>
      <w:r w:rsidR="008C0C23">
        <w:rPr>
          <w:rFonts w:cs="Arial"/>
          <w:bCs/>
        </w:rPr>
        <w:t>funcionamiento</w:t>
      </w:r>
      <w:r w:rsidR="00AD5D66">
        <w:rPr>
          <w:rFonts w:cs="Arial"/>
          <w:bCs/>
        </w:rPr>
        <w:t xml:space="preserve"> del C</w:t>
      </w:r>
      <w:r>
        <w:rPr>
          <w:rFonts w:cs="Arial"/>
          <w:bCs/>
        </w:rPr>
        <w:t>.</w:t>
      </w:r>
      <w:r w:rsidR="00AD5D66">
        <w:rPr>
          <w:rFonts w:cs="Arial"/>
          <w:bCs/>
        </w:rPr>
        <w:t>E</w:t>
      </w:r>
      <w:r>
        <w:rPr>
          <w:rFonts w:cs="Arial"/>
          <w:bCs/>
        </w:rPr>
        <w:t>.</w:t>
      </w:r>
      <w:r w:rsidR="00AD5D66">
        <w:rPr>
          <w:rFonts w:cs="Arial"/>
          <w:bCs/>
        </w:rPr>
        <w:t>I</w:t>
      </w:r>
      <w:r>
        <w:rPr>
          <w:rFonts w:cs="Arial"/>
          <w:bCs/>
        </w:rPr>
        <w:t>.</w:t>
      </w:r>
      <w:r w:rsidR="00AD5D66">
        <w:rPr>
          <w:rFonts w:cs="Arial"/>
          <w:bCs/>
        </w:rPr>
        <w:t xml:space="preserve"> como para la ejecución de los proyectos que este lleve a cabo. Los aportes que eventualmente se realicen a los efectos de ejecutar programas del C</w:t>
      </w:r>
      <w:r>
        <w:rPr>
          <w:rFonts w:cs="Arial"/>
          <w:bCs/>
        </w:rPr>
        <w:t>.</w:t>
      </w:r>
      <w:r w:rsidR="00AD5D66">
        <w:rPr>
          <w:rFonts w:cs="Arial"/>
          <w:bCs/>
        </w:rPr>
        <w:t>E</w:t>
      </w:r>
      <w:r>
        <w:rPr>
          <w:rFonts w:cs="Arial"/>
          <w:bCs/>
        </w:rPr>
        <w:t>.</w:t>
      </w:r>
      <w:r w:rsidR="00AD5D66">
        <w:rPr>
          <w:rFonts w:cs="Arial"/>
          <w:bCs/>
        </w:rPr>
        <w:t>I</w:t>
      </w:r>
      <w:r>
        <w:rPr>
          <w:rFonts w:cs="Arial"/>
          <w:bCs/>
        </w:rPr>
        <w:t>.</w:t>
      </w:r>
      <w:r w:rsidR="00AD5D66">
        <w:rPr>
          <w:rFonts w:cs="Arial"/>
          <w:bCs/>
        </w:rPr>
        <w:t xml:space="preserve"> serán </w:t>
      </w:r>
      <w:r w:rsidR="008C0C23">
        <w:rPr>
          <w:rFonts w:cs="Arial"/>
          <w:bCs/>
        </w:rPr>
        <w:t>resueltos</w:t>
      </w:r>
      <w:r w:rsidR="00AD5D66">
        <w:rPr>
          <w:rFonts w:cs="Arial"/>
          <w:bCs/>
        </w:rPr>
        <w:t xml:space="preserve"> para cada caso y por cada </w:t>
      </w:r>
      <w:r w:rsidR="008C0C23">
        <w:rPr>
          <w:rFonts w:cs="Arial"/>
          <w:bCs/>
        </w:rPr>
        <w:t>Institución</w:t>
      </w:r>
      <w:r w:rsidR="00AD5D66">
        <w:rPr>
          <w:rFonts w:cs="Arial"/>
          <w:bCs/>
        </w:rPr>
        <w:t xml:space="preserve"> </w:t>
      </w:r>
      <w:r w:rsidR="00267FA8">
        <w:rPr>
          <w:rFonts w:cs="Arial"/>
          <w:bCs/>
        </w:rPr>
        <w:t>involucrada</w:t>
      </w:r>
      <w:r w:rsidR="00AD5D66">
        <w:rPr>
          <w:rFonts w:cs="Arial"/>
          <w:bCs/>
        </w:rPr>
        <w:t xml:space="preserve">, debiendo instrumentarse mediante </w:t>
      </w:r>
      <w:r w:rsidR="008C0C23">
        <w:rPr>
          <w:rFonts w:cs="Arial"/>
          <w:bCs/>
        </w:rPr>
        <w:t>acuerdos</w:t>
      </w:r>
      <w:r w:rsidR="00AD5D66">
        <w:rPr>
          <w:rFonts w:cs="Arial"/>
          <w:bCs/>
        </w:rPr>
        <w:t xml:space="preserve"> </w:t>
      </w:r>
      <w:r w:rsidR="008C0C23">
        <w:rPr>
          <w:rFonts w:cs="Arial"/>
          <w:bCs/>
        </w:rPr>
        <w:t>específicos</w:t>
      </w:r>
      <w:r w:rsidR="0067519D">
        <w:rPr>
          <w:rFonts w:cs="Arial"/>
          <w:bCs/>
        </w:rPr>
        <w:t xml:space="preserve"> entre las partes;</w:t>
      </w:r>
    </w:p>
    <w:p w:rsidR="00DA6552" w:rsidRDefault="00B74F07" w:rsidP="00DA6552">
      <w:pPr>
        <w:tabs>
          <w:tab w:val="left" w:pos="1800"/>
        </w:tabs>
        <w:spacing w:line="360" w:lineRule="auto"/>
        <w:ind w:firstLine="2694"/>
        <w:jc w:val="both"/>
        <w:rPr>
          <w:rFonts w:cs="Arial"/>
          <w:bCs/>
        </w:rPr>
      </w:pPr>
      <w:r w:rsidRPr="00B74F07">
        <w:rPr>
          <w:rFonts w:cs="Arial"/>
          <w:b/>
          <w:bCs/>
        </w:rPr>
        <w:t>4</w:t>
      </w:r>
      <w:r w:rsidR="0067519D" w:rsidRPr="00B74F07">
        <w:rPr>
          <w:rFonts w:cs="Arial"/>
          <w:b/>
          <w:bCs/>
        </w:rPr>
        <w:t>)</w:t>
      </w:r>
      <w:r w:rsidR="0067519D">
        <w:rPr>
          <w:rFonts w:cs="Arial"/>
          <w:bCs/>
        </w:rPr>
        <w:t xml:space="preserve"> que las partes acuerdan la siguiente estructura para el </w:t>
      </w:r>
      <w:r w:rsidR="00267FA8">
        <w:rPr>
          <w:rFonts w:cs="Arial"/>
          <w:bCs/>
        </w:rPr>
        <w:t>funcionamiento</w:t>
      </w:r>
      <w:r w:rsidR="0067519D">
        <w:rPr>
          <w:rFonts w:cs="Arial"/>
          <w:bCs/>
        </w:rPr>
        <w:t xml:space="preserve"> del C</w:t>
      </w:r>
      <w:r>
        <w:rPr>
          <w:rFonts w:cs="Arial"/>
          <w:bCs/>
        </w:rPr>
        <w:t>.</w:t>
      </w:r>
      <w:r w:rsidR="0067519D">
        <w:rPr>
          <w:rFonts w:cs="Arial"/>
          <w:bCs/>
        </w:rPr>
        <w:t>E</w:t>
      </w:r>
      <w:r>
        <w:rPr>
          <w:rFonts w:cs="Arial"/>
          <w:bCs/>
        </w:rPr>
        <w:t>.</w:t>
      </w:r>
      <w:r w:rsidR="0067519D">
        <w:rPr>
          <w:rFonts w:cs="Arial"/>
          <w:bCs/>
        </w:rPr>
        <w:t>I</w:t>
      </w:r>
      <w:r>
        <w:rPr>
          <w:rFonts w:cs="Arial"/>
          <w:bCs/>
        </w:rPr>
        <w:t>.</w:t>
      </w:r>
      <w:r w:rsidR="0067519D">
        <w:rPr>
          <w:rFonts w:cs="Arial"/>
          <w:bCs/>
        </w:rPr>
        <w:t xml:space="preserve">: </w:t>
      </w:r>
      <w:r>
        <w:rPr>
          <w:rFonts w:cs="Arial"/>
          <w:b/>
          <w:bCs/>
        </w:rPr>
        <w:t>a</w:t>
      </w:r>
      <w:r w:rsidR="0067519D" w:rsidRPr="00B74F07">
        <w:rPr>
          <w:rFonts w:cs="Arial"/>
          <w:b/>
          <w:bCs/>
        </w:rPr>
        <w:t>)</w:t>
      </w:r>
      <w:r w:rsidR="0067519D">
        <w:rPr>
          <w:rFonts w:cs="Arial"/>
          <w:bCs/>
        </w:rPr>
        <w:t xml:space="preserve"> el Comité Directivo del C</w:t>
      </w:r>
      <w:r>
        <w:rPr>
          <w:rFonts w:cs="Arial"/>
          <w:bCs/>
        </w:rPr>
        <w:t>.</w:t>
      </w:r>
      <w:r w:rsidR="0067519D">
        <w:rPr>
          <w:rFonts w:cs="Arial"/>
          <w:bCs/>
        </w:rPr>
        <w:t>E</w:t>
      </w:r>
      <w:r>
        <w:rPr>
          <w:rFonts w:cs="Arial"/>
          <w:bCs/>
        </w:rPr>
        <w:t>.</w:t>
      </w:r>
      <w:r w:rsidR="0067519D">
        <w:rPr>
          <w:rFonts w:cs="Arial"/>
          <w:bCs/>
        </w:rPr>
        <w:t>I</w:t>
      </w:r>
      <w:r>
        <w:rPr>
          <w:rFonts w:cs="Arial"/>
          <w:bCs/>
        </w:rPr>
        <w:t>.</w:t>
      </w:r>
      <w:r w:rsidR="0067519D">
        <w:rPr>
          <w:rFonts w:cs="Arial"/>
          <w:bCs/>
        </w:rPr>
        <w:t xml:space="preserve">, </w:t>
      </w:r>
      <w:r w:rsidR="008C0C23">
        <w:rPr>
          <w:rFonts w:cs="Arial"/>
          <w:bCs/>
        </w:rPr>
        <w:t>compuesto</w:t>
      </w:r>
      <w:r w:rsidR="0067519D">
        <w:rPr>
          <w:rFonts w:cs="Arial"/>
          <w:bCs/>
        </w:rPr>
        <w:t xml:space="preserve"> por un representante de cada una de las instituciones </w:t>
      </w:r>
      <w:r w:rsidR="008C0C23">
        <w:rPr>
          <w:rFonts w:cs="Arial"/>
          <w:bCs/>
        </w:rPr>
        <w:t>integrantes</w:t>
      </w:r>
      <w:r w:rsidR="0067519D">
        <w:rPr>
          <w:rFonts w:cs="Arial"/>
          <w:bCs/>
        </w:rPr>
        <w:t xml:space="preserve"> del C</w:t>
      </w:r>
      <w:r>
        <w:rPr>
          <w:rFonts w:cs="Arial"/>
          <w:bCs/>
        </w:rPr>
        <w:t>.</w:t>
      </w:r>
      <w:r w:rsidR="0067519D">
        <w:rPr>
          <w:rFonts w:cs="Arial"/>
          <w:bCs/>
        </w:rPr>
        <w:t>E</w:t>
      </w:r>
      <w:r>
        <w:rPr>
          <w:rFonts w:cs="Arial"/>
          <w:bCs/>
        </w:rPr>
        <w:t>.</w:t>
      </w:r>
      <w:r w:rsidR="0067519D">
        <w:rPr>
          <w:rFonts w:cs="Arial"/>
          <w:bCs/>
        </w:rPr>
        <w:t>I</w:t>
      </w:r>
      <w:r>
        <w:rPr>
          <w:rFonts w:cs="Arial"/>
          <w:bCs/>
        </w:rPr>
        <w:t>.</w:t>
      </w:r>
      <w:r w:rsidR="0067519D">
        <w:rPr>
          <w:rFonts w:cs="Arial"/>
          <w:bCs/>
        </w:rPr>
        <w:t xml:space="preserve">, tendrá </w:t>
      </w:r>
      <w:r w:rsidR="00DA6552">
        <w:rPr>
          <w:rFonts w:cs="Arial"/>
          <w:bCs/>
        </w:rPr>
        <w:t xml:space="preserve">   </w:t>
      </w:r>
      <w:r w:rsidR="0067519D">
        <w:rPr>
          <w:rFonts w:cs="Arial"/>
          <w:bCs/>
        </w:rPr>
        <w:t xml:space="preserve">bajo </w:t>
      </w:r>
      <w:r w:rsidR="00DA6552">
        <w:rPr>
          <w:rFonts w:cs="Arial"/>
          <w:bCs/>
        </w:rPr>
        <w:t xml:space="preserve">  </w:t>
      </w:r>
      <w:r w:rsidR="0067519D">
        <w:rPr>
          <w:rFonts w:cs="Arial"/>
          <w:bCs/>
        </w:rPr>
        <w:t xml:space="preserve">su </w:t>
      </w:r>
      <w:r w:rsidR="00DA6552">
        <w:rPr>
          <w:rFonts w:cs="Arial"/>
          <w:bCs/>
        </w:rPr>
        <w:t xml:space="preserve">  </w:t>
      </w:r>
      <w:r w:rsidR="0067519D">
        <w:rPr>
          <w:rFonts w:cs="Arial"/>
          <w:bCs/>
        </w:rPr>
        <w:t xml:space="preserve">responsabilidad </w:t>
      </w:r>
      <w:r w:rsidR="00DA6552">
        <w:rPr>
          <w:rFonts w:cs="Arial"/>
          <w:bCs/>
        </w:rPr>
        <w:t xml:space="preserve">   </w:t>
      </w:r>
      <w:r w:rsidR="00267FA8">
        <w:rPr>
          <w:rFonts w:cs="Arial"/>
          <w:bCs/>
        </w:rPr>
        <w:t>principalmente</w:t>
      </w:r>
      <w:r w:rsidR="0067519D">
        <w:rPr>
          <w:rFonts w:cs="Arial"/>
          <w:bCs/>
        </w:rPr>
        <w:t xml:space="preserve"> </w:t>
      </w:r>
      <w:r w:rsidR="00DA6552">
        <w:rPr>
          <w:rFonts w:cs="Arial"/>
          <w:bCs/>
        </w:rPr>
        <w:t xml:space="preserve">   </w:t>
      </w:r>
      <w:r w:rsidR="0067519D">
        <w:rPr>
          <w:rFonts w:cs="Arial"/>
          <w:bCs/>
        </w:rPr>
        <w:t xml:space="preserve">las siguientes funciones: </w:t>
      </w:r>
    </w:p>
    <w:p w:rsidR="00FF752E" w:rsidRDefault="0067519D" w:rsidP="00DA6552">
      <w:pPr>
        <w:tabs>
          <w:tab w:val="left" w:pos="1800"/>
        </w:tabs>
        <w:spacing w:line="360" w:lineRule="auto"/>
        <w:jc w:val="both"/>
        <w:rPr>
          <w:rFonts w:cs="Arial"/>
          <w:bCs/>
        </w:rPr>
      </w:pPr>
      <w:r>
        <w:rPr>
          <w:rFonts w:cs="Arial"/>
          <w:bCs/>
        </w:rPr>
        <w:t xml:space="preserve">i) asegurar la </w:t>
      </w:r>
      <w:r w:rsidR="00267FA8">
        <w:rPr>
          <w:rFonts w:cs="Arial"/>
          <w:bCs/>
        </w:rPr>
        <w:t>gobernanza</w:t>
      </w:r>
      <w:r>
        <w:rPr>
          <w:rFonts w:cs="Arial"/>
          <w:bCs/>
        </w:rPr>
        <w:t xml:space="preserve"> del CEI, ii)</w:t>
      </w:r>
      <w:r w:rsidR="00395E6B">
        <w:rPr>
          <w:rFonts w:cs="Arial"/>
          <w:bCs/>
        </w:rPr>
        <w:t xml:space="preserve"> </w:t>
      </w:r>
      <w:r w:rsidR="00267FA8">
        <w:rPr>
          <w:rFonts w:cs="Arial"/>
          <w:bCs/>
        </w:rPr>
        <w:t>definir</w:t>
      </w:r>
      <w:r>
        <w:rPr>
          <w:rFonts w:cs="Arial"/>
          <w:bCs/>
        </w:rPr>
        <w:t xml:space="preserve"> los </w:t>
      </w:r>
      <w:r w:rsidR="00267FA8">
        <w:rPr>
          <w:rFonts w:cs="Arial"/>
          <w:bCs/>
        </w:rPr>
        <w:t>lineamientos</w:t>
      </w:r>
      <w:r>
        <w:rPr>
          <w:rFonts w:cs="Arial"/>
          <w:bCs/>
        </w:rPr>
        <w:t xml:space="preserve"> </w:t>
      </w:r>
      <w:r w:rsidR="008C0C23">
        <w:rPr>
          <w:rFonts w:cs="Arial"/>
          <w:bCs/>
        </w:rPr>
        <w:t>estratégicos</w:t>
      </w:r>
      <w:r>
        <w:rPr>
          <w:rFonts w:cs="Arial"/>
          <w:bCs/>
        </w:rPr>
        <w:t xml:space="preserve"> y controlar su aplicación en la </w:t>
      </w:r>
      <w:r w:rsidR="00267FA8">
        <w:rPr>
          <w:rFonts w:cs="Arial"/>
          <w:bCs/>
        </w:rPr>
        <w:t>operación</w:t>
      </w:r>
      <w:r>
        <w:rPr>
          <w:rFonts w:cs="Arial"/>
          <w:bCs/>
        </w:rPr>
        <w:t xml:space="preserve"> del CEI, iii) </w:t>
      </w:r>
      <w:r w:rsidR="00267FA8">
        <w:rPr>
          <w:rFonts w:cs="Arial"/>
          <w:bCs/>
        </w:rPr>
        <w:t>articular</w:t>
      </w:r>
      <w:r>
        <w:rPr>
          <w:rFonts w:cs="Arial"/>
          <w:bCs/>
        </w:rPr>
        <w:t xml:space="preserve"> acciones con los actores nacionales e internacionales que entiendan oportuno, iv)</w:t>
      </w:r>
      <w:r w:rsidR="00B74F07">
        <w:rPr>
          <w:rFonts w:cs="Arial"/>
          <w:bCs/>
        </w:rPr>
        <w:t xml:space="preserve"> </w:t>
      </w:r>
      <w:r>
        <w:rPr>
          <w:rFonts w:cs="Arial"/>
          <w:bCs/>
        </w:rPr>
        <w:t xml:space="preserve">promover la mejora continua de mecanismos y </w:t>
      </w:r>
      <w:r w:rsidR="008C0C23">
        <w:rPr>
          <w:rFonts w:cs="Arial"/>
          <w:bCs/>
        </w:rPr>
        <w:t>procedimientos</w:t>
      </w:r>
      <w:r>
        <w:rPr>
          <w:rFonts w:cs="Arial"/>
          <w:bCs/>
        </w:rPr>
        <w:t xml:space="preserve"> de coordinación y operación del CEI, v) buscar </w:t>
      </w:r>
      <w:r w:rsidR="00267FA8">
        <w:rPr>
          <w:rFonts w:cs="Arial"/>
          <w:bCs/>
        </w:rPr>
        <w:t>financiamiento</w:t>
      </w:r>
      <w:r>
        <w:rPr>
          <w:rFonts w:cs="Arial"/>
          <w:bCs/>
        </w:rPr>
        <w:t xml:space="preserve"> y </w:t>
      </w:r>
      <w:r w:rsidR="00267FA8">
        <w:rPr>
          <w:rFonts w:cs="Arial"/>
          <w:bCs/>
        </w:rPr>
        <w:t>recursos</w:t>
      </w:r>
      <w:r>
        <w:rPr>
          <w:rFonts w:cs="Arial"/>
          <w:bCs/>
        </w:rPr>
        <w:t xml:space="preserve"> para la </w:t>
      </w:r>
      <w:r w:rsidR="00267FA8">
        <w:rPr>
          <w:rFonts w:cs="Arial"/>
          <w:bCs/>
        </w:rPr>
        <w:t>sostenibilidad</w:t>
      </w:r>
      <w:r>
        <w:rPr>
          <w:rFonts w:cs="Arial"/>
          <w:bCs/>
        </w:rPr>
        <w:t xml:space="preserve"> de las actividades del CEI, vi) intervenir en</w:t>
      </w:r>
      <w:r w:rsidR="00420991">
        <w:rPr>
          <w:rFonts w:cs="Arial"/>
          <w:bCs/>
        </w:rPr>
        <w:t xml:space="preserve"> toda diferencia que </w:t>
      </w:r>
      <w:r w:rsidR="00267FA8">
        <w:rPr>
          <w:rFonts w:cs="Arial"/>
          <w:bCs/>
        </w:rPr>
        <w:t>resulte</w:t>
      </w:r>
      <w:r w:rsidR="00420991">
        <w:rPr>
          <w:rFonts w:cs="Arial"/>
          <w:bCs/>
        </w:rPr>
        <w:t xml:space="preserve"> de la interpretación o </w:t>
      </w:r>
      <w:r w:rsidR="00267FA8">
        <w:rPr>
          <w:rFonts w:cs="Arial"/>
          <w:bCs/>
        </w:rPr>
        <w:t>aplicación</w:t>
      </w:r>
      <w:r w:rsidR="00420991">
        <w:rPr>
          <w:rFonts w:cs="Arial"/>
          <w:bCs/>
        </w:rPr>
        <w:t xml:space="preserve">  de este convenio, </w:t>
      </w:r>
      <w:r w:rsidR="00267FA8">
        <w:rPr>
          <w:rFonts w:cs="Arial"/>
          <w:bCs/>
        </w:rPr>
        <w:t>así</w:t>
      </w:r>
      <w:r w:rsidR="00420991">
        <w:rPr>
          <w:rFonts w:cs="Arial"/>
          <w:bCs/>
        </w:rPr>
        <w:t xml:space="preserve"> como en cualquier otro tipo de controversia a fin de </w:t>
      </w:r>
      <w:r w:rsidR="00267FA8">
        <w:rPr>
          <w:rFonts w:cs="Arial"/>
          <w:bCs/>
        </w:rPr>
        <w:t>resolverlas</w:t>
      </w:r>
      <w:r w:rsidR="00420991">
        <w:rPr>
          <w:rFonts w:cs="Arial"/>
          <w:bCs/>
        </w:rPr>
        <w:t xml:space="preserve"> por la </w:t>
      </w:r>
      <w:r w:rsidR="00267FA8">
        <w:rPr>
          <w:rFonts w:cs="Arial"/>
          <w:bCs/>
        </w:rPr>
        <w:t>vía</w:t>
      </w:r>
      <w:r w:rsidR="00420991">
        <w:rPr>
          <w:rFonts w:cs="Arial"/>
          <w:bCs/>
        </w:rPr>
        <w:t xml:space="preserve"> de la negociación </w:t>
      </w:r>
      <w:r w:rsidR="00150703">
        <w:rPr>
          <w:rFonts w:cs="Arial"/>
          <w:bCs/>
        </w:rPr>
        <w:t>directa</w:t>
      </w:r>
      <w:r w:rsidR="00420991">
        <w:rPr>
          <w:rFonts w:cs="Arial"/>
          <w:bCs/>
        </w:rPr>
        <w:t xml:space="preserve"> y vii) vigilar la observancia de las obligaciones asumidas por las partes</w:t>
      </w:r>
      <w:r w:rsidR="006A40BE">
        <w:rPr>
          <w:rFonts w:cs="Arial"/>
          <w:bCs/>
        </w:rPr>
        <w:t>,</w:t>
      </w:r>
      <w:r w:rsidR="00420991">
        <w:rPr>
          <w:rFonts w:cs="Arial"/>
          <w:bCs/>
        </w:rPr>
        <w:t xml:space="preserve"> </w:t>
      </w:r>
      <w:r w:rsidR="00420991" w:rsidRPr="00B74F07">
        <w:rPr>
          <w:rFonts w:cs="Arial"/>
          <w:b/>
          <w:bCs/>
        </w:rPr>
        <w:t>b)</w:t>
      </w:r>
      <w:r w:rsidR="00420991">
        <w:rPr>
          <w:rFonts w:cs="Arial"/>
          <w:bCs/>
        </w:rPr>
        <w:t xml:space="preserve"> la Unidad Operativa del C</w:t>
      </w:r>
      <w:r w:rsidR="00B74F07">
        <w:rPr>
          <w:rFonts w:cs="Arial"/>
          <w:bCs/>
        </w:rPr>
        <w:t>.</w:t>
      </w:r>
      <w:r w:rsidR="00420991">
        <w:rPr>
          <w:rFonts w:cs="Arial"/>
          <w:bCs/>
        </w:rPr>
        <w:t>E</w:t>
      </w:r>
      <w:r w:rsidR="00B74F07">
        <w:rPr>
          <w:rFonts w:cs="Arial"/>
          <w:bCs/>
        </w:rPr>
        <w:t>.</w:t>
      </w:r>
      <w:r w:rsidR="00150703">
        <w:rPr>
          <w:rFonts w:cs="Arial"/>
          <w:bCs/>
        </w:rPr>
        <w:t>I</w:t>
      </w:r>
      <w:r w:rsidR="00B74F07">
        <w:rPr>
          <w:rFonts w:cs="Arial"/>
          <w:bCs/>
        </w:rPr>
        <w:t>.</w:t>
      </w:r>
      <w:r w:rsidR="00420991">
        <w:rPr>
          <w:rFonts w:cs="Arial"/>
          <w:bCs/>
        </w:rPr>
        <w:t xml:space="preserve"> llevar</w:t>
      </w:r>
      <w:r w:rsidR="00B74F07">
        <w:rPr>
          <w:rFonts w:cs="Arial"/>
          <w:bCs/>
        </w:rPr>
        <w:t>á</w:t>
      </w:r>
      <w:r w:rsidR="00420991">
        <w:rPr>
          <w:rFonts w:cs="Arial"/>
          <w:bCs/>
        </w:rPr>
        <w:t xml:space="preserve"> adelante la </w:t>
      </w:r>
      <w:r w:rsidR="00150703">
        <w:rPr>
          <w:rFonts w:cs="Arial"/>
          <w:bCs/>
        </w:rPr>
        <w:t>ejecución</w:t>
      </w:r>
      <w:r w:rsidR="00420991">
        <w:rPr>
          <w:rFonts w:cs="Arial"/>
          <w:bCs/>
        </w:rPr>
        <w:t xml:space="preserve"> de las actividades del mismo, </w:t>
      </w:r>
      <w:r w:rsidR="00420991">
        <w:rPr>
          <w:rFonts w:cs="Arial"/>
          <w:bCs/>
        </w:rPr>
        <w:lastRenderedPageBreak/>
        <w:t xml:space="preserve">incluyendo las siguientes: i) la </w:t>
      </w:r>
      <w:r w:rsidR="00150703">
        <w:rPr>
          <w:rFonts w:cs="Arial"/>
          <w:bCs/>
        </w:rPr>
        <w:t>identificación</w:t>
      </w:r>
      <w:r w:rsidR="00420991">
        <w:rPr>
          <w:rFonts w:cs="Arial"/>
          <w:bCs/>
        </w:rPr>
        <w:t xml:space="preserve"> de pequeñas y medianas empresa</w:t>
      </w:r>
      <w:r w:rsidR="00B74F07">
        <w:rPr>
          <w:rFonts w:cs="Arial"/>
          <w:bCs/>
        </w:rPr>
        <w:t>s</w:t>
      </w:r>
      <w:r w:rsidR="00420991">
        <w:rPr>
          <w:rFonts w:cs="Arial"/>
          <w:bCs/>
        </w:rPr>
        <w:t xml:space="preserve"> </w:t>
      </w:r>
      <w:r w:rsidR="00150703">
        <w:rPr>
          <w:rFonts w:cs="Arial"/>
          <w:bCs/>
        </w:rPr>
        <w:t>interesadas</w:t>
      </w:r>
      <w:r w:rsidR="00420991">
        <w:rPr>
          <w:rFonts w:cs="Arial"/>
          <w:bCs/>
        </w:rPr>
        <w:t xml:space="preserve"> en mejorar su productividad y competitividad, en sectores priorizados en la política </w:t>
      </w:r>
      <w:r w:rsidR="00150703">
        <w:rPr>
          <w:rFonts w:cs="Arial"/>
          <w:bCs/>
        </w:rPr>
        <w:t>industrial</w:t>
      </w:r>
      <w:r w:rsidR="00420991">
        <w:rPr>
          <w:rFonts w:cs="Arial"/>
          <w:bCs/>
        </w:rPr>
        <w:t xml:space="preserve"> nacional, ii)</w:t>
      </w:r>
      <w:r w:rsidR="00B74F07">
        <w:rPr>
          <w:rFonts w:cs="Arial"/>
          <w:bCs/>
        </w:rPr>
        <w:t xml:space="preserve"> </w:t>
      </w:r>
      <w:r w:rsidR="00420991">
        <w:rPr>
          <w:rFonts w:cs="Arial"/>
          <w:bCs/>
        </w:rPr>
        <w:t xml:space="preserve">un servicio de </w:t>
      </w:r>
      <w:r w:rsidR="00150703">
        <w:rPr>
          <w:rFonts w:cs="Arial"/>
          <w:bCs/>
        </w:rPr>
        <w:t>orientación</w:t>
      </w:r>
      <w:r w:rsidR="00420991">
        <w:rPr>
          <w:rFonts w:cs="Arial"/>
          <w:bCs/>
        </w:rPr>
        <w:t xml:space="preserve"> t</w:t>
      </w:r>
      <w:r w:rsidR="00395E6B">
        <w:rPr>
          <w:rFonts w:cs="Arial"/>
          <w:bCs/>
        </w:rPr>
        <w:t>é</w:t>
      </w:r>
      <w:r w:rsidR="00420991">
        <w:rPr>
          <w:rFonts w:cs="Arial"/>
          <w:bCs/>
        </w:rPr>
        <w:t>c</w:t>
      </w:r>
      <w:r w:rsidR="00BD0154">
        <w:rPr>
          <w:rFonts w:cs="Arial"/>
          <w:bCs/>
        </w:rPr>
        <w:t>nic</w:t>
      </w:r>
      <w:r w:rsidR="00420991">
        <w:rPr>
          <w:rFonts w:cs="Arial"/>
          <w:bCs/>
        </w:rPr>
        <w:t>o-competit</w:t>
      </w:r>
      <w:r w:rsidR="00395E6B">
        <w:rPr>
          <w:rFonts w:cs="Arial"/>
          <w:bCs/>
        </w:rPr>
        <w:t>i</w:t>
      </w:r>
      <w:r w:rsidR="00420991">
        <w:rPr>
          <w:rFonts w:cs="Arial"/>
          <w:bCs/>
        </w:rPr>
        <w:t xml:space="preserve">va a empresa, que comprenda un </w:t>
      </w:r>
      <w:r w:rsidR="00150703">
        <w:rPr>
          <w:rFonts w:cs="Arial"/>
          <w:bCs/>
        </w:rPr>
        <w:t>diagnóstico</w:t>
      </w:r>
      <w:r w:rsidR="00420991">
        <w:rPr>
          <w:rFonts w:cs="Arial"/>
          <w:bCs/>
        </w:rPr>
        <w:t xml:space="preserve">, un plan de acción con los instrumentos de </w:t>
      </w:r>
      <w:r w:rsidR="00150703">
        <w:rPr>
          <w:rFonts w:cs="Arial"/>
          <w:bCs/>
        </w:rPr>
        <w:t>apoyo</w:t>
      </w:r>
      <w:r w:rsidR="008644D1">
        <w:rPr>
          <w:rFonts w:cs="Arial"/>
          <w:bCs/>
        </w:rPr>
        <w:t xml:space="preserve"> existentes para su ejecución y el </w:t>
      </w:r>
      <w:r w:rsidR="00150703">
        <w:rPr>
          <w:rFonts w:cs="Arial"/>
          <w:bCs/>
        </w:rPr>
        <w:t>seguimiento</w:t>
      </w:r>
      <w:r w:rsidR="008644D1">
        <w:rPr>
          <w:rFonts w:cs="Arial"/>
          <w:bCs/>
        </w:rPr>
        <w:t xml:space="preserve"> del mismo, iii) la </w:t>
      </w:r>
      <w:r w:rsidR="00FF752E">
        <w:rPr>
          <w:rFonts w:cs="Arial"/>
          <w:bCs/>
        </w:rPr>
        <w:t>actualización y ampliación del p</w:t>
      </w:r>
      <w:r w:rsidR="00395E6B">
        <w:rPr>
          <w:rFonts w:cs="Arial"/>
          <w:bCs/>
        </w:rPr>
        <w:t>o</w:t>
      </w:r>
      <w:r w:rsidR="00FF752E">
        <w:rPr>
          <w:rFonts w:cs="Arial"/>
          <w:bCs/>
        </w:rPr>
        <w:t>rtal Centro C</w:t>
      </w:r>
      <w:r w:rsidR="00B74F07">
        <w:rPr>
          <w:rFonts w:cs="Arial"/>
          <w:bCs/>
        </w:rPr>
        <w:t>.</w:t>
      </w:r>
      <w:r w:rsidR="00FF752E">
        <w:rPr>
          <w:rFonts w:cs="Arial"/>
          <w:bCs/>
        </w:rPr>
        <w:t>E</w:t>
      </w:r>
      <w:r w:rsidR="00B74F07">
        <w:rPr>
          <w:rFonts w:cs="Arial"/>
          <w:bCs/>
        </w:rPr>
        <w:t>.</w:t>
      </w:r>
      <w:r w:rsidR="00FF752E">
        <w:rPr>
          <w:rFonts w:cs="Arial"/>
          <w:bCs/>
        </w:rPr>
        <w:t>I</w:t>
      </w:r>
      <w:r w:rsidR="00B74F07">
        <w:rPr>
          <w:rFonts w:cs="Arial"/>
          <w:bCs/>
        </w:rPr>
        <w:t>.</w:t>
      </w:r>
      <w:r w:rsidR="00FF752E">
        <w:rPr>
          <w:rFonts w:cs="Arial"/>
          <w:bCs/>
        </w:rPr>
        <w:t xml:space="preserve">, como medio de difusión de la oferta nacional de </w:t>
      </w:r>
      <w:r w:rsidR="00150703">
        <w:rPr>
          <w:rFonts w:cs="Arial"/>
          <w:bCs/>
        </w:rPr>
        <w:t>conocimiento</w:t>
      </w:r>
      <w:r w:rsidR="00FF752E">
        <w:rPr>
          <w:rFonts w:cs="Arial"/>
          <w:bCs/>
        </w:rPr>
        <w:t xml:space="preserve"> científico-</w:t>
      </w:r>
      <w:r w:rsidR="00150703">
        <w:rPr>
          <w:rFonts w:cs="Arial"/>
          <w:bCs/>
        </w:rPr>
        <w:t>tecnológico</w:t>
      </w:r>
      <w:r w:rsidR="00FF752E">
        <w:rPr>
          <w:rFonts w:cs="Arial"/>
          <w:bCs/>
        </w:rPr>
        <w:t xml:space="preserve">, instrumentos de apoyo, servicios y fuentes de información, y con el fin de promover la </w:t>
      </w:r>
      <w:r w:rsidR="00150703">
        <w:rPr>
          <w:rFonts w:cs="Arial"/>
          <w:bCs/>
        </w:rPr>
        <w:t>interacción</w:t>
      </w:r>
      <w:r w:rsidR="00FF752E">
        <w:rPr>
          <w:rFonts w:cs="Arial"/>
          <w:bCs/>
        </w:rPr>
        <w:t xml:space="preserve"> entre el sector productivo, la ac</w:t>
      </w:r>
      <w:r w:rsidR="00395E6B">
        <w:rPr>
          <w:rFonts w:cs="Arial"/>
          <w:bCs/>
        </w:rPr>
        <w:t>ade</w:t>
      </w:r>
      <w:r w:rsidR="00FF752E">
        <w:rPr>
          <w:rFonts w:cs="Arial"/>
          <w:bCs/>
        </w:rPr>
        <w:t xml:space="preserve">mia y el Estado, iv) otras actividades que el Comité Directivo entienda pertinente establecer y </w:t>
      </w:r>
      <w:r w:rsidR="00FF752E" w:rsidRPr="006A40BE">
        <w:rPr>
          <w:rFonts w:cs="Arial"/>
          <w:b/>
          <w:bCs/>
        </w:rPr>
        <w:t>c)</w:t>
      </w:r>
      <w:r w:rsidR="00FF752E">
        <w:rPr>
          <w:rFonts w:cs="Arial"/>
          <w:bCs/>
        </w:rPr>
        <w:t xml:space="preserve"> en caso de </w:t>
      </w:r>
      <w:r w:rsidR="00150703">
        <w:rPr>
          <w:rFonts w:cs="Arial"/>
          <w:bCs/>
        </w:rPr>
        <w:t>acuerdos</w:t>
      </w:r>
      <w:r w:rsidR="00FF752E">
        <w:rPr>
          <w:rFonts w:cs="Arial"/>
          <w:bCs/>
        </w:rPr>
        <w:t xml:space="preserve"> </w:t>
      </w:r>
      <w:r w:rsidR="00150703">
        <w:rPr>
          <w:rFonts w:cs="Arial"/>
          <w:bCs/>
        </w:rPr>
        <w:t>específicos</w:t>
      </w:r>
      <w:r w:rsidR="00FF752E">
        <w:rPr>
          <w:rFonts w:cs="Arial"/>
          <w:bCs/>
        </w:rPr>
        <w:t xml:space="preserve"> </w:t>
      </w:r>
      <w:r w:rsidR="00150703">
        <w:rPr>
          <w:rFonts w:cs="Arial"/>
          <w:bCs/>
        </w:rPr>
        <w:t>celebrados</w:t>
      </w:r>
      <w:r w:rsidR="00FF752E">
        <w:rPr>
          <w:rFonts w:cs="Arial"/>
          <w:bCs/>
        </w:rPr>
        <w:t xml:space="preserve"> con A</w:t>
      </w:r>
      <w:r w:rsidR="006A40BE">
        <w:rPr>
          <w:rFonts w:cs="Arial"/>
          <w:bCs/>
        </w:rPr>
        <w:t>.</w:t>
      </w:r>
      <w:r w:rsidR="00FF752E">
        <w:rPr>
          <w:rFonts w:cs="Arial"/>
          <w:bCs/>
        </w:rPr>
        <w:t>N</w:t>
      </w:r>
      <w:r w:rsidR="006A40BE">
        <w:rPr>
          <w:rFonts w:cs="Arial"/>
          <w:bCs/>
        </w:rPr>
        <w:t>.</w:t>
      </w:r>
      <w:r w:rsidR="00FF752E">
        <w:rPr>
          <w:rFonts w:cs="Arial"/>
          <w:bCs/>
        </w:rPr>
        <w:t>D</w:t>
      </w:r>
      <w:r w:rsidR="006A40BE">
        <w:rPr>
          <w:rFonts w:cs="Arial"/>
          <w:bCs/>
        </w:rPr>
        <w:t>.</w:t>
      </w:r>
      <w:r w:rsidR="00FF752E">
        <w:rPr>
          <w:rFonts w:cs="Arial"/>
          <w:bCs/>
        </w:rPr>
        <w:t>E</w:t>
      </w:r>
      <w:r w:rsidR="006A40BE">
        <w:rPr>
          <w:rFonts w:cs="Arial"/>
          <w:bCs/>
        </w:rPr>
        <w:t>.</w:t>
      </w:r>
      <w:r w:rsidR="00FF752E">
        <w:rPr>
          <w:rFonts w:cs="Arial"/>
          <w:bCs/>
        </w:rPr>
        <w:t>, las partes deberán ac</w:t>
      </w:r>
      <w:r w:rsidR="00395E6B">
        <w:rPr>
          <w:rFonts w:cs="Arial"/>
          <w:bCs/>
        </w:rPr>
        <w:t>or</w:t>
      </w:r>
      <w:r w:rsidR="00FF752E">
        <w:rPr>
          <w:rFonts w:cs="Arial"/>
          <w:bCs/>
        </w:rPr>
        <w:t>d</w:t>
      </w:r>
      <w:r w:rsidR="00395E6B">
        <w:rPr>
          <w:rFonts w:cs="Arial"/>
          <w:bCs/>
        </w:rPr>
        <w:t>ar</w:t>
      </w:r>
      <w:r w:rsidR="00FF752E">
        <w:rPr>
          <w:rFonts w:cs="Arial"/>
          <w:bCs/>
        </w:rPr>
        <w:t xml:space="preserve"> los criterios para al </w:t>
      </w:r>
      <w:r w:rsidR="00150703">
        <w:rPr>
          <w:rFonts w:cs="Arial"/>
          <w:bCs/>
        </w:rPr>
        <w:t>identificación</w:t>
      </w:r>
      <w:r w:rsidR="00FF752E">
        <w:rPr>
          <w:rFonts w:cs="Arial"/>
          <w:bCs/>
        </w:rPr>
        <w:t xml:space="preserve"> y selección de las pequeñas y medianas empresas que puedan ser objeto de algún beneficio;</w:t>
      </w:r>
    </w:p>
    <w:p w:rsidR="009F2E60" w:rsidRDefault="006A40BE" w:rsidP="00DA6552">
      <w:pPr>
        <w:tabs>
          <w:tab w:val="left" w:pos="1800"/>
        </w:tabs>
        <w:spacing w:line="360" w:lineRule="auto"/>
        <w:ind w:firstLine="2694"/>
        <w:jc w:val="both"/>
        <w:rPr>
          <w:rFonts w:cs="Arial"/>
          <w:bCs/>
        </w:rPr>
      </w:pPr>
      <w:r>
        <w:rPr>
          <w:rFonts w:cs="Arial"/>
          <w:b/>
          <w:bCs/>
        </w:rPr>
        <w:t>5</w:t>
      </w:r>
      <w:r w:rsidR="009F2E60" w:rsidRPr="00B74F07">
        <w:rPr>
          <w:rFonts w:cs="Arial"/>
          <w:b/>
          <w:bCs/>
        </w:rPr>
        <w:t>)</w:t>
      </w:r>
      <w:r w:rsidR="009F2E60">
        <w:rPr>
          <w:rFonts w:cs="Arial"/>
          <w:bCs/>
        </w:rPr>
        <w:t xml:space="preserve"> que asimismo, se establece </w:t>
      </w:r>
      <w:r w:rsidR="0010049C">
        <w:rPr>
          <w:rFonts w:cs="Arial"/>
          <w:bCs/>
        </w:rPr>
        <w:t xml:space="preserve">en la cláusula 5) del convenio </w:t>
      </w:r>
      <w:r w:rsidR="009F2E60">
        <w:rPr>
          <w:rFonts w:cs="Arial"/>
          <w:bCs/>
        </w:rPr>
        <w:t>que las partes podrán ac</w:t>
      </w:r>
      <w:r>
        <w:rPr>
          <w:rFonts w:cs="Arial"/>
          <w:bCs/>
        </w:rPr>
        <w:t>o</w:t>
      </w:r>
      <w:r w:rsidR="009F2E60">
        <w:rPr>
          <w:rFonts w:cs="Arial"/>
          <w:bCs/>
        </w:rPr>
        <w:t>rda</w:t>
      </w:r>
      <w:r>
        <w:rPr>
          <w:rFonts w:cs="Arial"/>
          <w:bCs/>
        </w:rPr>
        <w:t>r</w:t>
      </w:r>
      <w:r w:rsidR="009F2E60">
        <w:rPr>
          <w:rFonts w:cs="Arial"/>
          <w:bCs/>
        </w:rPr>
        <w:t xml:space="preserve"> en fo</w:t>
      </w:r>
      <w:r>
        <w:rPr>
          <w:rFonts w:cs="Arial"/>
          <w:bCs/>
        </w:rPr>
        <w:t>r</w:t>
      </w:r>
      <w:r w:rsidR="009F2E60">
        <w:rPr>
          <w:rFonts w:cs="Arial"/>
          <w:bCs/>
        </w:rPr>
        <w:t>ma previa y expresa, la partic</w:t>
      </w:r>
      <w:r>
        <w:rPr>
          <w:rFonts w:cs="Arial"/>
          <w:bCs/>
        </w:rPr>
        <w:t>ipació</w:t>
      </w:r>
      <w:r w:rsidR="009F2E60">
        <w:rPr>
          <w:rFonts w:cs="Arial"/>
          <w:bCs/>
        </w:rPr>
        <w:t>n de tercero</w:t>
      </w:r>
      <w:r>
        <w:rPr>
          <w:rFonts w:cs="Arial"/>
          <w:bCs/>
        </w:rPr>
        <w:t>s</w:t>
      </w:r>
      <w:r w:rsidR="009F2E60">
        <w:rPr>
          <w:rFonts w:cs="Arial"/>
          <w:bCs/>
        </w:rPr>
        <w:t xml:space="preserve"> para colaborar en el </w:t>
      </w:r>
      <w:r>
        <w:rPr>
          <w:rFonts w:cs="Arial"/>
          <w:bCs/>
        </w:rPr>
        <w:t>financiamiento</w:t>
      </w:r>
      <w:r w:rsidR="009F2E60">
        <w:rPr>
          <w:rFonts w:cs="Arial"/>
          <w:bCs/>
        </w:rPr>
        <w:t xml:space="preserve">, ejecución, coordinación, seguimiento o </w:t>
      </w:r>
      <w:r>
        <w:rPr>
          <w:rFonts w:cs="Arial"/>
          <w:bCs/>
        </w:rPr>
        <w:t>evaluación</w:t>
      </w:r>
      <w:r w:rsidR="009F2E60">
        <w:rPr>
          <w:rFonts w:cs="Arial"/>
          <w:bCs/>
        </w:rPr>
        <w:t xml:space="preserve"> de los programas y proyectos </w:t>
      </w:r>
      <w:r>
        <w:rPr>
          <w:rFonts w:cs="Arial"/>
          <w:bCs/>
        </w:rPr>
        <w:t>relacionados</w:t>
      </w:r>
      <w:r w:rsidR="009F2E60">
        <w:rPr>
          <w:rFonts w:cs="Arial"/>
          <w:bCs/>
        </w:rPr>
        <w:t xml:space="preserve"> que se ejecuten en función del convenio;</w:t>
      </w:r>
    </w:p>
    <w:p w:rsidR="006A40BE" w:rsidRDefault="006A40BE" w:rsidP="00DA6552">
      <w:pPr>
        <w:tabs>
          <w:tab w:val="left" w:pos="1800"/>
        </w:tabs>
        <w:spacing w:line="360" w:lineRule="auto"/>
        <w:ind w:firstLine="2694"/>
        <w:jc w:val="both"/>
        <w:rPr>
          <w:rFonts w:cs="Arial"/>
          <w:bCs/>
        </w:rPr>
      </w:pPr>
      <w:r>
        <w:rPr>
          <w:rFonts w:cs="Arial"/>
          <w:b/>
          <w:bCs/>
        </w:rPr>
        <w:t>6</w:t>
      </w:r>
      <w:r w:rsidRPr="00B74F07">
        <w:rPr>
          <w:rFonts w:cs="Arial"/>
          <w:b/>
          <w:bCs/>
        </w:rPr>
        <w:t>)</w:t>
      </w:r>
      <w:r>
        <w:rPr>
          <w:rFonts w:cs="Arial"/>
          <w:bCs/>
        </w:rPr>
        <w:t xml:space="preserve"> </w:t>
      </w:r>
      <w:r w:rsidRPr="006A40BE">
        <w:rPr>
          <w:rFonts w:cs="Arial"/>
          <w:bCs/>
        </w:rPr>
        <w:t>que se establece que el convenio entrará en vigencia  desde la fecha de su</w:t>
      </w:r>
      <w:r>
        <w:rPr>
          <w:rFonts w:cs="Arial"/>
          <w:bCs/>
        </w:rPr>
        <w:t xml:space="preserve"> suscripción y tendrá un plazo de 1 año, el cual se prorrogará por periodos iguales, salvo comunicación escrita en contrario de cualquiera de las partes, con una antelación no menor a 60 días;</w:t>
      </w:r>
    </w:p>
    <w:p w:rsidR="005546F1" w:rsidRDefault="009A46B4" w:rsidP="00DA6552">
      <w:pPr>
        <w:pStyle w:val="Sangradetextonormal"/>
        <w:widowControl w:val="0"/>
        <w:tabs>
          <w:tab w:val="left" w:pos="1843"/>
        </w:tabs>
        <w:spacing w:after="0" w:line="360" w:lineRule="auto"/>
        <w:ind w:left="0" w:firstLine="709"/>
        <w:jc w:val="both"/>
        <w:rPr>
          <w:bCs/>
        </w:rPr>
      </w:pPr>
      <w:r>
        <w:rPr>
          <w:b/>
          <w:bCs/>
        </w:rPr>
        <w:t>CONSIDERANDO: 1)</w:t>
      </w:r>
      <w:r>
        <w:t xml:space="preserve"> </w:t>
      </w:r>
      <w:r w:rsidR="005546F1">
        <w:rPr>
          <w:bCs/>
        </w:rPr>
        <w:t>que por Decreto No. 574/974 de fecha 12/7/74,</w:t>
      </w:r>
      <w:r w:rsidR="00D37520">
        <w:rPr>
          <w:bCs/>
        </w:rPr>
        <w:t xml:space="preserve"> se establece  que</w:t>
      </w:r>
      <w:r w:rsidR="005546F1">
        <w:rPr>
          <w:bCs/>
        </w:rPr>
        <w:t xml:space="preserve"> compete al Ministerio de Industria y Minería, las cuestiones atinentes a la industria,  la energía, </w:t>
      </w:r>
      <w:r w:rsidR="00D37520">
        <w:rPr>
          <w:bCs/>
        </w:rPr>
        <w:t xml:space="preserve"> los combustibles,</w:t>
      </w:r>
      <w:r w:rsidR="005546F1">
        <w:rPr>
          <w:bCs/>
        </w:rPr>
        <w:t xml:space="preserve"> las investigaciones y experimentaciones industriales y el estímulo del empleo y aplicación </w:t>
      </w:r>
      <w:r w:rsidR="00DA6552">
        <w:rPr>
          <w:bCs/>
        </w:rPr>
        <w:t>de nuevas técnicas industriales</w:t>
      </w:r>
      <w:r w:rsidR="005546F1">
        <w:rPr>
          <w:bCs/>
        </w:rPr>
        <w:t>;</w:t>
      </w:r>
    </w:p>
    <w:p w:rsidR="005546F1" w:rsidRDefault="005546F1" w:rsidP="00DA6552">
      <w:pPr>
        <w:pStyle w:val="Sangradetextonormal"/>
        <w:widowControl w:val="0"/>
        <w:tabs>
          <w:tab w:val="left" w:pos="1843"/>
        </w:tabs>
        <w:spacing w:after="0" w:line="360" w:lineRule="auto"/>
        <w:ind w:left="0" w:firstLine="2835"/>
        <w:jc w:val="both"/>
      </w:pPr>
      <w:r>
        <w:rPr>
          <w:b/>
        </w:rPr>
        <w:t>2)</w:t>
      </w:r>
      <w:r w:rsidR="000F06F3">
        <w:rPr>
          <w:b/>
        </w:rPr>
        <w:t xml:space="preserve"> </w:t>
      </w:r>
      <w:r>
        <w:t>que el Decreto 190/997 de</w:t>
      </w:r>
      <w:r w:rsidR="00210C72">
        <w:t>l</w:t>
      </w:r>
      <w:r>
        <w:t xml:space="preserve"> 04/06/1997, establece como uno de los objetivos estratégicos de dicha Secretaría de Estado el </w:t>
      </w:r>
      <w:r>
        <w:lastRenderedPageBreak/>
        <w:t>proponer políticas referidas al sector industrial, energético y minero, tendientes a la transformación del aparato productivo nacional;</w:t>
      </w:r>
    </w:p>
    <w:p w:rsidR="00267A1C" w:rsidRDefault="00267A1C" w:rsidP="00DA6552">
      <w:pPr>
        <w:pStyle w:val="Textoindependiente"/>
        <w:spacing w:after="0" w:line="360" w:lineRule="auto"/>
        <w:ind w:firstLine="2835"/>
        <w:jc w:val="both"/>
      </w:pPr>
      <w:r>
        <w:rPr>
          <w:b/>
          <w:lang w:val="es-MX"/>
        </w:rPr>
        <w:t xml:space="preserve">3) </w:t>
      </w:r>
      <w:r>
        <w:rPr>
          <w:lang w:val="es-MX"/>
        </w:rPr>
        <w:t xml:space="preserve">que de acuerdo con la </w:t>
      </w:r>
      <w:r w:rsidR="00210C72">
        <w:rPr>
          <w:lang w:val="es-MX"/>
        </w:rPr>
        <w:t>L</w:t>
      </w:r>
      <w:r>
        <w:rPr>
          <w:lang w:val="es-MX"/>
        </w:rPr>
        <w:t>ey 12.549</w:t>
      </w:r>
      <w:r w:rsidR="000F06F3">
        <w:rPr>
          <w:lang w:val="es-MX"/>
        </w:rPr>
        <w:t xml:space="preserve"> del 16/10/58</w:t>
      </w:r>
      <w:r>
        <w:rPr>
          <w:lang w:val="es-MX"/>
        </w:rPr>
        <w:t xml:space="preserve">, </w:t>
      </w:r>
      <w:r>
        <w:t>la Universidad de la República, tiene entre sus fines y cometidos el desarrollo académico y la investigación científica y técnica;</w:t>
      </w:r>
    </w:p>
    <w:p w:rsidR="00471598" w:rsidRPr="00DA6552" w:rsidRDefault="00471598" w:rsidP="00DA6552">
      <w:pPr>
        <w:autoSpaceDE w:val="0"/>
        <w:adjustRightInd w:val="0"/>
        <w:spacing w:line="360" w:lineRule="auto"/>
        <w:ind w:firstLine="2835"/>
        <w:jc w:val="both"/>
        <w:rPr>
          <w:rFonts w:cs="Arial"/>
          <w:color w:val="000000"/>
          <w:szCs w:val="22"/>
          <w:lang w:val="es-UY"/>
        </w:rPr>
      </w:pPr>
      <w:r w:rsidRPr="000F06F3">
        <w:rPr>
          <w:b/>
        </w:rPr>
        <w:t>4)</w:t>
      </w:r>
      <w:r>
        <w:t xml:space="preserve"> que la </w:t>
      </w:r>
      <w:r w:rsidR="000F06F3">
        <w:t xml:space="preserve">Agencia Nacional de Desarrollo </w:t>
      </w:r>
      <w:r>
        <w:t xml:space="preserve"> fue creada por la </w:t>
      </w:r>
      <w:r w:rsidR="00D37520">
        <w:t>L</w:t>
      </w:r>
      <w:r>
        <w:t>ey 18</w:t>
      </w:r>
      <w:r w:rsidR="00754EED">
        <w:t>.</w:t>
      </w:r>
      <w:r>
        <w:t xml:space="preserve">602 del </w:t>
      </w:r>
      <w:r>
        <w:rPr>
          <w:rFonts w:cs="Arial"/>
          <w:lang w:val="es-MX"/>
        </w:rPr>
        <w:t>21</w:t>
      </w:r>
      <w:r w:rsidR="00D37520">
        <w:rPr>
          <w:rFonts w:cs="Arial"/>
          <w:lang w:val="es-MX"/>
        </w:rPr>
        <w:t>/9/09</w:t>
      </w:r>
      <w:r>
        <w:rPr>
          <w:rFonts w:cs="Arial"/>
          <w:lang w:val="es-MX"/>
        </w:rPr>
        <w:t xml:space="preserve"> </w:t>
      </w:r>
      <w:r>
        <w:t>como una person</w:t>
      </w:r>
      <w:r w:rsidR="000F06F3">
        <w:t>a</w:t>
      </w:r>
      <w:r>
        <w:t xml:space="preserve"> p</w:t>
      </w:r>
      <w:r w:rsidR="000F06F3">
        <w:t>ú</w:t>
      </w:r>
      <w:r>
        <w:t>blic</w:t>
      </w:r>
      <w:r w:rsidR="000F06F3">
        <w:t>a</w:t>
      </w:r>
      <w:r>
        <w:t xml:space="preserve"> no estatal,  la cual tiene por finalidad </w:t>
      </w:r>
      <w:r w:rsidR="00DA6552">
        <w:t>“</w:t>
      </w:r>
      <w:r w:rsidRPr="00DA6552">
        <w:t>contribuir al desarrollo económico productivo, en forma sustentable, con equidad social y equilibrio ambiental y territorial</w:t>
      </w:r>
      <w:r w:rsidR="00C25044" w:rsidRPr="00DA6552">
        <w:t>…</w:t>
      </w:r>
      <w:r w:rsidRPr="00DA6552">
        <w:t>”</w:t>
      </w:r>
      <w:r w:rsidRPr="00DA6552">
        <w:rPr>
          <w:rFonts w:cs="Arial"/>
          <w:color w:val="000000"/>
          <w:szCs w:val="22"/>
          <w:lang w:val="es-UY"/>
        </w:rPr>
        <w:t>;</w:t>
      </w:r>
    </w:p>
    <w:p w:rsidR="004F7ED2" w:rsidRDefault="00865466" w:rsidP="00DA6552">
      <w:pPr>
        <w:tabs>
          <w:tab w:val="left" w:pos="1800"/>
        </w:tabs>
        <w:spacing w:line="360" w:lineRule="auto"/>
        <w:ind w:firstLine="2835"/>
        <w:jc w:val="both"/>
        <w:rPr>
          <w:rFonts w:cs="Arial"/>
          <w:color w:val="000000"/>
          <w:szCs w:val="22"/>
          <w:lang w:val="es-UY"/>
        </w:rPr>
      </w:pPr>
      <w:r w:rsidRPr="000F06F3">
        <w:rPr>
          <w:rFonts w:cs="Arial"/>
          <w:b/>
          <w:color w:val="000000"/>
          <w:szCs w:val="22"/>
          <w:lang w:val="es-UY"/>
        </w:rPr>
        <w:t>5)</w:t>
      </w:r>
      <w:r>
        <w:rPr>
          <w:rFonts w:cs="Arial"/>
          <w:color w:val="000000"/>
          <w:szCs w:val="22"/>
          <w:lang w:val="es-UY"/>
        </w:rPr>
        <w:t xml:space="preserve"> que</w:t>
      </w:r>
      <w:r w:rsidR="004F7ED2">
        <w:rPr>
          <w:rFonts w:cs="Arial"/>
          <w:color w:val="000000"/>
          <w:szCs w:val="22"/>
          <w:lang w:val="es-UY"/>
        </w:rPr>
        <w:t xml:space="preserve"> el presente convenio fue celebrado al amparo de la causal de excepción prevista por el </w:t>
      </w:r>
      <w:r w:rsidR="00DA6552">
        <w:rPr>
          <w:rFonts w:cs="Arial"/>
          <w:color w:val="000000"/>
          <w:szCs w:val="22"/>
          <w:lang w:val="es-UY"/>
        </w:rPr>
        <w:t>N</w:t>
      </w:r>
      <w:r w:rsidR="004F7ED2">
        <w:rPr>
          <w:rFonts w:cs="Arial"/>
          <w:color w:val="000000"/>
          <w:szCs w:val="22"/>
          <w:lang w:val="es-UY"/>
        </w:rPr>
        <w:t>umeral 1</w:t>
      </w:r>
      <w:r w:rsidR="00DA6552">
        <w:rPr>
          <w:rFonts w:cs="Arial"/>
          <w:color w:val="000000"/>
          <w:szCs w:val="22"/>
          <w:lang w:val="es-UY"/>
        </w:rPr>
        <w:t>)</w:t>
      </w:r>
      <w:r w:rsidR="004F7ED2">
        <w:rPr>
          <w:rFonts w:cs="Arial"/>
          <w:color w:val="000000"/>
          <w:szCs w:val="22"/>
          <w:lang w:val="es-UY"/>
        </w:rPr>
        <w:t xml:space="preserve"> del </w:t>
      </w:r>
      <w:r w:rsidR="00DA6552">
        <w:rPr>
          <w:rFonts w:cs="Arial"/>
          <w:color w:val="000000"/>
          <w:szCs w:val="22"/>
          <w:lang w:val="es-UY"/>
        </w:rPr>
        <w:t>L</w:t>
      </w:r>
      <w:r w:rsidR="004F7ED2">
        <w:rPr>
          <w:rFonts w:cs="Arial"/>
          <w:color w:val="000000"/>
          <w:szCs w:val="22"/>
          <w:lang w:val="es-UY"/>
        </w:rPr>
        <w:t xml:space="preserve">iteral C) del </w:t>
      </w:r>
      <w:r w:rsidR="00DA6552">
        <w:rPr>
          <w:rFonts w:cs="Arial"/>
          <w:color w:val="000000"/>
          <w:szCs w:val="22"/>
          <w:lang w:val="es-UY"/>
        </w:rPr>
        <w:t>A</w:t>
      </w:r>
      <w:r w:rsidR="00273A53">
        <w:rPr>
          <w:rFonts w:cs="Arial"/>
          <w:color w:val="000000"/>
          <w:szCs w:val="22"/>
          <w:lang w:val="es-UY"/>
        </w:rPr>
        <w:t>rtículo</w:t>
      </w:r>
      <w:r w:rsidR="004F7ED2">
        <w:rPr>
          <w:rFonts w:cs="Arial"/>
          <w:color w:val="000000"/>
          <w:szCs w:val="22"/>
          <w:lang w:val="es-UY"/>
        </w:rPr>
        <w:t xml:space="preserve"> 33 del TOCAF;</w:t>
      </w:r>
    </w:p>
    <w:p w:rsidR="006D017B" w:rsidRPr="00DA6552" w:rsidRDefault="004F7ED2" w:rsidP="00DA6552">
      <w:pPr>
        <w:tabs>
          <w:tab w:val="left" w:pos="1800"/>
        </w:tabs>
        <w:spacing w:line="360" w:lineRule="auto"/>
        <w:ind w:firstLine="2835"/>
        <w:jc w:val="both"/>
        <w:rPr>
          <w:rFonts w:cs="Arial"/>
          <w:bCs/>
        </w:rPr>
      </w:pPr>
      <w:r w:rsidRPr="00273A53">
        <w:rPr>
          <w:rFonts w:cs="Arial"/>
          <w:b/>
          <w:color w:val="000000"/>
          <w:szCs w:val="22"/>
          <w:lang w:val="es-UY"/>
        </w:rPr>
        <w:t>6)</w:t>
      </w:r>
      <w:r>
        <w:rPr>
          <w:rFonts w:cs="Arial"/>
          <w:color w:val="000000"/>
          <w:szCs w:val="22"/>
          <w:lang w:val="es-UY"/>
        </w:rPr>
        <w:t xml:space="preserve"> que no obstante lo anterior, se advierte que la previsión contenida </w:t>
      </w:r>
      <w:r w:rsidR="00E12C5F" w:rsidRPr="00E12C5F">
        <w:rPr>
          <w:rFonts w:cs="Arial"/>
          <w:lang w:val="es-MX"/>
        </w:rPr>
        <w:t xml:space="preserve"> </w:t>
      </w:r>
      <w:r w:rsidR="0010049C">
        <w:rPr>
          <w:rFonts w:cs="Arial"/>
          <w:lang w:val="es-MX"/>
        </w:rPr>
        <w:t>en la cláusula 5) del convenio</w:t>
      </w:r>
      <w:r>
        <w:rPr>
          <w:rFonts w:cs="Arial"/>
          <w:lang w:val="es-MX"/>
        </w:rPr>
        <w:t>,</w:t>
      </w:r>
      <w:r w:rsidR="00E12C5F">
        <w:rPr>
          <w:rFonts w:cs="Arial"/>
          <w:lang w:val="es-MX"/>
        </w:rPr>
        <w:t xml:space="preserve"> </w:t>
      </w:r>
      <w:r>
        <w:rPr>
          <w:rFonts w:cs="Arial"/>
          <w:lang w:val="es-MX"/>
        </w:rPr>
        <w:t xml:space="preserve"> por la cual se </w:t>
      </w:r>
      <w:r w:rsidR="00D37520">
        <w:rPr>
          <w:rFonts w:cs="Arial"/>
          <w:lang w:val="es-MX"/>
        </w:rPr>
        <w:t>consagra</w:t>
      </w:r>
      <w:r w:rsidR="00E12C5F">
        <w:rPr>
          <w:rFonts w:cs="Arial"/>
          <w:lang w:val="es-MX"/>
        </w:rPr>
        <w:t xml:space="preserve"> la pos</w:t>
      </w:r>
      <w:r w:rsidR="000F06F3">
        <w:rPr>
          <w:rFonts w:cs="Arial"/>
          <w:lang w:val="es-MX"/>
        </w:rPr>
        <w:t>i</w:t>
      </w:r>
      <w:r w:rsidR="00E12C5F">
        <w:rPr>
          <w:rFonts w:cs="Arial"/>
          <w:lang w:val="es-MX"/>
        </w:rPr>
        <w:t xml:space="preserve">bilidad  </w:t>
      </w:r>
      <w:r w:rsidR="006D017B">
        <w:rPr>
          <w:rFonts w:cs="Arial"/>
          <w:lang w:val="es-MX"/>
        </w:rPr>
        <w:t>gen</w:t>
      </w:r>
      <w:r w:rsidR="000F06F3">
        <w:rPr>
          <w:rFonts w:cs="Arial"/>
          <w:lang w:val="es-MX"/>
        </w:rPr>
        <w:t>é</w:t>
      </w:r>
      <w:r w:rsidR="006D017B">
        <w:rPr>
          <w:rFonts w:cs="Arial"/>
          <w:lang w:val="es-MX"/>
        </w:rPr>
        <w:t xml:space="preserve">rica </w:t>
      </w:r>
      <w:r w:rsidR="00E12C5F">
        <w:rPr>
          <w:rFonts w:cs="Arial"/>
          <w:lang w:val="es-MX"/>
        </w:rPr>
        <w:t>de que te</w:t>
      </w:r>
      <w:r w:rsidR="000F06F3">
        <w:rPr>
          <w:rFonts w:cs="Arial"/>
          <w:lang w:val="es-MX"/>
        </w:rPr>
        <w:t>r</w:t>
      </w:r>
      <w:r w:rsidR="00E12C5F">
        <w:rPr>
          <w:rFonts w:cs="Arial"/>
          <w:lang w:val="es-MX"/>
        </w:rPr>
        <w:t xml:space="preserve">ceros </w:t>
      </w:r>
      <w:r w:rsidR="000F06F3">
        <w:rPr>
          <w:rFonts w:cs="Arial"/>
          <w:lang w:val="es-MX"/>
        </w:rPr>
        <w:t>participen</w:t>
      </w:r>
      <w:r w:rsidR="00E12C5F">
        <w:rPr>
          <w:rFonts w:cs="Arial"/>
          <w:lang w:val="es-MX"/>
        </w:rPr>
        <w:t xml:space="preserve"> para colabora</w:t>
      </w:r>
      <w:r w:rsidR="00D37520">
        <w:rPr>
          <w:rFonts w:cs="Arial"/>
          <w:lang w:val="es-MX"/>
        </w:rPr>
        <w:t>r</w:t>
      </w:r>
      <w:r w:rsidR="006D017B" w:rsidRPr="006D017B">
        <w:rPr>
          <w:rFonts w:cs="Arial"/>
          <w:bCs/>
        </w:rPr>
        <w:t xml:space="preserve"> </w:t>
      </w:r>
      <w:r w:rsidR="006D017B">
        <w:rPr>
          <w:rFonts w:cs="Arial"/>
          <w:bCs/>
        </w:rPr>
        <w:t>en el fina</w:t>
      </w:r>
      <w:r w:rsidR="000F06F3">
        <w:rPr>
          <w:rFonts w:cs="Arial"/>
          <w:bCs/>
        </w:rPr>
        <w:t>n</w:t>
      </w:r>
      <w:r w:rsidR="006D017B">
        <w:rPr>
          <w:rFonts w:cs="Arial"/>
          <w:bCs/>
        </w:rPr>
        <w:t>ci</w:t>
      </w:r>
      <w:r w:rsidR="000F06F3">
        <w:rPr>
          <w:rFonts w:cs="Arial"/>
          <w:bCs/>
        </w:rPr>
        <w:t>a</w:t>
      </w:r>
      <w:r w:rsidR="006D017B">
        <w:rPr>
          <w:rFonts w:cs="Arial"/>
          <w:bCs/>
        </w:rPr>
        <w:t>m</w:t>
      </w:r>
      <w:r w:rsidR="000F06F3">
        <w:rPr>
          <w:rFonts w:cs="Arial"/>
          <w:bCs/>
        </w:rPr>
        <w:t>ie</w:t>
      </w:r>
      <w:r w:rsidR="006D017B">
        <w:rPr>
          <w:rFonts w:cs="Arial"/>
          <w:bCs/>
        </w:rPr>
        <w:t>nto, ejecución, coordinación, seguimiento o eva</w:t>
      </w:r>
      <w:r w:rsidR="000F06F3">
        <w:rPr>
          <w:rFonts w:cs="Arial"/>
          <w:bCs/>
        </w:rPr>
        <w:t>luació</w:t>
      </w:r>
      <w:r w:rsidR="006D017B">
        <w:rPr>
          <w:rFonts w:cs="Arial"/>
          <w:bCs/>
        </w:rPr>
        <w:t xml:space="preserve">n de los programas y proyectos  ejecutados en  función del convenio, </w:t>
      </w:r>
      <w:r>
        <w:rPr>
          <w:rFonts w:cs="Arial"/>
          <w:bCs/>
        </w:rPr>
        <w:t xml:space="preserve">podría </w:t>
      </w:r>
      <w:r w:rsidR="006D017B">
        <w:rPr>
          <w:rFonts w:cs="Arial"/>
          <w:bCs/>
        </w:rPr>
        <w:t>vulnera</w:t>
      </w:r>
      <w:r>
        <w:rPr>
          <w:rFonts w:cs="Arial"/>
          <w:bCs/>
        </w:rPr>
        <w:t>r</w:t>
      </w:r>
      <w:r w:rsidR="006D017B">
        <w:rPr>
          <w:rFonts w:cs="Arial"/>
          <w:bCs/>
        </w:rPr>
        <w:t xml:space="preserve"> la norma referida</w:t>
      </w:r>
      <w:r>
        <w:rPr>
          <w:rFonts w:cs="Arial"/>
          <w:bCs/>
        </w:rPr>
        <w:t xml:space="preserve"> en el numeral anterior. En efecto, el </w:t>
      </w:r>
      <w:r w:rsidR="00DA6552">
        <w:rPr>
          <w:rFonts w:cs="Arial"/>
          <w:bCs/>
        </w:rPr>
        <w:t>A</w:t>
      </w:r>
      <w:r>
        <w:rPr>
          <w:rFonts w:cs="Arial"/>
          <w:bCs/>
        </w:rPr>
        <w:t xml:space="preserve">rtículo 33 del TOCAF dispone que las contrataciones </w:t>
      </w:r>
      <w:r w:rsidR="006D017B">
        <w:rPr>
          <w:rFonts w:cs="Arial"/>
          <w:bCs/>
        </w:rPr>
        <w:t>a que refi</w:t>
      </w:r>
      <w:r w:rsidR="000F06F3">
        <w:rPr>
          <w:rFonts w:cs="Arial"/>
          <w:bCs/>
        </w:rPr>
        <w:t>e</w:t>
      </w:r>
      <w:r w:rsidR="006D017B">
        <w:rPr>
          <w:rFonts w:cs="Arial"/>
          <w:bCs/>
        </w:rPr>
        <w:t>re</w:t>
      </w:r>
      <w:r w:rsidR="00C25044">
        <w:rPr>
          <w:rFonts w:cs="Arial"/>
          <w:bCs/>
        </w:rPr>
        <w:t xml:space="preserve"> específicamente </w:t>
      </w:r>
      <w:r w:rsidR="006D017B">
        <w:rPr>
          <w:rFonts w:cs="Arial"/>
          <w:bCs/>
        </w:rPr>
        <w:t xml:space="preserve"> la ex</w:t>
      </w:r>
      <w:r w:rsidR="000F06F3">
        <w:rPr>
          <w:rFonts w:cs="Arial"/>
          <w:bCs/>
        </w:rPr>
        <w:t>cepció</w:t>
      </w:r>
      <w:r w:rsidR="006D017B">
        <w:rPr>
          <w:rFonts w:cs="Arial"/>
          <w:bCs/>
        </w:rPr>
        <w:t>n mencion</w:t>
      </w:r>
      <w:r w:rsidR="000F06F3">
        <w:rPr>
          <w:rFonts w:cs="Arial"/>
          <w:bCs/>
        </w:rPr>
        <w:t>a</w:t>
      </w:r>
      <w:r w:rsidR="006D017B">
        <w:rPr>
          <w:rFonts w:cs="Arial"/>
          <w:bCs/>
        </w:rPr>
        <w:t xml:space="preserve">da </w:t>
      </w:r>
      <w:r w:rsidR="006D017B" w:rsidRPr="000F06F3">
        <w:rPr>
          <w:rFonts w:cs="Arial"/>
          <w:bCs/>
          <w:i/>
        </w:rPr>
        <w:t>“…</w:t>
      </w:r>
      <w:r w:rsidR="000F06F3" w:rsidRPr="00DA6552">
        <w:rPr>
          <w:rFonts w:cs="Arial"/>
          <w:bCs/>
        </w:rPr>
        <w:t>no podrá</w:t>
      </w:r>
      <w:r w:rsidR="006D017B" w:rsidRPr="00DA6552">
        <w:rPr>
          <w:rFonts w:cs="Arial"/>
          <w:bCs/>
        </w:rPr>
        <w:t xml:space="preserve">n incluir la </w:t>
      </w:r>
      <w:r w:rsidR="000F06F3" w:rsidRPr="00DA6552">
        <w:rPr>
          <w:rFonts w:cs="Arial"/>
          <w:bCs/>
        </w:rPr>
        <w:t>participación</w:t>
      </w:r>
      <w:r w:rsidR="006D017B" w:rsidRPr="00DA6552">
        <w:rPr>
          <w:rFonts w:cs="Arial"/>
          <w:bCs/>
        </w:rPr>
        <w:t>, directa o indirec</w:t>
      </w:r>
      <w:r w:rsidR="000F06F3" w:rsidRPr="00DA6552">
        <w:rPr>
          <w:rFonts w:cs="Arial"/>
          <w:bCs/>
        </w:rPr>
        <w:t>t</w:t>
      </w:r>
      <w:r w:rsidR="006D017B" w:rsidRPr="00DA6552">
        <w:rPr>
          <w:rFonts w:cs="Arial"/>
          <w:bCs/>
        </w:rPr>
        <w:t>a de empresa privadas.”;</w:t>
      </w:r>
    </w:p>
    <w:p w:rsidR="00E80D72" w:rsidRDefault="006D017B" w:rsidP="00DA6552">
      <w:pPr>
        <w:tabs>
          <w:tab w:val="left" w:pos="1800"/>
        </w:tabs>
        <w:spacing w:line="360" w:lineRule="auto"/>
        <w:ind w:firstLine="2835"/>
        <w:jc w:val="both"/>
        <w:rPr>
          <w:rFonts w:cs="Arial"/>
          <w:bCs/>
        </w:rPr>
      </w:pPr>
      <w:r w:rsidRPr="000F06F3">
        <w:rPr>
          <w:rFonts w:cs="Arial"/>
          <w:b/>
          <w:bCs/>
        </w:rPr>
        <w:t>7)</w:t>
      </w:r>
      <w:r>
        <w:rPr>
          <w:rFonts w:cs="Arial"/>
          <w:bCs/>
        </w:rPr>
        <w:t xml:space="preserve"> que</w:t>
      </w:r>
      <w:r w:rsidR="004F7ED2">
        <w:rPr>
          <w:rFonts w:cs="Arial"/>
          <w:bCs/>
        </w:rPr>
        <w:t xml:space="preserve"> en consecuencia, los Organismos </w:t>
      </w:r>
      <w:proofErr w:type="spellStart"/>
      <w:r w:rsidR="004F7ED2">
        <w:rPr>
          <w:rFonts w:cs="Arial"/>
          <w:bCs/>
        </w:rPr>
        <w:t>intervini</w:t>
      </w:r>
      <w:proofErr w:type="spellEnd"/>
      <w:r w:rsidR="00DA6552">
        <w:rPr>
          <w:rFonts w:cs="Arial"/>
          <w:bCs/>
        </w:rPr>
        <w:t>-</w:t>
      </w:r>
      <w:r w:rsidR="004F7ED2">
        <w:rPr>
          <w:rFonts w:cs="Arial"/>
          <w:bCs/>
        </w:rPr>
        <w:t xml:space="preserve">entes, al suscribir los convenios en aplicación de la </w:t>
      </w:r>
      <w:r w:rsidR="00E80D72">
        <w:rPr>
          <w:rFonts w:cs="Arial"/>
          <w:bCs/>
        </w:rPr>
        <w:t>cláusula</w:t>
      </w:r>
      <w:r w:rsidR="004F7ED2">
        <w:rPr>
          <w:rFonts w:cs="Arial"/>
          <w:bCs/>
        </w:rPr>
        <w:t xml:space="preserve"> 5) del convenio</w:t>
      </w:r>
      <w:r w:rsidR="00E80D72">
        <w:rPr>
          <w:rFonts w:cs="Arial"/>
          <w:bCs/>
        </w:rPr>
        <w:t>, deberán tener en cuenta y dar cumplimiento a lo previsto por la norma legal invocada para proceder a la contratación directa;</w:t>
      </w:r>
    </w:p>
    <w:p w:rsidR="006D017B" w:rsidRDefault="00E80D72" w:rsidP="00DA6552">
      <w:pPr>
        <w:tabs>
          <w:tab w:val="left" w:pos="1800"/>
        </w:tabs>
        <w:spacing w:line="360" w:lineRule="auto"/>
        <w:ind w:firstLine="2835"/>
        <w:jc w:val="both"/>
        <w:rPr>
          <w:rFonts w:cs="Arial"/>
          <w:bCs/>
        </w:rPr>
      </w:pPr>
      <w:r w:rsidRPr="00273A53">
        <w:rPr>
          <w:rFonts w:cs="Arial"/>
          <w:b/>
          <w:bCs/>
        </w:rPr>
        <w:t>8)</w:t>
      </w:r>
      <w:r>
        <w:rPr>
          <w:rFonts w:cs="Arial"/>
          <w:bCs/>
        </w:rPr>
        <w:t xml:space="preserve"> que asimismo, dichos convenios</w:t>
      </w:r>
      <w:r w:rsidR="004F7ED2"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complemen</w:t>
      </w:r>
      <w:r w:rsidR="00DA6552">
        <w:rPr>
          <w:rFonts w:cs="Arial"/>
          <w:bCs/>
        </w:rPr>
        <w:t>-</w:t>
      </w:r>
      <w:r>
        <w:rPr>
          <w:rFonts w:cs="Arial"/>
          <w:bCs/>
        </w:rPr>
        <w:t>tarios</w:t>
      </w:r>
      <w:proofErr w:type="spellEnd"/>
      <w:r>
        <w:rPr>
          <w:rFonts w:cs="Arial"/>
          <w:bCs/>
        </w:rPr>
        <w:t>, en atención a su naturaleza y/o monto, deberán ser remitidos para la intervención preventiva  de legalidad a este Tribunal</w:t>
      </w:r>
      <w:r w:rsidR="00273A53">
        <w:rPr>
          <w:rFonts w:cs="Arial"/>
          <w:bCs/>
        </w:rPr>
        <w:t xml:space="preserve"> o a su Contador Auditor destacado ante los Organismos;</w:t>
      </w:r>
    </w:p>
    <w:p w:rsidR="009A46B4" w:rsidRDefault="009A46B4" w:rsidP="00DA6552">
      <w:pPr>
        <w:spacing w:line="360" w:lineRule="auto"/>
        <w:ind w:firstLine="708"/>
        <w:jc w:val="both"/>
      </w:pPr>
      <w:r>
        <w:rPr>
          <w:b/>
          <w:bCs/>
        </w:rPr>
        <w:lastRenderedPageBreak/>
        <w:t>ATENTO</w:t>
      </w:r>
      <w:r w:rsidR="00DA6552">
        <w:rPr>
          <w:b/>
          <w:bCs/>
        </w:rPr>
        <w:t>:</w:t>
      </w:r>
      <w:r>
        <w:t xml:space="preserve"> a lo precedentemente ex</w:t>
      </w:r>
      <w:r w:rsidR="00DA6552">
        <w:t>puesto y a lo dispuesto por el Artículo 211 L</w:t>
      </w:r>
      <w:r>
        <w:t xml:space="preserve">iteral B) </w:t>
      </w:r>
      <w:r w:rsidR="00D37520">
        <w:t xml:space="preserve"> </w:t>
      </w:r>
      <w:r>
        <w:t xml:space="preserve">de la Constitución de la República; </w:t>
      </w:r>
    </w:p>
    <w:p w:rsidR="009A46B4" w:rsidRDefault="009A46B4" w:rsidP="00DA6552">
      <w:pPr>
        <w:spacing w:line="360" w:lineRule="auto"/>
        <w:jc w:val="center"/>
      </w:pPr>
      <w:r>
        <w:rPr>
          <w:rFonts w:cs="Arial"/>
          <w:b/>
        </w:rPr>
        <w:t>EL TRIBUNAL ACUERDA</w:t>
      </w:r>
    </w:p>
    <w:p w:rsidR="00754EED" w:rsidRPr="00273A53" w:rsidRDefault="00273A53" w:rsidP="00DA6552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</w:pPr>
      <w:r>
        <w:t>No formular observaciones a</w:t>
      </w:r>
      <w:r w:rsidR="00D37520" w:rsidRPr="00273A53">
        <w:rPr>
          <w:rFonts w:cs="Arial"/>
        </w:rPr>
        <w:t>l co</w:t>
      </w:r>
      <w:r w:rsidR="009A46B4" w:rsidRPr="00273A53">
        <w:rPr>
          <w:rFonts w:cs="Arial"/>
        </w:rPr>
        <w:t xml:space="preserve">nvenio </w:t>
      </w:r>
      <w:r w:rsidR="00754EED" w:rsidRPr="00273A53">
        <w:rPr>
          <w:rFonts w:cs="Arial"/>
        </w:rPr>
        <w:t>remitido</w:t>
      </w:r>
      <w:r>
        <w:rPr>
          <w:rFonts w:cs="Arial"/>
        </w:rPr>
        <w:t>;</w:t>
      </w:r>
    </w:p>
    <w:p w:rsidR="00273A53" w:rsidRDefault="00273A53" w:rsidP="00DA6552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</w:pPr>
      <w:r>
        <w:rPr>
          <w:rFonts w:cs="Arial"/>
        </w:rPr>
        <w:t>Téngase presente lo señalado en los Considerandos 5,</w:t>
      </w:r>
      <w:r w:rsidR="00DA6552">
        <w:rPr>
          <w:rFonts w:cs="Arial"/>
        </w:rPr>
        <w:t xml:space="preserve"> </w:t>
      </w:r>
      <w:r>
        <w:rPr>
          <w:rFonts w:cs="Arial"/>
        </w:rPr>
        <w:t>6,</w:t>
      </w:r>
      <w:r w:rsidR="00DA6552">
        <w:rPr>
          <w:rFonts w:cs="Arial"/>
        </w:rPr>
        <w:t xml:space="preserve"> </w:t>
      </w:r>
      <w:r>
        <w:rPr>
          <w:rFonts w:cs="Arial"/>
        </w:rPr>
        <w:t>7 y 8;</w:t>
      </w:r>
      <w:r w:rsidR="00DA6552">
        <w:rPr>
          <w:rFonts w:cs="Arial"/>
        </w:rPr>
        <w:t xml:space="preserve"> y</w:t>
      </w:r>
    </w:p>
    <w:p w:rsidR="009A46B4" w:rsidRDefault="009A46B4" w:rsidP="00DA6552">
      <w:pPr>
        <w:numPr>
          <w:ilvl w:val="0"/>
          <w:numId w:val="1"/>
        </w:numPr>
        <w:spacing w:line="360" w:lineRule="auto"/>
        <w:ind w:left="284" w:hanging="284"/>
        <w:jc w:val="both"/>
      </w:pPr>
      <w:r>
        <w:rPr>
          <w:rFonts w:cs="Arial"/>
        </w:rPr>
        <w:t>Devolver los antecedentes.</w:t>
      </w:r>
    </w:p>
    <w:p w:rsidR="009A46B4" w:rsidRDefault="009A46B4" w:rsidP="009A46B4">
      <w:pPr>
        <w:spacing w:line="360" w:lineRule="auto"/>
        <w:jc w:val="right"/>
        <w:rPr>
          <w:rFonts w:cs="Arial"/>
          <w:b/>
          <w:i/>
          <w:lang w:val="es-MX"/>
        </w:rPr>
      </w:pPr>
    </w:p>
    <w:p w:rsidR="00DA6552" w:rsidRDefault="003A1CCB" w:rsidP="00DA6552">
      <w:pPr>
        <w:spacing w:line="360" w:lineRule="auto"/>
        <w:rPr>
          <w:rFonts w:cs="Arial"/>
          <w:lang w:val="es-MX"/>
        </w:rPr>
      </w:pPr>
      <w:proofErr w:type="spellStart"/>
      <w:proofErr w:type="gramStart"/>
      <w:r>
        <w:rPr>
          <w:rFonts w:cs="Arial"/>
          <w:lang w:val="es-MX"/>
        </w:rPr>
        <w:t>c</w:t>
      </w:r>
      <w:r w:rsidR="00DA6552" w:rsidRPr="00DA6552">
        <w:rPr>
          <w:rFonts w:cs="Arial"/>
          <w:lang w:val="es-MX"/>
        </w:rPr>
        <w:t>r</w:t>
      </w:r>
      <w:proofErr w:type="spellEnd"/>
      <w:proofErr w:type="gramEnd"/>
    </w:p>
    <w:p w:rsidR="003A1CCB" w:rsidRPr="00FB4277" w:rsidRDefault="003A1CCB" w:rsidP="00D71A3A">
      <w:pPr>
        <w:spacing w:line="360" w:lineRule="auto"/>
        <w:jc w:val="both"/>
        <w:rPr>
          <w:rFonts w:cs="Arial"/>
          <w:lang w:val="es-UY"/>
        </w:rPr>
      </w:pPr>
    </w:p>
    <w:p w:rsidR="003A1CCB" w:rsidRPr="003A1CCB" w:rsidRDefault="003A1CCB" w:rsidP="00D71A3A">
      <w:pPr>
        <w:spacing w:line="360" w:lineRule="auto"/>
        <w:jc w:val="both"/>
        <w:rPr>
          <w:rFonts w:cs="Arial"/>
          <w:lang w:val="es-UY"/>
        </w:rPr>
      </w:pPr>
      <w:r w:rsidRPr="00E9382D">
        <w:rPr>
          <w:rFonts w:cs="Arial"/>
          <w:b/>
          <w:lang w:val="es-UY"/>
        </w:rPr>
        <w:t>CON</w:t>
      </w:r>
      <w:r>
        <w:rPr>
          <w:rFonts w:cs="Arial"/>
          <w:b/>
          <w:lang w:val="es-UY"/>
        </w:rPr>
        <w:t>S</w:t>
      </w:r>
      <w:r w:rsidRPr="00E9382D">
        <w:rPr>
          <w:rFonts w:cs="Arial"/>
          <w:b/>
          <w:lang w:val="es-UY"/>
        </w:rPr>
        <w:t xml:space="preserve">TANCIA DE FUNDAMENTO DE VOTO </w:t>
      </w:r>
      <w:r>
        <w:rPr>
          <w:rFonts w:cs="Arial"/>
          <w:b/>
          <w:lang w:val="es-UY"/>
        </w:rPr>
        <w:t>DISCORDE</w:t>
      </w:r>
      <w:r w:rsidRPr="00E9382D">
        <w:rPr>
          <w:rFonts w:cs="Arial"/>
          <w:b/>
          <w:lang w:val="es-UY"/>
        </w:rPr>
        <w:t xml:space="preserve"> DEL </w:t>
      </w:r>
      <w:r>
        <w:rPr>
          <w:rFonts w:cs="Arial"/>
          <w:b/>
          <w:lang w:val="es-UY"/>
        </w:rPr>
        <w:t>MINISTRO</w:t>
      </w:r>
      <w:r w:rsidRPr="00E9382D">
        <w:rPr>
          <w:rFonts w:cs="Arial"/>
          <w:b/>
          <w:lang w:val="es-UY"/>
        </w:rPr>
        <w:t xml:space="preserve"> DR. ALVARO EZCURRA: </w:t>
      </w:r>
      <w:r w:rsidRPr="003A1CCB">
        <w:rPr>
          <w:rFonts w:cs="Arial"/>
          <w:lang w:val="es-UY"/>
        </w:rPr>
        <w:t>“Voto discorde la presente carpeta por entender al igual que la División Jurídica del Tribunal que debió haberse observado el convenio celebrado entre el MIEM, la UDELAR, la CIU y ANDE, por las razones expuesta en los considerandos 5 a 7 de la resolución del TCR, a cuyos fundamentos me remito, sin otros agregados.”</w:t>
      </w:r>
    </w:p>
    <w:p w:rsidR="003A1CCB" w:rsidRDefault="003A1CCB" w:rsidP="00D71A3A">
      <w:pPr>
        <w:spacing w:line="360" w:lineRule="auto"/>
        <w:jc w:val="both"/>
        <w:rPr>
          <w:rFonts w:cs="Arial"/>
          <w:lang w:val="es-UY"/>
        </w:rPr>
      </w:pPr>
    </w:p>
    <w:p w:rsidR="003A1CCB" w:rsidRPr="00FB4277" w:rsidRDefault="003A1CCB" w:rsidP="00FB4277">
      <w:pPr>
        <w:spacing w:line="360" w:lineRule="auto"/>
        <w:rPr>
          <w:rFonts w:cs="Arial"/>
          <w:lang w:val="es-UY"/>
        </w:rPr>
      </w:pPr>
    </w:p>
    <w:p w:rsidR="003A1CCB" w:rsidRPr="00FB4277" w:rsidRDefault="003A1CCB" w:rsidP="00FB4277">
      <w:pPr>
        <w:spacing w:line="360" w:lineRule="auto"/>
        <w:rPr>
          <w:rFonts w:cs="Arial"/>
          <w:lang w:val="es-UY"/>
        </w:rPr>
      </w:pPr>
      <w:r w:rsidRPr="00FB4277">
        <w:rPr>
          <w:rFonts w:cs="Arial"/>
          <w:lang w:val="es-UY"/>
        </w:rPr>
        <w:t xml:space="preserve">        </w:t>
      </w:r>
      <w:bookmarkStart w:id="0" w:name="_GoBack"/>
      <w:bookmarkEnd w:id="0"/>
    </w:p>
    <w:p w:rsidR="003A1CCB" w:rsidRPr="006A2B03" w:rsidRDefault="003A1CCB" w:rsidP="006A2B03">
      <w:pPr>
        <w:rPr>
          <w:lang w:val="es-UY"/>
        </w:rPr>
      </w:pPr>
    </w:p>
    <w:p w:rsidR="003A1CCB" w:rsidRPr="00DA6552" w:rsidRDefault="003A1CCB" w:rsidP="00DA6552">
      <w:pPr>
        <w:spacing w:line="360" w:lineRule="auto"/>
        <w:rPr>
          <w:rFonts w:cs="Arial"/>
          <w:lang w:val="es-MX"/>
        </w:rPr>
      </w:pPr>
    </w:p>
    <w:sectPr w:rsidR="003A1CCB" w:rsidRPr="00DA6552" w:rsidSect="003A1CCB">
      <w:pgSz w:w="11906" w:h="16838" w:code="9"/>
      <w:pgMar w:top="3402" w:right="1701" w:bottom="1418" w:left="170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A7C49"/>
    <w:multiLevelType w:val="multilevel"/>
    <w:tmpl w:val="88465636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B4"/>
    <w:rsid w:val="00043EB4"/>
    <w:rsid w:val="000F06F3"/>
    <w:rsid w:val="0010049C"/>
    <w:rsid w:val="00150703"/>
    <w:rsid w:val="00195B3D"/>
    <w:rsid w:val="00210C72"/>
    <w:rsid w:val="00267A1C"/>
    <w:rsid w:val="00267FA8"/>
    <w:rsid w:val="00273A53"/>
    <w:rsid w:val="00395E6B"/>
    <w:rsid w:val="003A1CCB"/>
    <w:rsid w:val="00420991"/>
    <w:rsid w:val="00471598"/>
    <w:rsid w:val="004F7ED2"/>
    <w:rsid w:val="005546F1"/>
    <w:rsid w:val="0067519D"/>
    <w:rsid w:val="006A40BE"/>
    <w:rsid w:val="006D017B"/>
    <w:rsid w:val="00754EED"/>
    <w:rsid w:val="008644D1"/>
    <w:rsid w:val="00865466"/>
    <w:rsid w:val="008B2FD4"/>
    <w:rsid w:val="008C0C23"/>
    <w:rsid w:val="009A46B4"/>
    <w:rsid w:val="009F2E60"/>
    <w:rsid w:val="00AD5D66"/>
    <w:rsid w:val="00B74F07"/>
    <w:rsid w:val="00BD0154"/>
    <w:rsid w:val="00C25044"/>
    <w:rsid w:val="00D37520"/>
    <w:rsid w:val="00DA6552"/>
    <w:rsid w:val="00E12C5F"/>
    <w:rsid w:val="00E80D72"/>
    <w:rsid w:val="00EE3D1E"/>
    <w:rsid w:val="00F168ED"/>
    <w:rsid w:val="00F62019"/>
    <w:rsid w:val="00FB4D21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4EED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rsid w:val="009A46B4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A46B4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B4D21"/>
    <w:pPr>
      <w:suppressAutoHyphens w:val="0"/>
      <w:autoSpaceDN/>
      <w:spacing w:after="120"/>
      <w:ind w:left="283"/>
      <w:textAlignment w:val="auto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B4D21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67A1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67A1C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54EE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65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6552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4EED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rsid w:val="009A46B4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A46B4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B4D21"/>
    <w:pPr>
      <w:suppressAutoHyphens w:val="0"/>
      <w:autoSpaceDN/>
      <w:spacing w:after="120"/>
      <w:ind w:left="283"/>
      <w:textAlignment w:val="auto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B4D21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67A1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67A1C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54EE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65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6552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1263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8196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Miriam Cristina Rivero</cp:lastModifiedBy>
  <cp:revision>2</cp:revision>
  <cp:lastPrinted>2018-06-13T19:25:00Z</cp:lastPrinted>
  <dcterms:created xsi:type="dcterms:W3CDTF">2018-06-13T19:25:00Z</dcterms:created>
  <dcterms:modified xsi:type="dcterms:W3CDTF">2018-06-13T19:25:00Z</dcterms:modified>
</cp:coreProperties>
</file>