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17" w:rsidRPr="00786EEB" w:rsidRDefault="00982317"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1897/18</w:t>
      </w:r>
    </w:p>
    <w:p w:rsidR="00982317" w:rsidRDefault="00982317" w:rsidP="00786EEB">
      <w:pPr>
        <w:tabs>
          <w:tab w:val="center" w:pos="4253"/>
        </w:tabs>
        <w:suppressAutoHyphens/>
        <w:jc w:val="right"/>
        <w:rPr>
          <w:rFonts w:ascii="Arial" w:hAnsi="Arial" w:cs="Arial"/>
          <w:b/>
          <w:lang w:val="es-ES_tradnl"/>
        </w:rPr>
      </w:pPr>
    </w:p>
    <w:p w:rsidR="00982317" w:rsidRPr="00982317" w:rsidRDefault="00982317" w:rsidP="00982317">
      <w:pPr>
        <w:tabs>
          <w:tab w:val="center" w:pos="4253"/>
        </w:tabs>
        <w:suppressAutoHyphens/>
        <w:spacing w:after="0" w:line="240" w:lineRule="auto"/>
        <w:jc w:val="center"/>
        <w:rPr>
          <w:rFonts w:ascii="Arial" w:hAnsi="Arial" w:cs="Arial"/>
          <w:b/>
          <w:sz w:val="24"/>
          <w:szCs w:val="24"/>
          <w:lang w:val="es-ES_tradnl"/>
        </w:rPr>
      </w:pPr>
      <w:r w:rsidRPr="00982317">
        <w:rPr>
          <w:rFonts w:ascii="Arial" w:hAnsi="Arial" w:cs="Arial"/>
          <w:b/>
          <w:sz w:val="24"/>
          <w:szCs w:val="24"/>
          <w:lang w:val="es-ES_tradnl"/>
        </w:rPr>
        <w:t>RESOLUCION ADOPTADA POR EL</w:t>
      </w:r>
    </w:p>
    <w:p w:rsidR="00982317" w:rsidRPr="00982317" w:rsidRDefault="00982317" w:rsidP="00982317">
      <w:pPr>
        <w:tabs>
          <w:tab w:val="left" w:pos="-720"/>
        </w:tabs>
        <w:suppressAutoHyphens/>
        <w:spacing w:after="0" w:line="240" w:lineRule="auto"/>
        <w:jc w:val="center"/>
        <w:rPr>
          <w:rFonts w:ascii="Arial" w:hAnsi="Arial" w:cs="Arial"/>
          <w:b/>
          <w:sz w:val="24"/>
          <w:szCs w:val="24"/>
          <w:lang w:val="es-ES_tradnl"/>
        </w:rPr>
      </w:pPr>
    </w:p>
    <w:p w:rsidR="00982317" w:rsidRPr="00982317" w:rsidRDefault="00982317" w:rsidP="00982317">
      <w:pPr>
        <w:tabs>
          <w:tab w:val="center" w:pos="4253"/>
        </w:tabs>
        <w:suppressAutoHyphens/>
        <w:spacing w:after="0" w:line="240" w:lineRule="auto"/>
        <w:jc w:val="center"/>
        <w:rPr>
          <w:rFonts w:ascii="Arial" w:hAnsi="Arial" w:cs="Arial"/>
          <w:b/>
          <w:sz w:val="24"/>
          <w:szCs w:val="24"/>
          <w:lang w:val="es-ES_tradnl"/>
        </w:rPr>
      </w:pPr>
      <w:r w:rsidRPr="00982317">
        <w:rPr>
          <w:rFonts w:ascii="Arial" w:hAnsi="Arial" w:cs="Arial"/>
          <w:b/>
          <w:sz w:val="24"/>
          <w:szCs w:val="24"/>
          <w:lang w:val="es-ES_tradnl"/>
        </w:rPr>
        <w:t>TRIBUNAL DE CUENTAS</w:t>
      </w:r>
    </w:p>
    <w:p w:rsidR="00982317" w:rsidRPr="00982317" w:rsidRDefault="00982317" w:rsidP="00982317">
      <w:pPr>
        <w:tabs>
          <w:tab w:val="left" w:pos="-720"/>
        </w:tabs>
        <w:suppressAutoHyphens/>
        <w:spacing w:after="0" w:line="240" w:lineRule="auto"/>
        <w:jc w:val="center"/>
        <w:rPr>
          <w:rFonts w:ascii="Arial" w:hAnsi="Arial" w:cs="Arial"/>
          <w:b/>
          <w:sz w:val="24"/>
          <w:szCs w:val="24"/>
          <w:lang w:val="es-ES_tradnl"/>
        </w:rPr>
      </w:pPr>
    </w:p>
    <w:p w:rsidR="00982317" w:rsidRPr="00982317" w:rsidRDefault="00982317" w:rsidP="00982317">
      <w:pPr>
        <w:tabs>
          <w:tab w:val="center" w:pos="4253"/>
        </w:tabs>
        <w:suppressAutoHyphens/>
        <w:spacing w:after="0" w:line="240" w:lineRule="auto"/>
        <w:jc w:val="center"/>
        <w:rPr>
          <w:rFonts w:ascii="Arial" w:hAnsi="Arial" w:cs="Arial"/>
          <w:b/>
          <w:sz w:val="24"/>
          <w:szCs w:val="24"/>
          <w:lang w:val="es-ES_tradnl"/>
        </w:rPr>
      </w:pPr>
      <w:r w:rsidRPr="00982317">
        <w:rPr>
          <w:rFonts w:ascii="Arial" w:hAnsi="Arial" w:cs="Arial"/>
          <w:b/>
          <w:sz w:val="24"/>
          <w:szCs w:val="24"/>
          <w:lang w:val="es-ES_tradnl"/>
        </w:rPr>
        <w:t xml:space="preserve">EN SESION DE FECHA 6 DE JUNIO </w:t>
      </w:r>
      <w:r w:rsidRPr="00982317">
        <w:rPr>
          <w:rFonts w:ascii="Helvetica" w:hAnsi="Helvetica"/>
          <w:b/>
          <w:sz w:val="24"/>
          <w:szCs w:val="24"/>
          <w:lang w:val="es-ES_tradnl"/>
        </w:rPr>
        <w:t>DE 2018</w:t>
      </w:r>
    </w:p>
    <w:p w:rsidR="00982317" w:rsidRPr="00982317" w:rsidRDefault="00982317" w:rsidP="00982317">
      <w:pPr>
        <w:tabs>
          <w:tab w:val="center" w:pos="4253"/>
        </w:tabs>
        <w:suppressAutoHyphens/>
        <w:spacing w:after="0" w:line="240" w:lineRule="auto"/>
        <w:jc w:val="center"/>
        <w:rPr>
          <w:rFonts w:ascii="Arial" w:hAnsi="Arial" w:cs="Arial"/>
          <w:b/>
          <w:sz w:val="24"/>
          <w:szCs w:val="24"/>
          <w:lang w:val="es-ES_tradnl"/>
        </w:rPr>
      </w:pPr>
    </w:p>
    <w:p w:rsidR="00982317" w:rsidRPr="00982317" w:rsidRDefault="00982317" w:rsidP="00982317">
      <w:pPr>
        <w:tabs>
          <w:tab w:val="center" w:pos="4253"/>
        </w:tabs>
        <w:suppressAutoHyphens/>
        <w:spacing w:after="0" w:line="240" w:lineRule="auto"/>
        <w:jc w:val="center"/>
        <w:rPr>
          <w:rFonts w:ascii="Arial" w:hAnsi="Arial" w:cs="Arial"/>
          <w:b/>
          <w:sz w:val="24"/>
          <w:szCs w:val="24"/>
          <w:lang w:val="en-US"/>
        </w:rPr>
      </w:pPr>
      <w:r w:rsidRPr="00982317">
        <w:rPr>
          <w:rFonts w:ascii="Arial" w:hAnsi="Arial" w:cs="Arial"/>
          <w:b/>
          <w:sz w:val="24"/>
          <w:szCs w:val="24"/>
          <w:lang w:val="en-US"/>
        </w:rPr>
        <w:t xml:space="preserve">(E. E. Nº </w:t>
      </w:r>
      <w:r>
        <w:rPr>
          <w:rFonts w:ascii="Arial" w:hAnsi="Arial" w:cs="Arial"/>
          <w:b/>
          <w:sz w:val="24"/>
          <w:szCs w:val="24"/>
          <w:lang w:val="en-US"/>
        </w:rPr>
        <w:t>2018-17-1-0003035</w:t>
      </w:r>
      <w:r w:rsidRPr="00982317">
        <w:rPr>
          <w:rFonts w:ascii="Arial" w:hAnsi="Arial" w:cs="Arial"/>
          <w:b/>
          <w:sz w:val="24"/>
          <w:szCs w:val="24"/>
          <w:lang w:val="en-US"/>
        </w:rPr>
        <w:t xml:space="preserve">, </w:t>
      </w:r>
      <w:proofErr w:type="gramStart"/>
      <w:r w:rsidRPr="00982317">
        <w:rPr>
          <w:rFonts w:ascii="Arial" w:hAnsi="Arial" w:cs="Arial"/>
          <w:b/>
          <w:sz w:val="24"/>
          <w:szCs w:val="24"/>
          <w:lang w:val="en-US"/>
        </w:rPr>
        <w:t>Ent</w:t>
      </w:r>
      <w:proofErr w:type="gramEnd"/>
      <w:r w:rsidRPr="00982317">
        <w:rPr>
          <w:rFonts w:ascii="Arial" w:hAnsi="Arial" w:cs="Arial"/>
          <w:b/>
          <w:sz w:val="24"/>
          <w:szCs w:val="24"/>
          <w:lang w:val="en-US"/>
        </w:rPr>
        <w:t xml:space="preserve">. N° </w:t>
      </w:r>
      <w:r>
        <w:rPr>
          <w:rFonts w:ascii="Arial" w:hAnsi="Arial" w:cs="Arial"/>
          <w:b/>
          <w:sz w:val="24"/>
          <w:szCs w:val="24"/>
          <w:lang w:val="en-US"/>
        </w:rPr>
        <w:t>2333/18</w:t>
      </w:r>
      <w:r w:rsidRPr="00982317">
        <w:rPr>
          <w:rFonts w:ascii="Arial" w:hAnsi="Arial" w:cs="Arial"/>
          <w:b/>
          <w:sz w:val="24"/>
          <w:szCs w:val="24"/>
          <w:lang w:val="en-US"/>
        </w:rPr>
        <w:t>)</w:t>
      </w:r>
    </w:p>
    <w:p w:rsidR="00FA31CB" w:rsidRDefault="00FA31CB" w:rsidP="009D54E0">
      <w:pPr>
        <w:spacing w:line="360" w:lineRule="auto"/>
        <w:jc w:val="both"/>
        <w:rPr>
          <w:rFonts w:ascii="Arial" w:hAnsi="Arial" w:cs="Arial"/>
          <w:b/>
          <w:sz w:val="24"/>
          <w:szCs w:val="24"/>
        </w:rPr>
      </w:pPr>
    </w:p>
    <w:p w:rsidR="00FA31CB" w:rsidRDefault="007B0CFC" w:rsidP="00225EC4">
      <w:pPr>
        <w:spacing w:after="0" w:line="360" w:lineRule="auto"/>
        <w:ind w:firstLine="851"/>
        <w:jc w:val="both"/>
        <w:rPr>
          <w:rFonts w:ascii="Arial" w:hAnsi="Arial" w:cs="Arial"/>
          <w:sz w:val="24"/>
          <w:szCs w:val="24"/>
        </w:rPr>
      </w:pPr>
      <w:r>
        <w:rPr>
          <w:rFonts w:ascii="Arial" w:hAnsi="Arial" w:cs="Arial"/>
          <w:b/>
          <w:sz w:val="24"/>
          <w:szCs w:val="24"/>
        </w:rPr>
        <w:t>VISTO,</w:t>
      </w:r>
      <w:r w:rsidRPr="009D54E0">
        <w:rPr>
          <w:rFonts w:ascii="Arial" w:hAnsi="Arial" w:cs="Arial"/>
          <w:sz w:val="24"/>
          <w:szCs w:val="24"/>
        </w:rPr>
        <w:t xml:space="preserve"> </w:t>
      </w:r>
      <w:r w:rsidR="009D54E0" w:rsidRPr="009D54E0">
        <w:rPr>
          <w:rFonts w:ascii="Arial" w:hAnsi="Arial" w:cs="Arial"/>
          <w:sz w:val="24"/>
          <w:szCs w:val="24"/>
        </w:rPr>
        <w:t>las</w:t>
      </w:r>
      <w:r w:rsidR="009D54E0">
        <w:rPr>
          <w:rFonts w:ascii="Arial" w:hAnsi="Arial" w:cs="Arial"/>
          <w:sz w:val="24"/>
          <w:szCs w:val="24"/>
        </w:rPr>
        <w:t xml:space="preserve"> actuaciones remitidas por el Ministerio de Industria, Energía y Minería</w:t>
      </w:r>
      <w:r w:rsidR="00FA31CB">
        <w:rPr>
          <w:rFonts w:ascii="Arial" w:hAnsi="Arial" w:cs="Arial"/>
          <w:sz w:val="24"/>
          <w:szCs w:val="24"/>
        </w:rPr>
        <w:t>,</w:t>
      </w:r>
      <w:r w:rsidR="009D54E0">
        <w:rPr>
          <w:rFonts w:ascii="Arial" w:hAnsi="Arial" w:cs="Arial"/>
          <w:sz w:val="24"/>
          <w:szCs w:val="24"/>
        </w:rPr>
        <w:t xml:space="preserve"> MIEM, relacionadas con el convenio marco a suscribirse con el Instituto Nacional de Empleo y Formación Profesional INEFOP, Universidad Tecnológica del Uruguay UTEC, Cámara de Industrias del Uruguay CIU, y el </w:t>
      </w:r>
      <w:r w:rsidR="00107DED" w:rsidRPr="00565D7D">
        <w:rPr>
          <w:rFonts w:ascii="Arial" w:hAnsi="Arial" w:cs="Arial"/>
          <w:sz w:val="24"/>
          <w:szCs w:val="24"/>
        </w:rPr>
        <w:t>P</w:t>
      </w:r>
      <w:r w:rsidR="009D54E0" w:rsidRPr="00565D7D">
        <w:rPr>
          <w:rFonts w:ascii="Arial" w:hAnsi="Arial" w:cs="Arial"/>
          <w:sz w:val="24"/>
          <w:szCs w:val="24"/>
        </w:rPr>
        <w:t xml:space="preserve">lenario </w:t>
      </w:r>
      <w:proofErr w:type="spellStart"/>
      <w:r w:rsidR="009D54E0" w:rsidRPr="00565D7D">
        <w:rPr>
          <w:rFonts w:ascii="Arial" w:hAnsi="Arial" w:cs="Arial"/>
          <w:sz w:val="24"/>
          <w:szCs w:val="24"/>
        </w:rPr>
        <w:t>Intersindical</w:t>
      </w:r>
      <w:proofErr w:type="spellEnd"/>
      <w:r w:rsidR="00FA31CB">
        <w:rPr>
          <w:rFonts w:ascii="Arial" w:hAnsi="Arial" w:cs="Arial"/>
          <w:sz w:val="24"/>
          <w:szCs w:val="24"/>
        </w:rPr>
        <w:t xml:space="preserve"> de Trabajadores PIT CNT;</w:t>
      </w:r>
    </w:p>
    <w:p w:rsidR="00225EC4" w:rsidRDefault="009D54E0" w:rsidP="00225EC4">
      <w:pPr>
        <w:spacing w:after="0" w:line="360" w:lineRule="auto"/>
        <w:ind w:firstLine="851"/>
        <w:jc w:val="both"/>
        <w:rPr>
          <w:rFonts w:ascii="Arial" w:hAnsi="Arial" w:cs="Arial"/>
          <w:sz w:val="24"/>
          <w:szCs w:val="24"/>
        </w:rPr>
      </w:pPr>
      <w:r w:rsidRPr="009D54E0">
        <w:rPr>
          <w:rFonts w:ascii="Arial" w:hAnsi="Arial" w:cs="Arial"/>
          <w:b/>
          <w:sz w:val="24"/>
          <w:szCs w:val="24"/>
        </w:rPr>
        <w:t xml:space="preserve">RESULTANDO: 1) </w:t>
      </w:r>
      <w:r w:rsidRPr="009D54E0">
        <w:rPr>
          <w:rFonts w:ascii="Arial" w:hAnsi="Arial" w:cs="Arial"/>
          <w:sz w:val="24"/>
          <w:szCs w:val="24"/>
        </w:rPr>
        <w:t>que el con</w:t>
      </w:r>
      <w:r>
        <w:rPr>
          <w:rFonts w:ascii="Arial" w:hAnsi="Arial" w:cs="Arial"/>
          <w:sz w:val="24"/>
          <w:szCs w:val="24"/>
        </w:rPr>
        <w:t>venio a suscribir</w:t>
      </w:r>
      <w:r w:rsidRPr="002F0A83">
        <w:rPr>
          <w:rFonts w:ascii="Arial" w:hAnsi="Arial" w:cs="Arial"/>
          <w:sz w:val="24"/>
          <w:szCs w:val="24"/>
        </w:rPr>
        <w:t xml:space="preserve"> tiene por objeto</w:t>
      </w:r>
      <w:r w:rsidR="002F0A83">
        <w:rPr>
          <w:rFonts w:ascii="Arial" w:hAnsi="Arial" w:cs="Arial"/>
          <w:sz w:val="24"/>
          <w:szCs w:val="24"/>
        </w:rPr>
        <w:t xml:space="preserve"> el establecimiento de un marco de actuación para la colaboración de las instituciones comparecientes y las que puedan incorporarse en el futuro bajo la forma de “Comisión Directiva Honoraria”, para la implementación del Centro denominado “Centro d</w:t>
      </w:r>
      <w:r w:rsidR="00225EC4">
        <w:rPr>
          <w:rFonts w:ascii="Arial" w:hAnsi="Arial" w:cs="Arial"/>
          <w:sz w:val="24"/>
          <w:szCs w:val="24"/>
        </w:rPr>
        <w:t>e Formación en Mantenimiento y O</w:t>
      </w:r>
      <w:r w:rsidR="002F0A83">
        <w:rPr>
          <w:rFonts w:ascii="Arial" w:hAnsi="Arial" w:cs="Arial"/>
          <w:sz w:val="24"/>
          <w:szCs w:val="24"/>
        </w:rPr>
        <w:t xml:space="preserve">peración de Energías Renovables”, con el objeto de capacitar a personas a nivel nacional y regional, interesadas en desarrollar su actividad técnico-profesional en todo tipo de empresas del sector eólico, solar </w:t>
      </w:r>
      <w:proofErr w:type="spellStart"/>
      <w:r w:rsidR="002F0A83">
        <w:rPr>
          <w:rFonts w:ascii="Arial" w:hAnsi="Arial" w:cs="Arial"/>
          <w:sz w:val="24"/>
          <w:szCs w:val="24"/>
        </w:rPr>
        <w:t>fotovolt</w:t>
      </w:r>
      <w:r w:rsidR="00225EC4">
        <w:rPr>
          <w:rFonts w:ascii="Arial" w:hAnsi="Arial" w:cs="Arial"/>
          <w:sz w:val="24"/>
          <w:szCs w:val="24"/>
        </w:rPr>
        <w:t>áltico</w:t>
      </w:r>
      <w:proofErr w:type="spellEnd"/>
      <w:r w:rsidR="00225EC4">
        <w:rPr>
          <w:rFonts w:ascii="Arial" w:hAnsi="Arial" w:cs="Arial"/>
          <w:sz w:val="24"/>
          <w:szCs w:val="24"/>
        </w:rPr>
        <w:t>, solar térmico y biomasa;</w:t>
      </w:r>
    </w:p>
    <w:p w:rsidR="00225EC4" w:rsidRDefault="002D7BFA" w:rsidP="00225EC4">
      <w:pPr>
        <w:spacing w:after="0" w:line="360" w:lineRule="auto"/>
        <w:ind w:firstLine="2835"/>
        <w:jc w:val="both"/>
        <w:rPr>
          <w:rFonts w:ascii="Arial" w:hAnsi="Arial" w:cs="Arial"/>
          <w:sz w:val="24"/>
          <w:szCs w:val="24"/>
        </w:rPr>
      </w:pPr>
      <w:r w:rsidRPr="002D7BFA">
        <w:rPr>
          <w:rFonts w:ascii="Arial" w:hAnsi="Arial" w:cs="Arial"/>
          <w:b/>
          <w:sz w:val="24"/>
          <w:szCs w:val="24"/>
        </w:rPr>
        <w:t xml:space="preserve">2) </w:t>
      </w:r>
      <w:r w:rsidR="009D54E0" w:rsidRPr="002D7BFA">
        <w:rPr>
          <w:rFonts w:ascii="Arial" w:hAnsi="Arial" w:cs="Arial"/>
          <w:b/>
          <w:sz w:val="24"/>
          <w:szCs w:val="24"/>
        </w:rPr>
        <w:t xml:space="preserve"> </w:t>
      </w:r>
      <w:r>
        <w:rPr>
          <w:rFonts w:ascii="Arial" w:hAnsi="Arial" w:cs="Arial"/>
          <w:sz w:val="24"/>
          <w:szCs w:val="24"/>
        </w:rPr>
        <w:t>que los objetivos del Centro, consisten en</w:t>
      </w:r>
      <w:r w:rsidR="00225EC4">
        <w:rPr>
          <w:rFonts w:ascii="Arial" w:hAnsi="Arial" w:cs="Arial"/>
          <w:sz w:val="24"/>
          <w:szCs w:val="24"/>
        </w:rPr>
        <w:t>:</w:t>
      </w:r>
      <w:r>
        <w:rPr>
          <w:rFonts w:ascii="Arial" w:hAnsi="Arial" w:cs="Arial"/>
          <w:sz w:val="24"/>
          <w:szCs w:val="24"/>
        </w:rPr>
        <w:t xml:space="preserve"> </w:t>
      </w:r>
      <w:r w:rsidRPr="00225EC4">
        <w:rPr>
          <w:rFonts w:ascii="Arial" w:hAnsi="Arial" w:cs="Arial"/>
          <w:b/>
          <w:sz w:val="24"/>
          <w:szCs w:val="24"/>
        </w:rPr>
        <w:t>a</w:t>
      </w:r>
      <w:proofErr w:type="gramStart"/>
      <w:r w:rsidRPr="00225EC4">
        <w:rPr>
          <w:rFonts w:ascii="Arial" w:hAnsi="Arial" w:cs="Arial"/>
          <w:b/>
          <w:sz w:val="24"/>
          <w:szCs w:val="24"/>
        </w:rPr>
        <w:t>)</w:t>
      </w:r>
      <w:r>
        <w:rPr>
          <w:rFonts w:ascii="Arial" w:hAnsi="Arial" w:cs="Arial"/>
          <w:sz w:val="24"/>
          <w:szCs w:val="24"/>
        </w:rPr>
        <w:t>desarrollar</w:t>
      </w:r>
      <w:proofErr w:type="gramEnd"/>
      <w:r>
        <w:rPr>
          <w:rFonts w:ascii="Arial" w:hAnsi="Arial" w:cs="Arial"/>
          <w:sz w:val="24"/>
          <w:szCs w:val="24"/>
        </w:rPr>
        <w:t xml:space="preserve"> la formación de formadores; </w:t>
      </w:r>
      <w:r w:rsidRPr="00225EC4">
        <w:rPr>
          <w:rFonts w:ascii="Arial" w:hAnsi="Arial" w:cs="Arial"/>
          <w:b/>
          <w:sz w:val="24"/>
          <w:szCs w:val="24"/>
        </w:rPr>
        <w:t>b)</w:t>
      </w:r>
      <w:r>
        <w:rPr>
          <w:rFonts w:ascii="Arial" w:hAnsi="Arial" w:cs="Arial"/>
          <w:sz w:val="24"/>
          <w:szCs w:val="24"/>
        </w:rPr>
        <w:t xml:space="preserve"> capacitar a operarios de las actuales y futuras centrales de generación a partir de recursos renovables; </w:t>
      </w:r>
      <w:r w:rsidRPr="00225EC4">
        <w:rPr>
          <w:rFonts w:ascii="Arial" w:hAnsi="Arial" w:cs="Arial"/>
          <w:b/>
          <w:sz w:val="24"/>
          <w:szCs w:val="24"/>
        </w:rPr>
        <w:t>c)</w:t>
      </w:r>
      <w:r>
        <w:rPr>
          <w:rFonts w:ascii="Arial" w:hAnsi="Arial" w:cs="Arial"/>
          <w:sz w:val="24"/>
          <w:szCs w:val="24"/>
        </w:rPr>
        <w:t>funcio</w:t>
      </w:r>
      <w:r w:rsidR="00EF1D4C">
        <w:rPr>
          <w:rFonts w:ascii="Arial" w:hAnsi="Arial" w:cs="Arial"/>
          <w:sz w:val="24"/>
          <w:szCs w:val="24"/>
        </w:rPr>
        <w:t>n</w:t>
      </w:r>
      <w:r>
        <w:rPr>
          <w:rFonts w:ascii="Arial" w:hAnsi="Arial" w:cs="Arial"/>
          <w:sz w:val="24"/>
          <w:szCs w:val="24"/>
        </w:rPr>
        <w:t>ar como bolsa de trabajo;</w:t>
      </w:r>
    </w:p>
    <w:p w:rsidR="003A13AD" w:rsidRDefault="002D7BFA" w:rsidP="00225EC4">
      <w:pPr>
        <w:spacing w:after="0" w:line="360" w:lineRule="auto"/>
        <w:ind w:firstLine="2835"/>
        <w:jc w:val="both"/>
        <w:rPr>
          <w:rFonts w:ascii="Arial" w:hAnsi="Arial" w:cs="Arial"/>
          <w:b/>
          <w:sz w:val="24"/>
          <w:szCs w:val="24"/>
        </w:rPr>
      </w:pPr>
      <w:r w:rsidRPr="002D7BFA">
        <w:rPr>
          <w:rFonts w:ascii="Arial" w:hAnsi="Arial" w:cs="Arial"/>
          <w:b/>
          <w:sz w:val="24"/>
          <w:szCs w:val="24"/>
        </w:rPr>
        <w:t>3)</w:t>
      </w:r>
      <w:r>
        <w:rPr>
          <w:rFonts w:ascii="Arial" w:hAnsi="Arial" w:cs="Arial"/>
          <w:b/>
          <w:sz w:val="24"/>
          <w:szCs w:val="24"/>
        </w:rPr>
        <w:t xml:space="preserve"> </w:t>
      </w:r>
      <w:r w:rsidR="00424AD7">
        <w:rPr>
          <w:rFonts w:ascii="Arial" w:hAnsi="Arial" w:cs="Arial"/>
          <w:sz w:val="24"/>
          <w:szCs w:val="24"/>
        </w:rPr>
        <w:t>que el convenio a</w:t>
      </w:r>
      <w:r>
        <w:rPr>
          <w:rFonts w:ascii="Arial" w:hAnsi="Arial" w:cs="Arial"/>
          <w:sz w:val="24"/>
          <w:szCs w:val="24"/>
        </w:rPr>
        <w:t xml:space="preserve"> su</w:t>
      </w:r>
      <w:r w:rsidR="00EF1D4C">
        <w:rPr>
          <w:rFonts w:ascii="Arial" w:hAnsi="Arial" w:cs="Arial"/>
          <w:sz w:val="24"/>
          <w:szCs w:val="24"/>
        </w:rPr>
        <w:t>s</w:t>
      </w:r>
      <w:r>
        <w:rPr>
          <w:rFonts w:ascii="Arial" w:hAnsi="Arial" w:cs="Arial"/>
          <w:sz w:val="24"/>
          <w:szCs w:val="24"/>
        </w:rPr>
        <w:t>cribirse</w:t>
      </w:r>
      <w:r w:rsidR="00424AD7">
        <w:rPr>
          <w:rFonts w:ascii="Arial" w:hAnsi="Arial" w:cs="Arial"/>
          <w:sz w:val="24"/>
          <w:szCs w:val="24"/>
        </w:rPr>
        <w:t xml:space="preserve">, quedará abierto a la participación de otros </w:t>
      </w:r>
      <w:r w:rsidR="004464E7">
        <w:rPr>
          <w:rFonts w:ascii="Arial" w:hAnsi="Arial" w:cs="Arial"/>
          <w:sz w:val="24"/>
          <w:szCs w:val="24"/>
        </w:rPr>
        <w:t xml:space="preserve">actores </w:t>
      </w:r>
      <w:r w:rsidR="00424AD7">
        <w:rPr>
          <w:rFonts w:ascii="Arial" w:hAnsi="Arial" w:cs="Arial"/>
          <w:sz w:val="24"/>
          <w:szCs w:val="24"/>
        </w:rPr>
        <w:t xml:space="preserve">públicos o privados, para elaborar, financiar o ejecutar y evaluar los programas y proyectos a que se referirán los planes de </w:t>
      </w:r>
      <w:r w:rsidR="00424AD7">
        <w:rPr>
          <w:rFonts w:ascii="Arial" w:hAnsi="Arial" w:cs="Arial"/>
          <w:sz w:val="24"/>
          <w:szCs w:val="24"/>
        </w:rPr>
        <w:lastRenderedPageBreak/>
        <w:t>trabajo y/o acuerdos específicos acordados y/o suscritos en el marco del convenio</w:t>
      </w:r>
      <w:r w:rsidR="003A13AD">
        <w:rPr>
          <w:rFonts w:ascii="Arial" w:hAnsi="Arial" w:cs="Arial"/>
          <w:sz w:val="24"/>
          <w:szCs w:val="24"/>
        </w:rPr>
        <w:t xml:space="preserve">. Tendrá una duración coincidente con el actual período de gobierno;   </w:t>
      </w:r>
      <w:r w:rsidR="00424AD7">
        <w:rPr>
          <w:rFonts w:ascii="Arial" w:hAnsi="Arial" w:cs="Arial"/>
          <w:sz w:val="24"/>
          <w:szCs w:val="24"/>
        </w:rPr>
        <w:t xml:space="preserve"> </w:t>
      </w:r>
      <w:r>
        <w:rPr>
          <w:rFonts w:ascii="Arial" w:hAnsi="Arial" w:cs="Arial"/>
          <w:sz w:val="24"/>
          <w:szCs w:val="24"/>
        </w:rPr>
        <w:t xml:space="preserve"> </w:t>
      </w:r>
      <w:r w:rsidRPr="002D7BFA">
        <w:rPr>
          <w:rFonts w:ascii="Arial" w:hAnsi="Arial" w:cs="Arial"/>
          <w:b/>
          <w:sz w:val="24"/>
          <w:szCs w:val="24"/>
        </w:rPr>
        <w:t xml:space="preserve">  </w:t>
      </w:r>
    </w:p>
    <w:p w:rsidR="00225EC4" w:rsidRDefault="00404E24" w:rsidP="00225EC4">
      <w:pPr>
        <w:spacing w:after="0" w:line="360" w:lineRule="auto"/>
        <w:ind w:firstLine="851"/>
        <w:jc w:val="both"/>
        <w:rPr>
          <w:rFonts w:ascii="Arial" w:hAnsi="Arial" w:cs="Arial"/>
          <w:sz w:val="24"/>
          <w:szCs w:val="24"/>
          <w:lang w:val="es-MX"/>
        </w:rPr>
      </w:pPr>
      <w:r>
        <w:rPr>
          <w:rFonts w:ascii="Arial" w:hAnsi="Arial" w:cs="Arial"/>
          <w:b/>
          <w:sz w:val="24"/>
          <w:szCs w:val="24"/>
        </w:rPr>
        <w:t xml:space="preserve">CONSIDERANDO: 1) </w:t>
      </w:r>
      <w:r w:rsidR="00225EC4">
        <w:rPr>
          <w:rFonts w:ascii="Arial" w:hAnsi="Arial" w:cs="Arial"/>
          <w:sz w:val="24"/>
          <w:szCs w:val="24"/>
          <w:lang w:val="es-MX"/>
        </w:rPr>
        <w:t>que el A</w:t>
      </w:r>
      <w:r w:rsidR="004E4BCF" w:rsidRPr="004E4BCF">
        <w:rPr>
          <w:rFonts w:ascii="Arial" w:hAnsi="Arial" w:cs="Arial"/>
          <w:sz w:val="24"/>
          <w:szCs w:val="24"/>
          <w:lang w:val="es-MX"/>
        </w:rPr>
        <w:t>rt</w:t>
      </w:r>
      <w:r w:rsidR="00225EC4">
        <w:rPr>
          <w:rFonts w:ascii="Arial" w:hAnsi="Arial" w:cs="Arial"/>
          <w:sz w:val="24"/>
          <w:szCs w:val="24"/>
          <w:lang w:val="es-MX"/>
        </w:rPr>
        <w:t>ículo 8º, N</w:t>
      </w:r>
      <w:r w:rsidR="004E4BCF" w:rsidRPr="004E4BCF">
        <w:rPr>
          <w:rFonts w:ascii="Arial" w:hAnsi="Arial" w:cs="Arial"/>
          <w:sz w:val="24"/>
          <w:szCs w:val="24"/>
          <w:lang w:val="es-MX"/>
        </w:rPr>
        <w:t>umeral 3), del Decreto 574/974 de 12.07.74</w:t>
      </w:r>
      <w:r w:rsidR="005853FD">
        <w:rPr>
          <w:rFonts w:ascii="Arial" w:hAnsi="Arial" w:cs="Arial"/>
          <w:sz w:val="24"/>
          <w:szCs w:val="24"/>
          <w:lang w:val="es-MX"/>
        </w:rPr>
        <w:t>,</w:t>
      </w:r>
      <w:r w:rsidR="004E4BCF" w:rsidRPr="004E4BCF">
        <w:rPr>
          <w:rFonts w:ascii="Arial" w:hAnsi="Arial" w:cs="Arial"/>
          <w:sz w:val="24"/>
          <w:szCs w:val="24"/>
          <w:lang w:val="es-MX"/>
        </w:rPr>
        <w:t xml:space="preserve"> establece que al Ministerio de Industria, Energía y Minería corresponde lo concerniente al fomento de las industrias y del turismo y desarrollo de las </w:t>
      </w:r>
      <w:r w:rsidR="004E4BCF" w:rsidRPr="00225EC4">
        <w:rPr>
          <w:rFonts w:ascii="Arial" w:hAnsi="Arial" w:cs="Arial"/>
          <w:sz w:val="24"/>
          <w:szCs w:val="24"/>
          <w:lang w:val="es-MX"/>
        </w:rPr>
        <w:t>fuentes de energía;</w:t>
      </w:r>
    </w:p>
    <w:p w:rsidR="00CD1726" w:rsidRDefault="004E4BCF" w:rsidP="00CD1726">
      <w:pPr>
        <w:spacing w:after="0" w:line="360" w:lineRule="auto"/>
        <w:ind w:firstLine="3119"/>
        <w:jc w:val="both"/>
        <w:rPr>
          <w:rFonts w:ascii="Arial" w:hAnsi="Arial" w:cs="Arial"/>
          <w:sz w:val="24"/>
          <w:szCs w:val="24"/>
        </w:rPr>
      </w:pPr>
      <w:r w:rsidRPr="00225EC4">
        <w:rPr>
          <w:rFonts w:ascii="Arial" w:hAnsi="Arial" w:cs="Arial"/>
          <w:b/>
          <w:sz w:val="24"/>
          <w:szCs w:val="24"/>
        </w:rPr>
        <w:t>2)</w:t>
      </w:r>
      <w:r w:rsidRPr="00225EC4">
        <w:rPr>
          <w:rFonts w:ascii="Arial" w:hAnsi="Arial" w:cs="Arial"/>
          <w:sz w:val="24"/>
          <w:szCs w:val="24"/>
        </w:rPr>
        <w:t xml:space="preserve"> que </w:t>
      </w:r>
      <w:r w:rsidR="009D54E0" w:rsidRPr="00225EC4">
        <w:rPr>
          <w:rFonts w:ascii="Arial" w:hAnsi="Arial" w:cs="Arial"/>
          <w:b/>
          <w:sz w:val="24"/>
          <w:szCs w:val="24"/>
        </w:rPr>
        <w:t xml:space="preserve"> </w:t>
      </w:r>
      <w:r w:rsidRPr="00225EC4">
        <w:rPr>
          <w:rFonts w:ascii="Arial" w:hAnsi="Arial" w:cs="Arial"/>
          <w:sz w:val="24"/>
          <w:szCs w:val="24"/>
        </w:rPr>
        <w:t xml:space="preserve">INEFOP es persona de derecho </w:t>
      </w:r>
      <w:r w:rsidR="00CD1726">
        <w:rPr>
          <w:rFonts w:ascii="Arial" w:hAnsi="Arial" w:cs="Arial"/>
          <w:sz w:val="24"/>
          <w:szCs w:val="24"/>
        </w:rPr>
        <w:t>público no estatal, creada por Ley N°</w:t>
      </w:r>
      <w:r w:rsidRPr="00225EC4">
        <w:rPr>
          <w:rFonts w:ascii="Arial" w:hAnsi="Arial" w:cs="Arial"/>
          <w:sz w:val="24"/>
          <w:szCs w:val="24"/>
        </w:rPr>
        <w:t xml:space="preserve"> 18.406 del 10/11/2008</w:t>
      </w:r>
      <w:r w:rsidR="00D14163" w:rsidRPr="00225EC4">
        <w:rPr>
          <w:rFonts w:ascii="Arial" w:hAnsi="Arial" w:cs="Arial"/>
          <w:sz w:val="24"/>
          <w:szCs w:val="24"/>
        </w:rPr>
        <w:t xml:space="preserve"> cuyo objeto es actuar en el ámbito del empleo </w:t>
      </w:r>
      <w:r w:rsidR="00301307" w:rsidRPr="00225EC4">
        <w:rPr>
          <w:rFonts w:ascii="Arial" w:hAnsi="Arial" w:cs="Arial"/>
          <w:sz w:val="24"/>
          <w:szCs w:val="24"/>
        </w:rPr>
        <w:t xml:space="preserve">y la formación profesional del sector privado mediante la postulación de una visión sistémica del empleo </w:t>
      </w:r>
      <w:r w:rsidR="005853FD" w:rsidRPr="00225EC4">
        <w:rPr>
          <w:rFonts w:ascii="Arial" w:hAnsi="Arial" w:cs="Arial"/>
          <w:sz w:val="24"/>
          <w:szCs w:val="24"/>
        </w:rPr>
        <w:t>y del trabajo;</w:t>
      </w:r>
    </w:p>
    <w:p w:rsidR="00CD1726" w:rsidRDefault="005853FD" w:rsidP="00CD1726">
      <w:pPr>
        <w:spacing w:after="0" w:line="360" w:lineRule="auto"/>
        <w:ind w:firstLine="3119"/>
        <w:jc w:val="both"/>
        <w:rPr>
          <w:rFonts w:ascii="Arial" w:hAnsi="Arial" w:cs="Arial"/>
          <w:sz w:val="24"/>
          <w:szCs w:val="24"/>
        </w:rPr>
      </w:pPr>
      <w:r w:rsidRPr="00225EC4">
        <w:rPr>
          <w:rFonts w:ascii="Arial" w:hAnsi="Arial" w:cs="Arial"/>
          <w:b/>
          <w:sz w:val="24"/>
          <w:szCs w:val="24"/>
        </w:rPr>
        <w:t xml:space="preserve">3) </w:t>
      </w:r>
      <w:r w:rsidRPr="00225EC4">
        <w:rPr>
          <w:rFonts w:ascii="Arial" w:hAnsi="Arial" w:cs="Arial"/>
          <w:sz w:val="24"/>
          <w:szCs w:val="24"/>
        </w:rPr>
        <w:t>que la UTEC cuenta con su Instituto Regional Centro Sur con sede en Durazno, con recursos humanos capacitados para el desarrollo de la iniciativa. Asimismo posee un acuerdo con la Base Aérea No. II (Fuerza Aérea Uruguaya) que permite alojar futuras instalaciones del Centro y estudiantes durante el desarrollo de los cursos;</w:t>
      </w:r>
    </w:p>
    <w:p w:rsidR="00CD1726" w:rsidRDefault="005853FD" w:rsidP="00CD1726">
      <w:pPr>
        <w:spacing w:after="0" w:line="360" w:lineRule="auto"/>
        <w:ind w:firstLine="3119"/>
        <w:jc w:val="both"/>
        <w:rPr>
          <w:rFonts w:ascii="Arial" w:hAnsi="Arial" w:cs="Arial"/>
          <w:sz w:val="24"/>
          <w:szCs w:val="24"/>
        </w:rPr>
      </w:pPr>
      <w:r w:rsidRPr="00225EC4">
        <w:rPr>
          <w:rFonts w:ascii="Arial" w:hAnsi="Arial" w:cs="Arial"/>
          <w:b/>
          <w:sz w:val="24"/>
          <w:szCs w:val="24"/>
        </w:rPr>
        <w:t>4)</w:t>
      </w:r>
      <w:r w:rsidRPr="00225EC4">
        <w:rPr>
          <w:rFonts w:ascii="Arial" w:hAnsi="Arial" w:cs="Arial"/>
          <w:sz w:val="24"/>
          <w:szCs w:val="24"/>
        </w:rPr>
        <w:t xml:space="preserve"> </w:t>
      </w:r>
      <w:r w:rsidR="00CD6DAA" w:rsidRPr="00225EC4">
        <w:rPr>
          <w:rFonts w:ascii="Arial" w:hAnsi="Arial" w:cs="Arial"/>
          <w:sz w:val="24"/>
          <w:szCs w:val="24"/>
        </w:rPr>
        <w:t>que la CIU es la institución designada por el MIEM para la certificación de componente nacional de las inversiones en energías renovables, poseyendo conocimiento de las empresas nacionales que participan en la</w:t>
      </w:r>
      <w:r w:rsidR="00CD1726">
        <w:rPr>
          <w:rFonts w:ascii="Arial" w:hAnsi="Arial" w:cs="Arial"/>
          <w:sz w:val="24"/>
          <w:szCs w:val="24"/>
        </w:rPr>
        <w:t xml:space="preserve"> cadena de valor de ese sector;</w:t>
      </w:r>
    </w:p>
    <w:p w:rsidR="00CD1726" w:rsidRDefault="00727DB3" w:rsidP="00CD1726">
      <w:pPr>
        <w:spacing w:after="0" w:line="360" w:lineRule="auto"/>
        <w:ind w:firstLine="3119"/>
        <w:jc w:val="both"/>
        <w:rPr>
          <w:rFonts w:ascii="Arial" w:hAnsi="Arial" w:cs="Arial"/>
          <w:sz w:val="24"/>
          <w:szCs w:val="24"/>
        </w:rPr>
      </w:pPr>
      <w:r w:rsidRPr="00225EC4">
        <w:rPr>
          <w:rFonts w:ascii="Arial" w:hAnsi="Arial" w:cs="Arial"/>
          <w:b/>
          <w:sz w:val="24"/>
          <w:szCs w:val="24"/>
        </w:rPr>
        <w:t xml:space="preserve">5) </w:t>
      </w:r>
      <w:r w:rsidRPr="00225EC4">
        <w:rPr>
          <w:rFonts w:ascii="Arial" w:hAnsi="Arial" w:cs="Arial"/>
          <w:sz w:val="24"/>
          <w:szCs w:val="24"/>
        </w:rPr>
        <w:t>que el PIT CNT ha participado en el marco de los consejos sectoriales en la identificación de oportunidades</w:t>
      </w:r>
      <w:r w:rsidR="00CD1726">
        <w:rPr>
          <w:rFonts w:ascii="Arial" w:hAnsi="Arial" w:cs="Arial"/>
          <w:sz w:val="24"/>
          <w:szCs w:val="24"/>
        </w:rPr>
        <w:t>;</w:t>
      </w:r>
    </w:p>
    <w:p w:rsidR="00CD1726" w:rsidRDefault="00490F6D" w:rsidP="00CD1726">
      <w:pPr>
        <w:spacing w:after="0" w:line="360" w:lineRule="auto"/>
        <w:ind w:firstLine="3119"/>
        <w:jc w:val="both"/>
        <w:rPr>
          <w:rFonts w:ascii="Arial" w:hAnsi="Arial" w:cs="Arial"/>
          <w:color w:val="000000"/>
          <w:sz w:val="24"/>
          <w:szCs w:val="24"/>
          <w:lang w:val="es-UY"/>
        </w:rPr>
      </w:pPr>
      <w:r w:rsidRPr="00225EC4">
        <w:rPr>
          <w:rFonts w:ascii="Arial" w:hAnsi="Arial" w:cs="Arial"/>
          <w:b/>
          <w:color w:val="000000"/>
          <w:sz w:val="24"/>
          <w:szCs w:val="24"/>
          <w:lang w:val="es-UY"/>
        </w:rPr>
        <w:t>6)</w:t>
      </w:r>
      <w:r w:rsidRPr="00225EC4">
        <w:rPr>
          <w:rFonts w:ascii="Arial" w:hAnsi="Arial" w:cs="Arial"/>
          <w:color w:val="000000"/>
          <w:sz w:val="24"/>
          <w:szCs w:val="24"/>
          <w:lang w:val="es-UY"/>
        </w:rPr>
        <w:t xml:space="preserve"> que el presente convenio fue celebrado al amparo de la causa</w:t>
      </w:r>
      <w:r w:rsidR="00CD1726">
        <w:rPr>
          <w:rFonts w:ascii="Arial" w:hAnsi="Arial" w:cs="Arial"/>
          <w:color w:val="000000"/>
          <w:sz w:val="24"/>
          <w:szCs w:val="24"/>
          <w:lang w:val="es-UY"/>
        </w:rPr>
        <w:t>l de excepción prevista por el Numeral 1º del Literal C) del A</w:t>
      </w:r>
      <w:r w:rsidRPr="00225EC4">
        <w:rPr>
          <w:rFonts w:ascii="Arial" w:hAnsi="Arial" w:cs="Arial"/>
          <w:color w:val="000000"/>
          <w:sz w:val="24"/>
          <w:szCs w:val="24"/>
          <w:lang w:val="es-UY"/>
        </w:rPr>
        <w:t>rtículo 33 del TOCAF;</w:t>
      </w:r>
    </w:p>
    <w:p w:rsidR="00CD1726" w:rsidRDefault="00490F6D" w:rsidP="00CD1726">
      <w:pPr>
        <w:spacing w:after="0" w:line="360" w:lineRule="auto"/>
        <w:ind w:firstLine="3119"/>
        <w:jc w:val="both"/>
        <w:rPr>
          <w:rFonts w:ascii="Arial" w:hAnsi="Arial" w:cs="Arial"/>
          <w:bCs/>
          <w:sz w:val="24"/>
          <w:szCs w:val="24"/>
        </w:rPr>
      </w:pPr>
      <w:r w:rsidRPr="00225EC4">
        <w:rPr>
          <w:rFonts w:ascii="Arial" w:hAnsi="Arial" w:cs="Arial"/>
          <w:b/>
          <w:color w:val="000000"/>
          <w:sz w:val="24"/>
          <w:szCs w:val="24"/>
          <w:lang w:val="es-UY"/>
        </w:rPr>
        <w:t>7)</w:t>
      </w:r>
      <w:r w:rsidRPr="00225EC4">
        <w:rPr>
          <w:rFonts w:ascii="Arial" w:hAnsi="Arial" w:cs="Arial"/>
          <w:color w:val="000000"/>
          <w:sz w:val="24"/>
          <w:szCs w:val="24"/>
          <w:lang w:val="es-UY"/>
        </w:rPr>
        <w:t xml:space="preserve"> que no obstante lo anterior, se advierte que la previsión contenida </w:t>
      </w:r>
      <w:r w:rsidRPr="00225EC4">
        <w:rPr>
          <w:rFonts w:ascii="Arial" w:hAnsi="Arial" w:cs="Arial"/>
          <w:sz w:val="24"/>
          <w:szCs w:val="24"/>
          <w:lang w:val="es-MX"/>
        </w:rPr>
        <w:t xml:space="preserve"> en la cláusula 5) del convenio,  por la cual se consagra la posibilidad genérica de que terceros participen para colaborar</w:t>
      </w:r>
      <w:r w:rsidRPr="00225EC4">
        <w:rPr>
          <w:rFonts w:ascii="Arial" w:hAnsi="Arial" w:cs="Arial"/>
          <w:bCs/>
          <w:sz w:val="24"/>
          <w:szCs w:val="24"/>
        </w:rPr>
        <w:t xml:space="preserve"> en el financiamiento, ejecución, coordinación, seguimiento o evaluación de los programas y proyectos  ejecutados en  función del convenio, podría vulnerar la </w:t>
      </w:r>
      <w:r w:rsidRPr="00225EC4">
        <w:rPr>
          <w:rFonts w:ascii="Arial" w:hAnsi="Arial" w:cs="Arial"/>
          <w:bCs/>
          <w:sz w:val="24"/>
          <w:szCs w:val="24"/>
        </w:rPr>
        <w:lastRenderedPageBreak/>
        <w:t>norma referida en el n</w:t>
      </w:r>
      <w:r w:rsidR="00CD1726">
        <w:rPr>
          <w:rFonts w:ascii="Arial" w:hAnsi="Arial" w:cs="Arial"/>
          <w:bCs/>
          <w:sz w:val="24"/>
          <w:szCs w:val="24"/>
        </w:rPr>
        <w:t>umeral anterior. En efecto, el A</w:t>
      </w:r>
      <w:r w:rsidRPr="00225EC4">
        <w:rPr>
          <w:rFonts w:ascii="Arial" w:hAnsi="Arial" w:cs="Arial"/>
          <w:bCs/>
          <w:sz w:val="24"/>
          <w:szCs w:val="24"/>
        </w:rPr>
        <w:t xml:space="preserve">rtículo 33 del TOCAF dispone que las contrataciones a que refiere específicamente  la excepción mencionada </w:t>
      </w:r>
      <w:r w:rsidRPr="00225EC4">
        <w:rPr>
          <w:rFonts w:ascii="Arial" w:hAnsi="Arial" w:cs="Arial"/>
          <w:bCs/>
          <w:i/>
          <w:sz w:val="24"/>
          <w:szCs w:val="24"/>
        </w:rPr>
        <w:t>“…no podrán incluir la participación, directa o indirecta de empresa privadas.</w:t>
      </w:r>
      <w:r w:rsidRPr="00225EC4">
        <w:rPr>
          <w:rFonts w:ascii="Arial" w:hAnsi="Arial" w:cs="Arial"/>
          <w:bCs/>
          <w:sz w:val="24"/>
          <w:szCs w:val="24"/>
        </w:rPr>
        <w:t>”;</w:t>
      </w:r>
    </w:p>
    <w:p w:rsidR="00CD1726" w:rsidRDefault="00490F6D" w:rsidP="00CD1726">
      <w:pPr>
        <w:spacing w:after="0" w:line="360" w:lineRule="auto"/>
        <w:ind w:firstLine="3119"/>
        <w:jc w:val="both"/>
        <w:rPr>
          <w:rFonts w:ascii="Arial" w:hAnsi="Arial" w:cs="Arial"/>
          <w:bCs/>
          <w:sz w:val="24"/>
          <w:szCs w:val="24"/>
        </w:rPr>
      </w:pPr>
      <w:r w:rsidRPr="00225EC4">
        <w:rPr>
          <w:rFonts w:ascii="Arial" w:hAnsi="Arial" w:cs="Arial"/>
          <w:b/>
          <w:bCs/>
          <w:sz w:val="24"/>
          <w:szCs w:val="24"/>
        </w:rPr>
        <w:t>8)</w:t>
      </w:r>
      <w:r w:rsidRPr="00225EC4">
        <w:rPr>
          <w:rFonts w:ascii="Arial" w:hAnsi="Arial" w:cs="Arial"/>
          <w:bCs/>
          <w:sz w:val="24"/>
          <w:szCs w:val="24"/>
        </w:rPr>
        <w:t xml:space="preserve"> que en consecuencia, los Organismos intervinientes, al suscribir los convenios en aplicación de la cláusula 5) del convenio, deberán tener en cuenta y dar cumplimiento a lo previsto por la norma legal invocada para proceder a la contratación directa;</w:t>
      </w:r>
    </w:p>
    <w:p w:rsidR="00490F6D" w:rsidRPr="00225EC4" w:rsidRDefault="00490F6D" w:rsidP="00CD1726">
      <w:pPr>
        <w:spacing w:after="0" w:line="360" w:lineRule="auto"/>
        <w:ind w:firstLine="3119"/>
        <w:jc w:val="both"/>
        <w:rPr>
          <w:rFonts w:ascii="Arial" w:hAnsi="Arial" w:cs="Arial"/>
          <w:bCs/>
          <w:sz w:val="24"/>
          <w:szCs w:val="24"/>
        </w:rPr>
      </w:pPr>
      <w:r w:rsidRPr="00225EC4">
        <w:rPr>
          <w:rFonts w:ascii="Arial" w:hAnsi="Arial" w:cs="Arial"/>
          <w:b/>
          <w:bCs/>
          <w:sz w:val="24"/>
          <w:szCs w:val="24"/>
        </w:rPr>
        <w:t>9)</w:t>
      </w:r>
      <w:r w:rsidRPr="00225EC4">
        <w:rPr>
          <w:rFonts w:ascii="Arial" w:hAnsi="Arial" w:cs="Arial"/>
          <w:bCs/>
          <w:sz w:val="24"/>
          <w:szCs w:val="24"/>
        </w:rPr>
        <w:t xml:space="preserve"> que asimismo, dichos convenios complementa</w:t>
      </w:r>
      <w:r w:rsidR="00CD1726">
        <w:rPr>
          <w:rFonts w:ascii="Arial" w:hAnsi="Arial" w:cs="Arial"/>
          <w:bCs/>
          <w:sz w:val="24"/>
          <w:szCs w:val="24"/>
        </w:rPr>
        <w:softHyphen/>
      </w:r>
      <w:r w:rsidRPr="00225EC4">
        <w:rPr>
          <w:rFonts w:ascii="Arial" w:hAnsi="Arial" w:cs="Arial"/>
          <w:bCs/>
          <w:sz w:val="24"/>
          <w:szCs w:val="24"/>
        </w:rPr>
        <w:t>rios, en atención a su naturaleza y/o monto, deberán ser remitidos para la intervención preventiva  de legalidad a este Tribunal o a su Contador Auditor destacado ante los Organismos;</w:t>
      </w:r>
    </w:p>
    <w:p w:rsidR="00490F6D" w:rsidRPr="00225EC4" w:rsidRDefault="00490F6D" w:rsidP="00CD1726">
      <w:pPr>
        <w:spacing w:after="0" w:line="360" w:lineRule="auto"/>
        <w:ind w:firstLine="851"/>
        <w:jc w:val="both"/>
        <w:rPr>
          <w:rFonts w:ascii="Arial" w:hAnsi="Arial" w:cs="Arial"/>
          <w:sz w:val="24"/>
          <w:szCs w:val="24"/>
        </w:rPr>
      </w:pPr>
      <w:r w:rsidRPr="00225EC4">
        <w:rPr>
          <w:rFonts w:ascii="Arial" w:hAnsi="Arial" w:cs="Arial"/>
          <w:b/>
          <w:bCs/>
          <w:sz w:val="24"/>
          <w:szCs w:val="24"/>
        </w:rPr>
        <w:t>ATENTO</w:t>
      </w:r>
      <w:r w:rsidR="00CD1726">
        <w:rPr>
          <w:rFonts w:ascii="Arial" w:hAnsi="Arial" w:cs="Arial"/>
          <w:sz w:val="24"/>
          <w:szCs w:val="24"/>
        </w:rPr>
        <w:t>:</w:t>
      </w:r>
      <w:r w:rsidRPr="00225EC4">
        <w:rPr>
          <w:rFonts w:ascii="Arial" w:hAnsi="Arial" w:cs="Arial"/>
          <w:sz w:val="24"/>
          <w:szCs w:val="24"/>
        </w:rPr>
        <w:t xml:space="preserve"> a lo precedentemente ex</w:t>
      </w:r>
      <w:r w:rsidR="00CD1726">
        <w:rPr>
          <w:rFonts w:ascii="Arial" w:hAnsi="Arial" w:cs="Arial"/>
          <w:sz w:val="24"/>
          <w:szCs w:val="24"/>
        </w:rPr>
        <w:t>puesto y a lo dispuesto por el Artículo 211 L</w:t>
      </w:r>
      <w:r w:rsidRPr="00225EC4">
        <w:rPr>
          <w:rFonts w:ascii="Arial" w:hAnsi="Arial" w:cs="Arial"/>
          <w:sz w:val="24"/>
          <w:szCs w:val="24"/>
        </w:rPr>
        <w:t xml:space="preserve">iteral B)  de la Constitución de la República; </w:t>
      </w:r>
    </w:p>
    <w:p w:rsidR="00490F6D" w:rsidRPr="00225EC4" w:rsidRDefault="00490F6D" w:rsidP="00225EC4">
      <w:pPr>
        <w:spacing w:after="0" w:line="360" w:lineRule="auto"/>
        <w:jc w:val="center"/>
        <w:rPr>
          <w:rFonts w:ascii="Arial" w:hAnsi="Arial" w:cs="Arial"/>
          <w:sz w:val="24"/>
          <w:szCs w:val="24"/>
        </w:rPr>
      </w:pPr>
      <w:r w:rsidRPr="00225EC4">
        <w:rPr>
          <w:rFonts w:ascii="Arial" w:hAnsi="Arial" w:cs="Arial"/>
          <w:b/>
          <w:sz w:val="24"/>
          <w:szCs w:val="24"/>
        </w:rPr>
        <w:t>EL TRIBUNAL ACUERDA</w:t>
      </w:r>
    </w:p>
    <w:p w:rsidR="00490F6D" w:rsidRPr="00225EC4" w:rsidRDefault="00490F6D" w:rsidP="00CD1726">
      <w:pPr>
        <w:pStyle w:val="Prrafodelista"/>
        <w:numPr>
          <w:ilvl w:val="0"/>
          <w:numId w:val="1"/>
        </w:numPr>
        <w:spacing w:line="360" w:lineRule="auto"/>
        <w:ind w:left="284" w:hanging="284"/>
        <w:jc w:val="both"/>
        <w:rPr>
          <w:rFonts w:cs="Arial"/>
        </w:rPr>
      </w:pPr>
      <w:r w:rsidRPr="00225EC4">
        <w:rPr>
          <w:rFonts w:cs="Arial"/>
        </w:rPr>
        <w:t>No formular observaciones al convenio remitido;</w:t>
      </w:r>
    </w:p>
    <w:p w:rsidR="00490F6D" w:rsidRPr="00225EC4" w:rsidRDefault="00490F6D" w:rsidP="00CD1726">
      <w:pPr>
        <w:pStyle w:val="Prrafodelista"/>
        <w:numPr>
          <w:ilvl w:val="0"/>
          <w:numId w:val="1"/>
        </w:numPr>
        <w:spacing w:line="360" w:lineRule="auto"/>
        <w:ind w:left="284" w:hanging="284"/>
        <w:jc w:val="both"/>
        <w:rPr>
          <w:rFonts w:cs="Arial"/>
        </w:rPr>
      </w:pPr>
      <w:r w:rsidRPr="00225EC4">
        <w:rPr>
          <w:rFonts w:cs="Arial"/>
        </w:rPr>
        <w:t>Téngase presente lo señalado en los Considerandos 6</w:t>
      </w:r>
      <w:r w:rsidR="00CD1726">
        <w:rPr>
          <w:rFonts w:cs="Arial"/>
        </w:rPr>
        <w:t>)</w:t>
      </w:r>
      <w:r w:rsidRPr="00225EC4">
        <w:rPr>
          <w:rFonts w:cs="Arial"/>
        </w:rPr>
        <w:t>,</w:t>
      </w:r>
      <w:r w:rsidR="00CD1726">
        <w:rPr>
          <w:rFonts w:cs="Arial"/>
        </w:rPr>
        <w:t xml:space="preserve"> </w:t>
      </w:r>
      <w:r w:rsidRPr="00225EC4">
        <w:rPr>
          <w:rFonts w:cs="Arial"/>
        </w:rPr>
        <w:t>7</w:t>
      </w:r>
      <w:r w:rsidR="00CD1726">
        <w:rPr>
          <w:rFonts w:cs="Arial"/>
        </w:rPr>
        <w:t>)</w:t>
      </w:r>
      <w:r w:rsidR="002925FA" w:rsidRPr="00225EC4">
        <w:rPr>
          <w:rFonts w:cs="Arial"/>
        </w:rPr>
        <w:t xml:space="preserve">, </w:t>
      </w:r>
      <w:r w:rsidRPr="00225EC4">
        <w:rPr>
          <w:rFonts w:cs="Arial"/>
        </w:rPr>
        <w:t>8</w:t>
      </w:r>
      <w:r w:rsidR="00CD1726">
        <w:rPr>
          <w:rFonts w:cs="Arial"/>
        </w:rPr>
        <w:t>)</w:t>
      </w:r>
      <w:r w:rsidR="002925FA" w:rsidRPr="00225EC4">
        <w:rPr>
          <w:rFonts w:cs="Arial"/>
        </w:rPr>
        <w:t xml:space="preserve"> y 9</w:t>
      </w:r>
      <w:r w:rsidR="00CD1726">
        <w:rPr>
          <w:rFonts w:cs="Arial"/>
        </w:rPr>
        <w:t>)</w:t>
      </w:r>
      <w:r w:rsidRPr="00225EC4">
        <w:rPr>
          <w:rFonts w:cs="Arial"/>
        </w:rPr>
        <w:t>;</w:t>
      </w:r>
    </w:p>
    <w:p w:rsidR="008512B4" w:rsidRPr="008512B4" w:rsidRDefault="00490F6D" w:rsidP="008512B4">
      <w:pPr>
        <w:pStyle w:val="Prrafodelista"/>
        <w:numPr>
          <w:ilvl w:val="0"/>
          <w:numId w:val="1"/>
        </w:numPr>
        <w:spacing w:line="360" w:lineRule="auto"/>
        <w:ind w:left="284" w:hanging="284"/>
        <w:jc w:val="both"/>
        <w:rPr>
          <w:rFonts w:cs="Arial"/>
          <w:b/>
        </w:rPr>
      </w:pPr>
      <w:r w:rsidRPr="00CD1726">
        <w:rPr>
          <w:rFonts w:cs="Arial"/>
        </w:rPr>
        <w:t>Devolver los antecedentes.</w:t>
      </w:r>
    </w:p>
    <w:p w:rsidR="008512B4" w:rsidRDefault="008512B4" w:rsidP="00D71A3A">
      <w:pPr>
        <w:spacing w:line="360" w:lineRule="auto"/>
        <w:jc w:val="both"/>
        <w:rPr>
          <w:rFonts w:ascii="Arial" w:hAnsi="Arial" w:cs="Arial"/>
          <w:b/>
          <w:szCs w:val="24"/>
          <w:lang w:val="es-UY"/>
        </w:rPr>
      </w:pPr>
    </w:p>
    <w:p w:rsidR="00EE666C" w:rsidRPr="00EE666C" w:rsidRDefault="008512B4" w:rsidP="00EE666C">
      <w:pPr>
        <w:spacing w:after="0" w:line="360" w:lineRule="auto"/>
        <w:jc w:val="both"/>
        <w:rPr>
          <w:rFonts w:ascii="Arial" w:hAnsi="Arial" w:cs="Arial"/>
          <w:sz w:val="24"/>
          <w:szCs w:val="24"/>
        </w:rPr>
      </w:pPr>
      <w:r w:rsidRPr="00EE666C">
        <w:rPr>
          <w:rFonts w:ascii="Arial" w:hAnsi="Arial" w:cs="Arial"/>
          <w:b/>
          <w:sz w:val="24"/>
          <w:szCs w:val="24"/>
          <w:lang w:val="es-UY"/>
        </w:rPr>
        <w:t>CONSTANCIA DE FUNDAMENTO DE VOTO DISCORDE DEL MINISTRO DR. ALVARO EZCURRA</w:t>
      </w:r>
      <w:r w:rsidRPr="00E9382D">
        <w:rPr>
          <w:rFonts w:ascii="Arial" w:hAnsi="Arial" w:cs="Arial"/>
          <w:b/>
          <w:szCs w:val="24"/>
          <w:lang w:val="es-UY"/>
        </w:rPr>
        <w:t xml:space="preserve">: </w:t>
      </w:r>
      <w:r w:rsidR="00EE666C" w:rsidRPr="00EE666C">
        <w:rPr>
          <w:rFonts w:ascii="Arial" w:hAnsi="Arial" w:cs="Arial"/>
          <w:sz w:val="24"/>
          <w:szCs w:val="24"/>
        </w:rPr>
        <w:t>Voto discorde la presente carpeta por entender, al igual que la división Jurídica del Tribunal que el convenio debió haberse observado.</w:t>
      </w:r>
    </w:p>
    <w:p w:rsidR="00EE666C" w:rsidRPr="00EE666C" w:rsidRDefault="00EE666C" w:rsidP="00EE666C">
      <w:pPr>
        <w:spacing w:after="0" w:line="360" w:lineRule="auto"/>
        <w:jc w:val="both"/>
        <w:rPr>
          <w:rFonts w:ascii="Arial" w:hAnsi="Arial" w:cs="Arial"/>
          <w:sz w:val="24"/>
          <w:szCs w:val="24"/>
        </w:rPr>
      </w:pPr>
      <w:r w:rsidRPr="00EE666C">
        <w:rPr>
          <w:rFonts w:ascii="Arial" w:hAnsi="Arial" w:cs="Arial"/>
          <w:sz w:val="24"/>
          <w:szCs w:val="24"/>
        </w:rPr>
        <w:t>Dos son las razones que sustentan mi opinión y están detalladas en los “Considera</w:t>
      </w:r>
      <w:r>
        <w:rPr>
          <w:rFonts w:ascii="Arial" w:hAnsi="Arial" w:cs="Arial"/>
          <w:sz w:val="24"/>
          <w:szCs w:val="24"/>
        </w:rPr>
        <w:t>ndos” 6 ,7 y 8 de la Resolución</w:t>
      </w:r>
      <w:r w:rsidRPr="00EE666C">
        <w:rPr>
          <w:rFonts w:ascii="Arial" w:hAnsi="Arial" w:cs="Arial"/>
          <w:sz w:val="24"/>
          <w:szCs w:val="24"/>
        </w:rPr>
        <w:t xml:space="preserve">. En el primero de ellos se advierte que de la previsión contenida en la cláusula 5) del convenio se consagra la posibilidad genérica de que terceros participen para colaborar en el financiamiento, ejecución o evaluación de los programas y proyectos </w:t>
      </w:r>
      <w:r w:rsidRPr="00EE666C">
        <w:rPr>
          <w:rFonts w:ascii="Arial" w:hAnsi="Arial" w:cs="Arial"/>
          <w:sz w:val="24"/>
          <w:szCs w:val="24"/>
        </w:rPr>
        <w:lastRenderedPageBreak/>
        <w:t>ejecutados en función del convenio vulnerándose tal forma el literal C) numeral 1) del artículo 33 ya que dicho artículo establece que en las contrataciones verificadas</w:t>
      </w:r>
      <w:r>
        <w:rPr>
          <w:rFonts w:ascii="Arial" w:hAnsi="Arial" w:cs="Arial"/>
          <w:sz w:val="24"/>
          <w:szCs w:val="24"/>
        </w:rPr>
        <w:t xml:space="preserve"> al amparo de tal excepción, “. </w:t>
      </w:r>
      <w:proofErr w:type="gramStart"/>
      <w:r>
        <w:rPr>
          <w:rFonts w:ascii="Arial" w:hAnsi="Arial" w:cs="Arial"/>
          <w:sz w:val="24"/>
          <w:szCs w:val="24"/>
        </w:rPr>
        <w:t>no</w:t>
      </w:r>
      <w:proofErr w:type="gramEnd"/>
      <w:r>
        <w:rPr>
          <w:rFonts w:ascii="Arial" w:hAnsi="Arial" w:cs="Arial"/>
          <w:sz w:val="24"/>
          <w:szCs w:val="24"/>
        </w:rPr>
        <w:t xml:space="preserve"> podrán inclui</w:t>
      </w:r>
      <w:r w:rsidRPr="00EE666C">
        <w:rPr>
          <w:rFonts w:ascii="Arial" w:hAnsi="Arial" w:cs="Arial"/>
          <w:sz w:val="24"/>
          <w:szCs w:val="24"/>
        </w:rPr>
        <w:t>r la participación directa o indirecta de empresas privadas”.</w:t>
      </w:r>
    </w:p>
    <w:p w:rsidR="00EE666C" w:rsidRDefault="00EE666C" w:rsidP="00EE666C">
      <w:pPr>
        <w:spacing w:after="0" w:line="360" w:lineRule="auto"/>
        <w:jc w:val="both"/>
        <w:rPr>
          <w:rFonts w:ascii="Arial" w:hAnsi="Arial" w:cs="Arial"/>
          <w:sz w:val="24"/>
          <w:szCs w:val="24"/>
        </w:rPr>
      </w:pPr>
      <w:r w:rsidRPr="00EE666C">
        <w:rPr>
          <w:rFonts w:ascii="Arial" w:hAnsi="Arial" w:cs="Arial"/>
          <w:sz w:val="24"/>
          <w:szCs w:val="24"/>
        </w:rPr>
        <w:t>Sumado a dicha causal de observación se comparte asimismo la establecida en el Considerando 8) ya que no se ha acreditado ni invocado ninguna causal de excepción al procedimiento competitivo que ampare la contratación directa con la CIU y el PIT-CNT.</w:t>
      </w:r>
    </w:p>
    <w:p w:rsidR="00EE666C" w:rsidRDefault="00EE666C" w:rsidP="00EE666C">
      <w:pPr>
        <w:spacing w:after="0" w:line="360" w:lineRule="auto"/>
        <w:jc w:val="both"/>
        <w:rPr>
          <w:rFonts w:ascii="Arial" w:hAnsi="Arial" w:cs="Arial"/>
          <w:sz w:val="24"/>
          <w:szCs w:val="24"/>
        </w:rPr>
      </w:pPr>
    </w:p>
    <w:p w:rsidR="00EE666C" w:rsidRDefault="00EE666C" w:rsidP="00EE666C">
      <w:pPr>
        <w:spacing w:after="0" w:line="360" w:lineRule="auto"/>
        <w:jc w:val="both"/>
        <w:rPr>
          <w:rFonts w:ascii="Arial" w:hAnsi="Arial" w:cs="Arial"/>
          <w:sz w:val="24"/>
          <w:szCs w:val="24"/>
        </w:rPr>
      </w:pPr>
    </w:p>
    <w:p w:rsidR="00EE666C" w:rsidRDefault="00EE666C" w:rsidP="00EE666C">
      <w:pPr>
        <w:spacing w:after="0" w:line="360" w:lineRule="auto"/>
        <w:jc w:val="both"/>
        <w:rPr>
          <w:rFonts w:ascii="Arial" w:hAnsi="Arial" w:cs="Arial"/>
          <w:sz w:val="24"/>
          <w:szCs w:val="24"/>
        </w:rPr>
      </w:pPr>
    </w:p>
    <w:p w:rsidR="00EE666C" w:rsidRDefault="00EE666C" w:rsidP="00EE666C">
      <w:pPr>
        <w:spacing w:after="0" w:line="360" w:lineRule="auto"/>
        <w:jc w:val="both"/>
        <w:rPr>
          <w:rFonts w:ascii="Arial" w:hAnsi="Arial" w:cs="Arial"/>
          <w:sz w:val="24"/>
          <w:szCs w:val="24"/>
        </w:rPr>
      </w:pPr>
    </w:p>
    <w:p w:rsidR="007B0CFC" w:rsidRPr="008512B4" w:rsidRDefault="00EE666C" w:rsidP="00EE666C">
      <w:pPr>
        <w:spacing w:after="0" w:line="360" w:lineRule="auto"/>
        <w:ind w:hanging="284"/>
        <w:jc w:val="both"/>
        <w:rPr>
          <w:rFonts w:ascii="Arial" w:hAnsi="Arial" w:cs="Arial"/>
          <w:sz w:val="24"/>
          <w:szCs w:val="24"/>
        </w:rPr>
      </w:pPr>
      <w:proofErr w:type="gramStart"/>
      <w:r>
        <w:rPr>
          <w:rFonts w:ascii="Arial" w:hAnsi="Arial" w:cs="Arial"/>
          <w:sz w:val="24"/>
          <w:szCs w:val="24"/>
        </w:rPr>
        <w:t>dc</w:t>
      </w:r>
      <w:bookmarkStart w:id="0" w:name="_GoBack"/>
      <w:bookmarkEnd w:id="0"/>
      <w:proofErr w:type="gramEnd"/>
      <w:r w:rsidR="00727DB3" w:rsidRPr="008512B4">
        <w:rPr>
          <w:rFonts w:ascii="Arial" w:hAnsi="Arial" w:cs="Arial"/>
          <w:sz w:val="24"/>
          <w:szCs w:val="24"/>
        </w:rPr>
        <w:t xml:space="preserve"> </w:t>
      </w:r>
    </w:p>
    <w:sectPr w:rsidR="007B0CFC" w:rsidRPr="008512B4" w:rsidSect="00982317">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6D" w:rsidRDefault="00490F6D" w:rsidP="00D6024A">
      <w:pPr>
        <w:spacing w:after="0" w:line="240" w:lineRule="auto"/>
      </w:pPr>
      <w:r>
        <w:separator/>
      </w:r>
    </w:p>
  </w:endnote>
  <w:endnote w:type="continuationSeparator" w:id="0">
    <w:p w:rsidR="00490F6D" w:rsidRDefault="00490F6D"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962850"/>
      <w:docPartObj>
        <w:docPartGallery w:val="Page Numbers (Bottom of Page)"/>
        <w:docPartUnique/>
      </w:docPartObj>
    </w:sdtPr>
    <w:sdtContent>
      <w:p w:rsidR="00EE666C" w:rsidRDefault="00EE666C">
        <w:pPr>
          <w:pStyle w:val="Piedepgina"/>
          <w:jc w:val="center"/>
        </w:pPr>
        <w:r>
          <w:fldChar w:fldCharType="begin"/>
        </w:r>
        <w:r>
          <w:instrText>PAGE   \* MERGEFORMAT</w:instrText>
        </w:r>
        <w:r>
          <w:fldChar w:fldCharType="separate"/>
        </w:r>
        <w:r>
          <w:rPr>
            <w:noProof/>
          </w:rPr>
          <w:t>4</w:t>
        </w:r>
        <w:r>
          <w:fldChar w:fldCharType="end"/>
        </w:r>
      </w:p>
    </w:sdtContent>
  </w:sdt>
  <w:p w:rsidR="00EE666C" w:rsidRDefault="00EE66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6D" w:rsidRDefault="00490F6D" w:rsidP="00D6024A">
      <w:pPr>
        <w:spacing w:after="0" w:line="240" w:lineRule="auto"/>
      </w:pPr>
      <w:r>
        <w:separator/>
      </w:r>
    </w:p>
  </w:footnote>
  <w:footnote w:type="continuationSeparator" w:id="0">
    <w:p w:rsidR="00490F6D" w:rsidRDefault="00490F6D"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7C49"/>
    <w:multiLevelType w:val="multilevel"/>
    <w:tmpl w:val="6EEA8D14"/>
    <w:lvl w:ilvl="0">
      <w:start w:val="1"/>
      <w:numFmt w:val="decimal"/>
      <w:lvlText w:val="%1)"/>
      <w:lvlJc w:val="left"/>
      <w:pPr>
        <w:ind w:left="720" w:hanging="360"/>
      </w:pPr>
      <w:rPr>
        <w:rFonts w:ascii="Arial" w:eastAsia="Times New Roman"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91C06"/>
    <w:rsid w:val="00107DED"/>
    <w:rsid w:val="00210A40"/>
    <w:rsid w:val="00225EC4"/>
    <w:rsid w:val="00230F61"/>
    <w:rsid w:val="002925FA"/>
    <w:rsid w:val="002A6C2D"/>
    <w:rsid w:val="002D7BFA"/>
    <w:rsid w:val="002F0A83"/>
    <w:rsid w:val="00301307"/>
    <w:rsid w:val="00381FEE"/>
    <w:rsid w:val="003A13AD"/>
    <w:rsid w:val="00404E24"/>
    <w:rsid w:val="00424AD7"/>
    <w:rsid w:val="004464E7"/>
    <w:rsid w:val="00490F6D"/>
    <w:rsid w:val="004E4BCF"/>
    <w:rsid w:val="005445CE"/>
    <w:rsid w:val="00565D7D"/>
    <w:rsid w:val="00581BC9"/>
    <w:rsid w:val="005853FD"/>
    <w:rsid w:val="005D388B"/>
    <w:rsid w:val="00626CBA"/>
    <w:rsid w:val="00637452"/>
    <w:rsid w:val="006A5A1A"/>
    <w:rsid w:val="006C0DD8"/>
    <w:rsid w:val="00727DB3"/>
    <w:rsid w:val="007B0CFC"/>
    <w:rsid w:val="007E5330"/>
    <w:rsid w:val="008512B4"/>
    <w:rsid w:val="00982317"/>
    <w:rsid w:val="009D54E0"/>
    <w:rsid w:val="00B05AE6"/>
    <w:rsid w:val="00B76F00"/>
    <w:rsid w:val="00CD1726"/>
    <w:rsid w:val="00CD6DAA"/>
    <w:rsid w:val="00D14163"/>
    <w:rsid w:val="00D6024A"/>
    <w:rsid w:val="00DE505C"/>
    <w:rsid w:val="00E9702C"/>
    <w:rsid w:val="00EE666C"/>
    <w:rsid w:val="00EF1D4C"/>
    <w:rsid w:val="00FA31CB"/>
    <w:rsid w:val="00FD112A"/>
    <w:rsid w:val="00FD6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4464E7"/>
    <w:pPr>
      <w:suppressAutoHyphens/>
      <w:autoSpaceDN w:val="0"/>
      <w:spacing w:after="0" w:line="240" w:lineRule="auto"/>
      <w:ind w:left="720"/>
      <w:contextualSpacing/>
      <w:textAlignment w:val="baseline"/>
    </w:pPr>
    <w:rPr>
      <w:rFonts w:ascii="Arial" w:eastAsia="Times New Roman" w:hAnsi="Arial" w:cs="Times New Roman"/>
      <w:sz w:val="24"/>
      <w:szCs w:val="24"/>
      <w:lang w:eastAsia="es-ES"/>
    </w:rPr>
  </w:style>
  <w:style w:type="paragraph" w:styleId="Subttulo">
    <w:name w:val="Subtitle"/>
    <w:basedOn w:val="Normal"/>
    <w:next w:val="Normal"/>
    <w:link w:val="SubttuloCar"/>
    <w:uiPriority w:val="11"/>
    <w:qFormat/>
    <w:rsid w:val="00107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07DE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107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4464E7"/>
    <w:pPr>
      <w:suppressAutoHyphens/>
      <w:autoSpaceDN w:val="0"/>
      <w:spacing w:after="0" w:line="240" w:lineRule="auto"/>
      <w:ind w:left="720"/>
      <w:contextualSpacing/>
      <w:textAlignment w:val="baseline"/>
    </w:pPr>
    <w:rPr>
      <w:rFonts w:ascii="Arial" w:eastAsia="Times New Roman" w:hAnsi="Arial" w:cs="Times New Roman"/>
      <w:sz w:val="24"/>
      <w:szCs w:val="24"/>
      <w:lang w:eastAsia="es-ES"/>
    </w:rPr>
  </w:style>
  <w:style w:type="paragraph" w:styleId="Subttulo">
    <w:name w:val="Subtitle"/>
    <w:basedOn w:val="Normal"/>
    <w:next w:val="Normal"/>
    <w:link w:val="SubttuloCar"/>
    <w:uiPriority w:val="11"/>
    <w:qFormat/>
    <w:rsid w:val="00107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07DE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107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73C5-5F11-496F-87DF-59838CAC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2018-06-13T18:27:00Z</cp:lastPrinted>
  <dcterms:created xsi:type="dcterms:W3CDTF">2018-06-13T18:27:00Z</dcterms:created>
  <dcterms:modified xsi:type="dcterms:W3CDTF">2018-06-13T18:27:00Z</dcterms:modified>
</cp:coreProperties>
</file>