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ACB" w:rsidRPr="00712204" w:rsidRDefault="00E30ACB" w:rsidP="00712204">
      <w:pPr>
        <w:tabs>
          <w:tab w:val="center" w:pos="4253"/>
        </w:tabs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E30ACB">
        <w:rPr>
          <w:rFonts w:ascii="Arial" w:hAnsi="Arial" w:cs="Arial"/>
          <w:b/>
          <w:sz w:val="28"/>
          <w:szCs w:val="28"/>
          <w:lang w:val="es-ES_tradnl"/>
        </w:rPr>
        <w:t>RES. 131</w:t>
      </w:r>
      <w:r>
        <w:rPr>
          <w:rFonts w:ascii="Arial" w:hAnsi="Arial" w:cs="Arial"/>
          <w:b/>
          <w:sz w:val="28"/>
          <w:szCs w:val="28"/>
          <w:lang w:val="es-ES_tradnl"/>
        </w:rPr>
        <w:t>2</w:t>
      </w:r>
      <w:r w:rsidRPr="00E30ACB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E30ACB" w:rsidRPr="00E30ACB" w:rsidRDefault="00E30ACB" w:rsidP="00E30ACB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30ACB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E30ACB" w:rsidRPr="00E30ACB" w:rsidRDefault="00E30ACB" w:rsidP="00E30ACB">
      <w:pPr>
        <w:tabs>
          <w:tab w:val="left" w:pos="-72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30ACB" w:rsidRPr="00E30ACB" w:rsidRDefault="00E30ACB" w:rsidP="00E30ACB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30ACB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E30ACB" w:rsidRPr="00E30ACB" w:rsidRDefault="00E30ACB" w:rsidP="00E30ACB">
      <w:pPr>
        <w:tabs>
          <w:tab w:val="left" w:pos="-72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30ACB" w:rsidRPr="00E30ACB" w:rsidRDefault="00E30ACB" w:rsidP="00E30ACB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30ACB">
        <w:rPr>
          <w:rFonts w:ascii="Arial" w:hAnsi="Arial" w:cs="Arial"/>
          <w:b/>
          <w:sz w:val="24"/>
          <w:szCs w:val="24"/>
          <w:lang w:val="es-ES_tradnl"/>
        </w:rPr>
        <w:t>EN SESION DE FECHA 18 DE ABRIL DE 2018</w:t>
      </w:r>
    </w:p>
    <w:p w:rsidR="00E30ACB" w:rsidRPr="00E30ACB" w:rsidRDefault="00E30ACB" w:rsidP="00E30ACB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30ACB" w:rsidRPr="00A278E3" w:rsidRDefault="00E30ACB" w:rsidP="00E30ACB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278E3">
        <w:rPr>
          <w:rFonts w:ascii="Arial" w:hAnsi="Arial" w:cs="Arial"/>
          <w:b/>
          <w:sz w:val="24"/>
          <w:szCs w:val="24"/>
        </w:rPr>
        <w:t>(E. E. Nº</w:t>
      </w:r>
      <w:r w:rsidR="00A278E3" w:rsidRPr="00A278E3">
        <w:rPr>
          <w:rFonts w:ascii="Arial" w:hAnsi="Arial" w:cs="Arial"/>
          <w:b/>
          <w:sz w:val="24"/>
          <w:szCs w:val="24"/>
        </w:rPr>
        <w:t xml:space="preserve"> </w:t>
      </w:r>
      <w:r w:rsidRPr="00E30ACB">
        <w:rPr>
          <w:rFonts w:ascii="Arial" w:hAnsi="Arial" w:cs="Arial"/>
          <w:b/>
          <w:sz w:val="24"/>
          <w:szCs w:val="24"/>
        </w:rPr>
        <w:t>201</w:t>
      </w:r>
      <w:r w:rsidR="00963A30">
        <w:rPr>
          <w:rFonts w:ascii="Arial" w:hAnsi="Arial" w:cs="Arial"/>
          <w:b/>
          <w:sz w:val="24"/>
          <w:szCs w:val="24"/>
        </w:rPr>
        <w:t>8</w:t>
      </w:r>
      <w:r w:rsidRPr="00E30ACB">
        <w:rPr>
          <w:rFonts w:ascii="Arial" w:hAnsi="Arial" w:cs="Arial"/>
          <w:b/>
          <w:sz w:val="24"/>
          <w:szCs w:val="24"/>
        </w:rPr>
        <w:t>-17-1-0001</w:t>
      </w:r>
      <w:r w:rsidR="00B3437B">
        <w:rPr>
          <w:rFonts w:ascii="Arial" w:hAnsi="Arial" w:cs="Arial"/>
          <w:b/>
          <w:sz w:val="24"/>
          <w:szCs w:val="24"/>
        </w:rPr>
        <w:t>493</w:t>
      </w:r>
      <w:r w:rsidRPr="00E30ACB">
        <w:rPr>
          <w:rFonts w:ascii="Arial" w:hAnsi="Arial" w:cs="Arial"/>
          <w:b/>
          <w:sz w:val="24"/>
          <w:szCs w:val="24"/>
        </w:rPr>
        <w:t>,</w:t>
      </w:r>
      <w:r w:rsidRPr="00A278E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278E3">
        <w:rPr>
          <w:rFonts w:ascii="Arial" w:hAnsi="Arial" w:cs="Arial"/>
          <w:b/>
          <w:sz w:val="24"/>
          <w:szCs w:val="24"/>
        </w:rPr>
        <w:t>Ent</w:t>
      </w:r>
      <w:proofErr w:type="spellEnd"/>
      <w:r w:rsidRPr="00A278E3">
        <w:rPr>
          <w:rFonts w:ascii="Arial" w:hAnsi="Arial" w:cs="Arial"/>
          <w:b/>
          <w:sz w:val="24"/>
          <w:szCs w:val="24"/>
        </w:rPr>
        <w:t>. N°</w:t>
      </w:r>
      <w:r w:rsidR="00A278E3" w:rsidRPr="00A278E3">
        <w:rPr>
          <w:rFonts w:ascii="Arial" w:hAnsi="Arial" w:cs="Arial"/>
          <w:b/>
          <w:sz w:val="24"/>
          <w:szCs w:val="24"/>
        </w:rPr>
        <w:t xml:space="preserve"> </w:t>
      </w:r>
      <w:r w:rsidRPr="00E30ACB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115</w:t>
      </w:r>
      <w:r w:rsidRPr="00E30ACB">
        <w:rPr>
          <w:rFonts w:ascii="Arial" w:hAnsi="Arial" w:cs="Arial"/>
          <w:b/>
          <w:sz w:val="24"/>
          <w:szCs w:val="24"/>
        </w:rPr>
        <w:t>/18</w:t>
      </w:r>
      <w:r w:rsidRPr="00A278E3">
        <w:rPr>
          <w:rFonts w:ascii="Arial" w:hAnsi="Arial" w:cs="Arial"/>
          <w:b/>
          <w:sz w:val="24"/>
          <w:szCs w:val="24"/>
        </w:rPr>
        <w:t>)</w:t>
      </w:r>
    </w:p>
    <w:p w:rsidR="00E30ACB" w:rsidRDefault="00E30ACB" w:rsidP="00F50423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F50423" w:rsidRDefault="00F50423" w:rsidP="00E30ACB">
      <w:pPr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F50423">
        <w:rPr>
          <w:rFonts w:ascii="Arial" w:eastAsia="Calibri" w:hAnsi="Arial" w:cs="Arial"/>
          <w:b/>
          <w:sz w:val="24"/>
          <w:szCs w:val="24"/>
        </w:rPr>
        <w:t>VISTO:</w:t>
      </w:r>
      <w:r w:rsidRPr="00F50423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la</w:t>
      </w:r>
      <w:r w:rsidRPr="00F50423">
        <w:rPr>
          <w:rFonts w:ascii="Arial" w:eastAsia="Calibri" w:hAnsi="Arial" w:cs="Arial"/>
          <w:sz w:val="24"/>
          <w:szCs w:val="24"/>
        </w:rPr>
        <w:t xml:space="preserve"> nota de fecha </w:t>
      </w:r>
      <w:r w:rsidR="00947B1E">
        <w:rPr>
          <w:rFonts w:ascii="Arial" w:eastAsia="Calibri" w:hAnsi="Arial" w:cs="Arial"/>
          <w:sz w:val="24"/>
          <w:szCs w:val="24"/>
        </w:rPr>
        <w:t>18/02/2018</w:t>
      </w:r>
      <w:r w:rsidRPr="00F50423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presentada por </w:t>
      </w:r>
      <w:r w:rsidRPr="00F50423">
        <w:rPr>
          <w:rFonts w:ascii="Arial" w:eastAsia="Calibri" w:hAnsi="Arial" w:cs="Arial"/>
          <w:sz w:val="24"/>
          <w:szCs w:val="24"/>
        </w:rPr>
        <w:t xml:space="preserve">el Ministerio de Transporte y Obras Públicas (MTOP) </w:t>
      </w:r>
      <w:r w:rsidR="00E72648">
        <w:rPr>
          <w:rFonts w:ascii="Arial" w:eastAsia="Calibri" w:hAnsi="Arial" w:cs="Arial"/>
          <w:sz w:val="24"/>
          <w:szCs w:val="24"/>
        </w:rPr>
        <w:t xml:space="preserve">en la que se </w:t>
      </w:r>
      <w:r w:rsidRPr="00F50423">
        <w:rPr>
          <w:rFonts w:ascii="Arial" w:eastAsia="Calibri" w:hAnsi="Arial" w:cs="Arial"/>
          <w:sz w:val="24"/>
          <w:szCs w:val="24"/>
        </w:rPr>
        <w:t xml:space="preserve">solicita </w:t>
      </w:r>
      <w:r w:rsidR="00E72648">
        <w:rPr>
          <w:rFonts w:ascii="Arial" w:eastAsia="Calibri" w:hAnsi="Arial" w:cs="Arial"/>
          <w:sz w:val="24"/>
          <w:szCs w:val="24"/>
        </w:rPr>
        <w:t xml:space="preserve">incluir en el procedimiento especial autorizado por este Tribunal con fecha 08/12/2017 </w:t>
      </w:r>
      <w:r w:rsidR="00E72648" w:rsidRPr="00E72648">
        <w:rPr>
          <w:rFonts w:ascii="Arial" w:eastAsia="Calibri" w:hAnsi="Arial" w:cs="Arial"/>
          <w:sz w:val="24"/>
          <w:szCs w:val="24"/>
        </w:rPr>
        <w:t>(EE. 20016-17-1007178)</w:t>
      </w:r>
      <w:r w:rsidR="00947B1E">
        <w:rPr>
          <w:rFonts w:ascii="Arial" w:eastAsia="Calibri" w:hAnsi="Arial" w:cs="Arial"/>
          <w:sz w:val="24"/>
          <w:szCs w:val="24"/>
        </w:rPr>
        <w:t xml:space="preserve"> las t</w:t>
      </w:r>
      <w:r w:rsidR="00E72648">
        <w:rPr>
          <w:rFonts w:ascii="Arial" w:eastAsia="Calibri" w:hAnsi="Arial" w:cs="Arial"/>
          <w:sz w:val="24"/>
          <w:szCs w:val="24"/>
        </w:rPr>
        <w:t xml:space="preserve">ransferencias que realiza para </w:t>
      </w:r>
      <w:r w:rsidR="00E72648" w:rsidRPr="00E72648">
        <w:rPr>
          <w:rFonts w:ascii="Arial" w:eastAsia="Calibri" w:hAnsi="Arial" w:cs="Arial"/>
          <w:sz w:val="24"/>
          <w:szCs w:val="24"/>
        </w:rPr>
        <w:t>financia</w:t>
      </w:r>
      <w:r w:rsidR="00E72648">
        <w:rPr>
          <w:rFonts w:ascii="Arial" w:eastAsia="Calibri" w:hAnsi="Arial" w:cs="Arial"/>
          <w:sz w:val="24"/>
          <w:szCs w:val="24"/>
        </w:rPr>
        <w:t>r</w:t>
      </w:r>
      <w:r w:rsidR="00E72648" w:rsidRPr="00E72648">
        <w:rPr>
          <w:rFonts w:ascii="Arial" w:eastAsia="Calibri" w:hAnsi="Arial" w:cs="Arial"/>
          <w:sz w:val="24"/>
          <w:szCs w:val="24"/>
        </w:rPr>
        <w:t xml:space="preserve"> obras ejecutadas en el marco del Convenio Corporación Nacional para el Desarrollo-Corporación Vial del Uruguay (CND-CVU);</w:t>
      </w:r>
    </w:p>
    <w:p w:rsidR="004D600D" w:rsidRDefault="00E72648" w:rsidP="00E30ACB">
      <w:pPr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F50423">
        <w:rPr>
          <w:rFonts w:ascii="Arial" w:eastAsia="Calibri" w:hAnsi="Arial" w:cs="Arial"/>
          <w:b/>
          <w:sz w:val="24"/>
          <w:szCs w:val="24"/>
        </w:rPr>
        <w:t>RESULTANDO:</w:t>
      </w:r>
      <w:r w:rsidRPr="00F50423">
        <w:rPr>
          <w:rFonts w:ascii="Arial" w:eastAsia="Calibri" w:hAnsi="Arial" w:cs="Arial"/>
          <w:sz w:val="24"/>
          <w:szCs w:val="24"/>
        </w:rPr>
        <w:t xml:space="preserve"> </w:t>
      </w:r>
      <w:r w:rsidRPr="00F50423">
        <w:rPr>
          <w:rFonts w:ascii="Arial" w:eastAsia="Calibri" w:hAnsi="Arial" w:cs="Arial"/>
          <w:b/>
          <w:sz w:val="24"/>
          <w:szCs w:val="24"/>
        </w:rPr>
        <w:t>1)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E72648">
        <w:rPr>
          <w:rFonts w:ascii="Arial" w:eastAsia="Calibri" w:hAnsi="Arial" w:cs="Arial"/>
          <w:sz w:val="24"/>
          <w:szCs w:val="24"/>
        </w:rPr>
        <w:t xml:space="preserve">que </w:t>
      </w:r>
      <w:r w:rsidR="00947B1E">
        <w:rPr>
          <w:rFonts w:ascii="Arial" w:eastAsia="Calibri" w:hAnsi="Arial" w:cs="Arial"/>
          <w:sz w:val="24"/>
          <w:szCs w:val="24"/>
        </w:rPr>
        <w:t>por</w:t>
      </w:r>
      <w:r w:rsidRPr="00E72648">
        <w:rPr>
          <w:rFonts w:ascii="Arial" w:eastAsia="Calibri" w:hAnsi="Arial" w:cs="Arial"/>
          <w:sz w:val="24"/>
          <w:szCs w:val="24"/>
        </w:rPr>
        <w:t xml:space="preserve"> dicho procedimiento especial se autoriz</w:t>
      </w:r>
      <w:r w:rsidR="004D600D">
        <w:rPr>
          <w:rFonts w:ascii="Arial" w:eastAsia="Calibri" w:hAnsi="Arial" w:cs="Arial"/>
          <w:sz w:val="24"/>
          <w:szCs w:val="24"/>
        </w:rPr>
        <w:t>ó la programación semestral de las obras</w:t>
      </w:r>
      <w:r w:rsidR="008E734A">
        <w:rPr>
          <w:rFonts w:ascii="Arial" w:eastAsia="Calibri" w:hAnsi="Arial" w:cs="Arial"/>
          <w:sz w:val="24"/>
          <w:szCs w:val="24"/>
        </w:rPr>
        <w:t>,</w:t>
      </w:r>
      <w:r w:rsidR="004D600D">
        <w:rPr>
          <w:rFonts w:ascii="Arial" w:eastAsia="Calibri" w:hAnsi="Arial" w:cs="Arial"/>
          <w:sz w:val="24"/>
          <w:szCs w:val="24"/>
        </w:rPr>
        <w:t xml:space="preserve"> debiendo remitir a</w:t>
      </w:r>
      <w:r w:rsidR="00947B1E">
        <w:rPr>
          <w:rFonts w:ascii="Arial" w:eastAsia="Calibri" w:hAnsi="Arial" w:cs="Arial"/>
          <w:sz w:val="24"/>
          <w:szCs w:val="24"/>
        </w:rPr>
        <w:t>l</w:t>
      </w:r>
      <w:r w:rsidR="004D600D">
        <w:rPr>
          <w:rFonts w:ascii="Arial" w:eastAsia="Calibri" w:hAnsi="Arial" w:cs="Arial"/>
          <w:sz w:val="24"/>
          <w:szCs w:val="24"/>
        </w:rPr>
        <w:t xml:space="preserve"> control de los Auditores destacados ante </w:t>
      </w:r>
      <w:r w:rsidR="00947B1E">
        <w:rPr>
          <w:rFonts w:ascii="Arial" w:eastAsia="Calibri" w:hAnsi="Arial" w:cs="Arial"/>
          <w:sz w:val="24"/>
          <w:szCs w:val="24"/>
        </w:rPr>
        <w:t>el</w:t>
      </w:r>
      <w:r w:rsidR="004D600D">
        <w:rPr>
          <w:rFonts w:ascii="Arial" w:eastAsia="Calibri" w:hAnsi="Arial" w:cs="Arial"/>
          <w:sz w:val="24"/>
          <w:szCs w:val="24"/>
        </w:rPr>
        <w:t xml:space="preserve"> Inciso</w:t>
      </w:r>
      <w:r w:rsidR="00947B1E">
        <w:rPr>
          <w:rFonts w:ascii="Arial" w:eastAsia="Calibri" w:hAnsi="Arial" w:cs="Arial"/>
          <w:sz w:val="24"/>
          <w:szCs w:val="24"/>
        </w:rPr>
        <w:t>,</w:t>
      </w:r>
      <w:r w:rsidR="004D600D">
        <w:rPr>
          <w:rFonts w:ascii="Arial" w:eastAsia="Calibri" w:hAnsi="Arial" w:cs="Arial"/>
          <w:sz w:val="24"/>
          <w:szCs w:val="24"/>
        </w:rPr>
        <w:t xml:space="preserve">  antes del 28 de febrero y  31 de agosto</w:t>
      </w:r>
      <w:r w:rsidR="00947B1E">
        <w:rPr>
          <w:rFonts w:ascii="Arial" w:eastAsia="Calibri" w:hAnsi="Arial" w:cs="Arial"/>
          <w:sz w:val="24"/>
          <w:szCs w:val="24"/>
        </w:rPr>
        <w:t xml:space="preserve"> de cada año, las afectaciones correspondientes a</w:t>
      </w:r>
      <w:r w:rsidR="004D600D">
        <w:rPr>
          <w:rFonts w:ascii="Arial" w:eastAsia="Calibri" w:hAnsi="Arial" w:cs="Arial"/>
          <w:sz w:val="24"/>
          <w:szCs w:val="24"/>
        </w:rPr>
        <w:t xml:space="preserve"> la totalidad de las obras a ejecutar en los respectivos  semestres;</w:t>
      </w:r>
    </w:p>
    <w:p w:rsidR="005E7EC9" w:rsidRPr="00A278E3" w:rsidRDefault="00A278E3" w:rsidP="00A278E3">
      <w:pPr>
        <w:tabs>
          <w:tab w:val="left" w:pos="0"/>
        </w:tabs>
        <w:spacing w:after="0" w:line="360" w:lineRule="auto"/>
        <w:ind w:firstLine="2694"/>
        <w:jc w:val="both"/>
        <w:rPr>
          <w:rFonts w:ascii="Arial" w:eastAsia="Calibri" w:hAnsi="Arial" w:cs="Arial"/>
          <w:sz w:val="24"/>
          <w:szCs w:val="24"/>
        </w:rPr>
      </w:pPr>
      <w:r w:rsidRPr="00A278E3">
        <w:rPr>
          <w:rFonts w:ascii="Arial" w:eastAsia="Calibri" w:hAnsi="Arial" w:cs="Arial"/>
          <w:b/>
          <w:sz w:val="24"/>
          <w:szCs w:val="24"/>
        </w:rPr>
        <w:t>2)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5E7EC9" w:rsidRPr="00A278E3">
        <w:rPr>
          <w:rFonts w:ascii="Arial" w:eastAsia="Calibri" w:hAnsi="Arial" w:cs="Arial"/>
          <w:sz w:val="24"/>
          <w:szCs w:val="24"/>
        </w:rPr>
        <w:t xml:space="preserve">que en resolución de fecha </w:t>
      </w:r>
      <w:r w:rsidR="005E7EC9" w:rsidRPr="00A278E3">
        <w:rPr>
          <w:rFonts w:ascii="Arial" w:hAnsi="Arial" w:cs="Arial"/>
          <w:sz w:val="24"/>
          <w:szCs w:val="24"/>
        </w:rPr>
        <w:t xml:space="preserve">20/07/2017 (E.E. 2016-17-1-0007178), </w:t>
      </w:r>
      <w:r w:rsidR="005E7EC9" w:rsidRPr="00A278E3">
        <w:rPr>
          <w:rFonts w:ascii="Arial" w:eastAsia="Calibri" w:hAnsi="Arial" w:cs="Arial"/>
          <w:sz w:val="24"/>
          <w:szCs w:val="24"/>
        </w:rPr>
        <w:t>este Tribunal</w:t>
      </w:r>
      <w:r w:rsidR="005E7EC9" w:rsidRPr="00A278E3">
        <w:rPr>
          <w:rFonts w:ascii="Arial" w:hAnsi="Arial" w:cs="Arial"/>
          <w:sz w:val="24"/>
          <w:szCs w:val="24"/>
        </w:rPr>
        <w:t xml:space="preserve"> señal</w:t>
      </w:r>
      <w:r w:rsidR="00947B1E" w:rsidRPr="00A278E3">
        <w:rPr>
          <w:rFonts w:ascii="Arial" w:hAnsi="Arial" w:cs="Arial"/>
          <w:sz w:val="24"/>
          <w:szCs w:val="24"/>
        </w:rPr>
        <w:t>ó</w:t>
      </w:r>
      <w:r w:rsidR="005E7EC9" w:rsidRPr="00A278E3">
        <w:rPr>
          <w:rFonts w:ascii="Arial" w:hAnsi="Arial" w:cs="Arial"/>
          <w:sz w:val="24"/>
          <w:szCs w:val="24"/>
        </w:rPr>
        <w:t xml:space="preserve"> que</w:t>
      </w:r>
      <w:r w:rsidR="00947B1E" w:rsidRPr="00A278E3">
        <w:rPr>
          <w:rFonts w:ascii="Arial" w:hAnsi="Arial" w:cs="Arial"/>
          <w:sz w:val="24"/>
          <w:szCs w:val="24"/>
        </w:rPr>
        <w:t>,</w:t>
      </w:r>
      <w:r w:rsidR="005E7EC9" w:rsidRPr="00A278E3">
        <w:rPr>
          <w:rFonts w:ascii="Arial" w:hAnsi="Arial" w:cs="Arial"/>
          <w:sz w:val="24"/>
          <w:szCs w:val="24"/>
        </w:rPr>
        <w:t xml:space="preserve"> al estar los montos de las </w:t>
      </w:r>
      <w:r w:rsidR="00947B1E" w:rsidRPr="00A278E3">
        <w:rPr>
          <w:rFonts w:ascii="Arial" w:hAnsi="Arial" w:cs="Arial"/>
          <w:sz w:val="24"/>
          <w:szCs w:val="24"/>
        </w:rPr>
        <w:t>o</w:t>
      </w:r>
      <w:r w:rsidR="005E7EC9" w:rsidRPr="00A278E3">
        <w:rPr>
          <w:rFonts w:ascii="Arial" w:hAnsi="Arial" w:cs="Arial"/>
          <w:sz w:val="24"/>
          <w:szCs w:val="24"/>
        </w:rPr>
        <w:t xml:space="preserve">bras que se ejecutan por </w:t>
      </w:r>
      <w:r w:rsidR="00947B1E" w:rsidRPr="00A278E3">
        <w:rPr>
          <w:rFonts w:ascii="Arial" w:hAnsi="Arial" w:cs="Arial"/>
          <w:sz w:val="24"/>
          <w:szCs w:val="24"/>
        </w:rPr>
        <w:t xml:space="preserve">el </w:t>
      </w:r>
      <w:r w:rsidR="005E7EC9" w:rsidRPr="00A278E3">
        <w:rPr>
          <w:rFonts w:ascii="Arial" w:hAnsi="Arial" w:cs="Arial"/>
          <w:sz w:val="24"/>
          <w:szCs w:val="24"/>
        </w:rPr>
        <w:t xml:space="preserve">convenio con la CND-CVU </w:t>
      </w:r>
      <w:r w:rsidR="005E7EC9" w:rsidRPr="00A278E3">
        <w:rPr>
          <w:rFonts w:ascii="Arial" w:eastAsia="Calibri" w:hAnsi="Arial" w:cs="Arial"/>
          <w:sz w:val="24"/>
          <w:szCs w:val="24"/>
        </w:rPr>
        <w:t>y los vencimientos de las transferencias fijados contractualmente, la situación planteada no encuadra en el concepto de "Obras" incluido en lo resuelto por este Tribunal con fecha 08/12/2017</w:t>
      </w:r>
      <w:r w:rsidR="008E734A" w:rsidRPr="00A278E3">
        <w:rPr>
          <w:rFonts w:ascii="Arial" w:eastAsia="Calibri" w:hAnsi="Arial" w:cs="Arial"/>
          <w:sz w:val="24"/>
          <w:szCs w:val="24"/>
        </w:rPr>
        <w:t>;</w:t>
      </w:r>
    </w:p>
    <w:p w:rsidR="009E06D0" w:rsidRDefault="00A278E3" w:rsidP="00A278E3">
      <w:pPr>
        <w:pStyle w:val="Prrafodelista"/>
        <w:spacing w:after="0" w:line="360" w:lineRule="auto"/>
        <w:ind w:left="0" w:firstLine="2694"/>
        <w:jc w:val="both"/>
        <w:rPr>
          <w:rFonts w:ascii="Arial" w:eastAsia="Calibri" w:hAnsi="Arial" w:cs="Arial"/>
          <w:sz w:val="24"/>
          <w:szCs w:val="24"/>
        </w:rPr>
      </w:pPr>
      <w:r w:rsidRPr="00A278E3">
        <w:rPr>
          <w:rFonts w:ascii="Arial" w:eastAsia="Calibri" w:hAnsi="Arial" w:cs="Arial"/>
          <w:b/>
          <w:sz w:val="24"/>
          <w:szCs w:val="24"/>
        </w:rPr>
        <w:t>3)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1A6DA0">
        <w:rPr>
          <w:rFonts w:ascii="Arial" w:eastAsia="Calibri" w:hAnsi="Arial" w:cs="Arial"/>
          <w:sz w:val="24"/>
          <w:szCs w:val="24"/>
        </w:rPr>
        <w:t>que</w:t>
      </w:r>
      <w:r w:rsidR="005E7EC9">
        <w:rPr>
          <w:rFonts w:ascii="Arial" w:eastAsia="Calibri" w:hAnsi="Arial" w:cs="Arial"/>
          <w:sz w:val="24"/>
          <w:szCs w:val="24"/>
        </w:rPr>
        <w:t xml:space="preserve"> </w:t>
      </w:r>
      <w:r w:rsidR="008B087B">
        <w:rPr>
          <w:rFonts w:ascii="Arial" w:eastAsia="Calibri" w:hAnsi="Arial" w:cs="Arial"/>
          <w:sz w:val="24"/>
          <w:szCs w:val="24"/>
        </w:rPr>
        <w:t>en esta oportunidad</w:t>
      </w:r>
      <w:r w:rsidR="001A6DA0">
        <w:rPr>
          <w:rFonts w:ascii="Arial" w:eastAsia="Calibri" w:hAnsi="Arial" w:cs="Arial"/>
          <w:sz w:val="24"/>
          <w:szCs w:val="24"/>
        </w:rPr>
        <w:t xml:space="preserve"> </w:t>
      </w:r>
      <w:r w:rsidR="00947B1E">
        <w:rPr>
          <w:rFonts w:ascii="Arial" w:eastAsia="Calibri" w:hAnsi="Arial" w:cs="Arial"/>
          <w:sz w:val="24"/>
          <w:szCs w:val="24"/>
        </w:rPr>
        <w:t>el MTOP</w:t>
      </w:r>
      <w:r w:rsidR="001A6DA0">
        <w:rPr>
          <w:rFonts w:ascii="Arial" w:eastAsia="Calibri" w:hAnsi="Arial" w:cs="Arial"/>
          <w:sz w:val="24"/>
          <w:szCs w:val="24"/>
        </w:rPr>
        <w:t xml:space="preserve"> expresa </w:t>
      </w:r>
      <w:r w:rsidR="001A6DA0" w:rsidRPr="001A6DA0">
        <w:rPr>
          <w:rFonts w:ascii="Arial" w:eastAsia="Calibri" w:hAnsi="Arial" w:cs="Arial"/>
          <w:sz w:val="24"/>
          <w:szCs w:val="24"/>
        </w:rPr>
        <w:t xml:space="preserve">que el ajuste de los créditos presupuestales por </w:t>
      </w:r>
      <w:r w:rsidR="00947B1E">
        <w:rPr>
          <w:rFonts w:ascii="Arial" w:eastAsia="Calibri" w:hAnsi="Arial" w:cs="Arial"/>
          <w:sz w:val="24"/>
          <w:szCs w:val="24"/>
        </w:rPr>
        <w:t>el Índice de Precios al Consumo,</w:t>
      </w:r>
      <w:r w:rsidR="001A6DA0" w:rsidRPr="001A6DA0">
        <w:rPr>
          <w:rFonts w:ascii="Arial" w:eastAsia="Calibri" w:hAnsi="Arial" w:cs="Arial"/>
          <w:sz w:val="24"/>
          <w:szCs w:val="24"/>
        </w:rPr>
        <w:t xml:space="preserve"> </w:t>
      </w:r>
      <w:r w:rsidR="00947B1E">
        <w:rPr>
          <w:rFonts w:ascii="Arial" w:eastAsia="Calibri" w:hAnsi="Arial" w:cs="Arial"/>
          <w:sz w:val="24"/>
          <w:szCs w:val="24"/>
        </w:rPr>
        <w:t>conforme</w:t>
      </w:r>
      <w:r w:rsidR="001A6DA0" w:rsidRPr="001A6DA0">
        <w:rPr>
          <w:rFonts w:ascii="Arial" w:eastAsia="Calibri" w:hAnsi="Arial" w:cs="Arial"/>
          <w:sz w:val="24"/>
          <w:szCs w:val="24"/>
        </w:rPr>
        <w:t xml:space="preserve"> a lo dispuesto por </w:t>
      </w:r>
      <w:r w:rsidR="00947B1E">
        <w:rPr>
          <w:rFonts w:ascii="Arial" w:eastAsia="Calibri" w:hAnsi="Arial" w:cs="Arial"/>
          <w:sz w:val="24"/>
          <w:szCs w:val="24"/>
        </w:rPr>
        <w:t>el artículo 397 de la Ley N° 19355,</w:t>
      </w:r>
      <w:r w:rsidR="001A6DA0" w:rsidRPr="001A6DA0">
        <w:rPr>
          <w:rFonts w:ascii="Arial" w:eastAsia="Calibri" w:hAnsi="Arial" w:cs="Arial"/>
          <w:sz w:val="24"/>
          <w:szCs w:val="24"/>
        </w:rPr>
        <w:t xml:space="preserve"> se realiza tomando en cuenta la variación de dicho índice en el  ejercicio anterior sobre los créditos ejecutados en inversiones en dicho ejercicio</w:t>
      </w:r>
      <w:r w:rsidR="009E06D0">
        <w:rPr>
          <w:rFonts w:ascii="Arial" w:eastAsia="Calibri" w:hAnsi="Arial" w:cs="Arial"/>
          <w:sz w:val="24"/>
          <w:szCs w:val="24"/>
        </w:rPr>
        <w:t>, por lo que el monto definitivo del mismo</w:t>
      </w:r>
      <w:r w:rsidR="008E734A">
        <w:rPr>
          <w:rFonts w:ascii="Arial" w:eastAsia="Calibri" w:hAnsi="Arial" w:cs="Arial"/>
          <w:sz w:val="24"/>
          <w:szCs w:val="24"/>
        </w:rPr>
        <w:t>,</w:t>
      </w:r>
      <w:r w:rsidR="009E06D0">
        <w:rPr>
          <w:rFonts w:ascii="Arial" w:eastAsia="Calibri" w:hAnsi="Arial" w:cs="Arial"/>
          <w:sz w:val="24"/>
          <w:szCs w:val="24"/>
        </w:rPr>
        <w:t xml:space="preserve"> </w:t>
      </w:r>
      <w:r w:rsidR="00975487">
        <w:rPr>
          <w:rFonts w:ascii="Arial" w:eastAsia="Calibri" w:hAnsi="Arial" w:cs="Arial"/>
          <w:sz w:val="24"/>
          <w:szCs w:val="24"/>
        </w:rPr>
        <w:t>previo informe de la Oficina de Planeamiento y Presupuesto</w:t>
      </w:r>
      <w:r w:rsidR="008E734A">
        <w:rPr>
          <w:rFonts w:ascii="Arial" w:eastAsia="Calibri" w:hAnsi="Arial" w:cs="Arial"/>
          <w:sz w:val="24"/>
          <w:szCs w:val="24"/>
        </w:rPr>
        <w:t>,</w:t>
      </w:r>
      <w:r w:rsidR="00975487">
        <w:rPr>
          <w:rFonts w:ascii="Arial" w:eastAsia="Calibri" w:hAnsi="Arial" w:cs="Arial"/>
          <w:sz w:val="24"/>
          <w:szCs w:val="24"/>
        </w:rPr>
        <w:t xml:space="preserve"> </w:t>
      </w:r>
      <w:r w:rsidR="009E06D0">
        <w:rPr>
          <w:rFonts w:ascii="Arial" w:eastAsia="Calibri" w:hAnsi="Arial" w:cs="Arial"/>
          <w:sz w:val="24"/>
          <w:szCs w:val="24"/>
        </w:rPr>
        <w:t>recién puede conocerse una vez efectuado el cierre del Balance de Ejecución Presupuestal</w:t>
      </w:r>
      <w:r w:rsidR="008B087B">
        <w:rPr>
          <w:rFonts w:ascii="Arial" w:eastAsia="Calibri" w:hAnsi="Arial" w:cs="Arial"/>
          <w:sz w:val="24"/>
          <w:szCs w:val="24"/>
        </w:rPr>
        <w:t>;</w:t>
      </w:r>
    </w:p>
    <w:p w:rsidR="008B087B" w:rsidRDefault="00A278E3" w:rsidP="00A278E3">
      <w:pPr>
        <w:pStyle w:val="Prrafodelista"/>
        <w:spacing w:after="0" w:line="360" w:lineRule="auto"/>
        <w:ind w:left="0" w:firstLine="2694"/>
        <w:jc w:val="both"/>
        <w:rPr>
          <w:rFonts w:ascii="Arial" w:eastAsia="Calibri" w:hAnsi="Arial" w:cs="Arial"/>
          <w:sz w:val="24"/>
          <w:szCs w:val="24"/>
        </w:rPr>
      </w:pPr>
      <w:r w:rsidRPr="00A278E3">
        <w:rPr>
          <w:rFonts w:ascii="Arial" w:eastAsia="Calibri" w:hAnsi="Arial" w:cs="Arial"/>
          <w:b/>
          <w:sz w:val="24"/>
          <w:szCs w:val="24"/>
        </w:rPr>
        <w:t>4)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8B087B">
        <w:rPr>
          <w:rFonts w:ascii="Arial" w:eastAsia="Calibri" w:hAnsi="Arial" w:cs="Arial"/>
          <w:sz w:val="24"/>
          <w:szCs w:val="24"/>
        </w:rPr>
        <w:t>que por lo señalado en el Resultando anterior</w:t>
      </w:r>
      <w:r w:rsidR="008E734A">
        <w:rPr>
          <w:rFonts w:ascii="Arial" w:eastAsia="Calibri" w:hAnsi="Arial" w:cs="Arial"/>
          <w:sz w:val="24"/>
          <w:szCs w:val="24"/>
        </w:rPr>
        <w:t>,</w:t>
      </w:r>
      <w:r w:rsidR="008B087B">
        <w:rPr>
          <w:rFonts w:ascii="Arial" w:eastAsia="Calibri" w:hAnsi="Arial" w:cs="Arial"/>
          <w:sz w:val="24"/>
          <w:szCs w:val="24"/>
        </w:rPr>
        <w:t xml:space="preserve"> la  dotación presupuestal al inicio del ejercicio</w:t>
      </w:r>
      <w:r w:rsidR="00947B1E">
        <w:rPr>
          <w:rFonts w:ascii="Arial" w:eastAsia="Calibri" w:hAnsi="Arial" w:cs="Arial"/>
          <w:sz w:val="24"/>
          <w:szCs w:val="24"/>
        </w:rPr>
        <w:t>,</w:t>
      </w:r>
      <w:r w:rsidR="008B087B">
        <w:rPr>
          <w:rFonts w:ascii="Arial" w:eastAsia="Calibri" w:hAnsi="Arial" w:cs="Arial"/>
          <w:sz w:val="24"/>
          <w:szCs w:val="24"/>
        </w:rPr>
        <w:t xml:space="preserve"> </w:t>
      </w:r>
      <w:r w:rsidR="00D230A5">
        <w:rPr>
          <w:rFonts w:ascii="Arial" w:eastAsia="Calibri" w:hAnsi="Arial" w:cs="Arial"/>
          <w:sz w:val="24"/>
          <w:szCs w:val="24"/>
        </w:rPr>
        <w:t xml:space="preserve">al no poder considerar el ajuste por inflación, </w:t>
      </w:r>
      <w:r w:rsidR="008B087B">
        <w:rPr>
          <w:rFonts w:ascii="Arial" w:eastAsia="Calibri" w:hAnsi="Arial" w:cs="Arial"/>
          <w:sz w:val="24"/>
          <w:szCs w:val="24"/>
        </w:rPr>
        <w:t>resulta totalmente insuficiente para realizar las imputaciones anuales de las transferencias que  surgen de los convenios firmados con la CND;</w:t>
      </w:r>
    </w:p>
    <w:p w:rsidR="00CB5EF3" w:rsidRPr="005E7EC9" w:rsidRDefault="00A278E3" w:rsidP="00A278E3">
      <w:pPr>
        <w:pStyle w:val="Prrafodelista"/>
        <w:spacing w:after="0" w:line="360" w:lineRule="auto"/>
        <w:ind w:left="0" w:firstLine="2694"/>
        <w:jc w:val="both"/>
        <w:rPr>
          <w:rFonts w:ascii="Arial" w:eastAsia="Calibri" w:hAnsi="Arial" w:cs="Arial"/>
          <w:sz w:val="24"/>
          <w:szCs w:val="24"/>
        </w:rPr>
      </w:pPr>
      <w:r w:rsidRPr="00A278E3">
        <w:rPr>
          <w:rFonts w:ascii="Arial" w:eastAsia="Calibri" w:hAnsi="Arial" w:cs="Arial"/>
          <w:b/>
          <w:sz w:val="24"/>
          <w:szCs w:val="24"/>
        </w:rPr>
        <w:t>5)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9E06D0" w:rsidRPr="005E7EC9">
        <w:rPr>
          <w:rFonts w:ascii="Arial" w:eastAsia="Calibri" w:hAnsi="Arial" w:cs="Arial"/>
          <w:sz w:val="24"/>
          <w:szCs w:val="24"/>
        </w:rPr>
        <w:t xml:space="preserve">que </w:t>
      </w:r>
      <w:r w:rsidR="008B087B">
        <w:rPr>
          <w:rFonts w:ascii="Arial" w:eastAsia="Calibri" w:hAnsi="Arial" w:cs="Arial"/>
          <w:sz w:val="24"/>
          <w:szCs w:val="24"/>
        </w:rPr>
        <w:t>de acuerdo a información adicional remitida por el MTOP</w:t>
      </w:r>
      <w:r w:rsidR="008E734A">
        <w:rPr>
          <w:rFonts w:ascii="Arial" w:eastAsia="Calibri" w:hAnsi="Arial" w:cs="Arial"/>
          <w:sz w:val="24"/>
          <w:szCs w:val="24"/>
        </w:rPr>
        <w:t>,</w:t>
      </w:r>
      <w:r w:rsidR="008B087B">
        <w:rPr>
          <w:rFonts w:ascii="Arial" w:eastAsia="Calibri" w:hAnsi="Arial" w:cs="Arial"/>
          <w:sz w:val="24"/>
          <w:szCs w:val="24"/>
        </w:rPr>
        <w:t xml:space="preserve"> al inicio del ejercicio es posible remitir a la intervención las afectaciones con el crédito original anexando una estimación del cálculo del ajuste por inflación que se prevé en base a la información disponible con la firma del  </w:t>
      </w:r>
      <w:r w:rsidR="008B087B">
        <w:rPr>
          <w:rFonts w:ascii="Arial" w:hAnsi="Arial" w:cs="Arial"/>
          <w:sz w:val="24"/>
        </w:rPr>
        <w:t>Gerente Financiero o quien lo sustituya, a los efectos de demostrar la efectiva financiación del gasto en el ejercicio</w:t>
      </w:r>
      <w:r w:rsidR="00CB5EF3">
        <w:rPr>
          <w:rFonts w:ascii="Arial" w:hAnsi="Arial" w:cs="Arial"/>
          <w:sz w:val="24"/>
        </w:rPr>
        <w:t xml:space="preserve"> y posteriormente</w:t>
      </w:r>
      <w:r w:rsidR="00947B1E">
        <w:rPr>
          <w:rFonts w:ascii="Arial" w:hAnsi="Arial" w:cs="Arial"/>
          <w:sz w:val="24"/>
        </w:rPr>
        <w:t>,</w:t>
      </w:r>
      <w:r w:rsidR="00CB5EF3">
        <w:rPr>
          <w:rFonts w:ascii="Arial" w:hAnsi="Arial" w:cs="Arial"/>
          <w:sz w:val="24"/>
        </w:rPr>
        <w:t xml:space="preserve"> una vez que se ajusten los créditos por IPC</w:t>
      </w:r>
      <w:r w:rsidR="00947B1E">
        <w:rPr>
          <w:rFonts w:ascii="Arial" w:hAnsi="Arial" w:cs="Arial"/>
          <w:sz w:val="24"/>
        </w:rPr>
        <w:t>,</w:t>
      </w:r>
      <w:r w:rsidR="00CB5EF3">
        <w:rPr>
          <w:rFonts w:ascii="Arial" w:hAnsi="Arial" w:cs="Arial"/>
          <w:sz w:val="24"/>
        </w:rPr>
        <w:t xml:space="preserve"> remitir las afectaciones complementarias correspondientes</w:t>
      </w:r>
      <w:r w:rsidR="00E30ACB">
        <w:rPr>
          <w:rFonts w:ascii="Arial" w:hAnsi="Arial" w:cs="Arial"/>
          <w:sz w:val="24"/>
        </w:rPr>
        <w:t>;</w:t>
      </w:r>
    </w:p>
    <w:p w:rsidR="00D230A5" w:rsidRDefault="008B087B" w:rsidP="00E30ACB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 w:rsidRPr="008B087B">
        <w:rPr>
          <w:rFonts w:ascii="Arial" w:eastAsia="Calibri" w:hAnsi="Arial" w:cs="Arial"/>
          <w:b/>
          <w:sz w:val="24"/>
          <w:szCs w:val="24"/>
        </w:rPr>
        <w:t>CO</w:t>
      </w:r>
      <w:r w:rsidR="00CB5EF3">
        <w:rPr>
          <w:rFonts w:ascii="Arial" w:eastAsia="Calibri" w:hAnsi="Arial" w:cs="Arial"/>
          <w:b/>
          <w:sz w:val="24"/>
          <w:szCs w:val="24"/>
        </w:rPr>
        <w:t xml:space="preserve">NSIDERANDO: </w:t>
      </w:r>
      <w:r w:rsidR="00CB5EF3" w:rsidRPr="00CB5EF3">
        <w:rPr>
          <w:rFonts w:ascii="Arial" w:eastAsia="Calibri" w:hAnsi="Arial" w:cs="Arial"/>
          <w:sz w:val="24"/>
          <w:szCs w:val="24"/>
        </w:rPr>
        <w:t xml:space="preserve">que </w:t>
      </w:r>
      <w:r w:rsidR="00D230A5">
        <w:rPr>
          <w:rFonts w:ascii="Arial" w:eastAsia="Calibri" w:hAnsi="Arial" w:cs="Arial"/>
          <w:sz w:val="24"/>
          <w:szCs w:val="24"/>
        </w:rPr>
        <w:t>el procedimiento propuesto de acuerdo a</w:t>
      </w:r>
      <w:r w:rsidR="00CB5EF3" w:rsidRPr="00CB5EF3">
        <w:rPr>
          <w:rFonts w:ascii="Arial" w:eastAsia="Calibri" w:hAnsi="Arial" w:cs="Arial"/>
          <w:sz w:val="24"/>
          <w:szCs w:val="24"/>
        </w:rPr>
        <w:t xml:space="preserve"> lo señalado en el Resultando </w:t>
      </w:r>
      <w:r w:rsidR="00D230A5">
        <w:rPr>
          <w:rFonts w:ascii="Arial" w:eastAsia="Calibri" w:hAnsi="Arial" w:cs="Arial"/>
          <w:sz w:val="24"/>
          <w:szCs w:val="24"/>
        </w:rPr>
        <w:t>5</w:t>
      </w:r>
      <w:r w:rsidR="00947B1E">
        <w:rPr>
          <w:rFonts w:ascii="Arial" w:eastAsia="Calibri" w:hAnsi="Arial" w:cs="Arial"/>
          <w:sz w:val="24"/>
          <w:szCs w:val="24"/>
        </w:rPr>
        <w:t>)</w:t>
      </w:r>
      <w:r w:rsidR="00CB5EF3" w:rsidRPr="00CB5EF3">
        <w:rPr>
          <w:rFonts w:ascii="Arial" w:eastAsia="Calibri" w:hAnsi="Arial" w:cs="Arial"/>
          <w:sz w:val="24"/>
          <w:szCs w:val="24"/>
        </w:rPr>
        <w:t xml:space="preserve"> encuadra en lo establecido en el </w:t>
      </w:r>
      <w:r w:rsidRPr="00CB5EF3">
        <w:rPr>
          <w:rFonts w:ascii="Arial" w:hAnsi="Arial" w:cs="Arial"/>
          <w:sz w:val="24"/>
        </w:rPr>
        <w:t>artículo 19 del TOCAF</w:t>
      </w:r>
      <w:r w:rsidR="00D230A5">
        <w:rPr>
          <w:rFonts w:ascii="Arial" w:hAnsi="Arial" w:cs="Arial"/>
          <w:sz w:val="24"/>
        </w:rPr>
        <w:t xml:space="preserve">, por lo que el Ordenador competente podrá </w:t>
      </w:r>
      <w:r w:rsidR="00975487">
        <w:rPr>
          <w:rFonts w:ascii="Arial" w:hAnsi="Arial" w:cs="Arial"/>
          <w:sz w:val="24"/>
        </w:rPr>
        <w:t xml:space="preserve">disponer el gasto </w:t>
      </w:r>
      <w:r w:rsidR="00D230A5">
        <w:rPr>
          <w:rFonts w:ascii="Arial" w:hAnsi="Arial" w:cs="Arial"/>
          <w:sz w:val="24"/>
        </w:rPr>
        <w:t xml:space="preserve"> demostrando previamente la efectiva financiación </w:t>
      </w:r>
      <w:r w:rsidR="00975487">
        <w:rPr>
          <w:rFonts w:ascii="Arial" w:hAnsi="Arial" w:cs="Arial"/>
          <w:sz w:val="24"/>
        </w:rPr>
        <w:t xml:space="preserve">del mismo </w:t>
      </w:r>
      <w:r w:rsidR="00D230A5">
        <w:rPr>
          <w:rFonts w:ascii="Arial" w:hAnsi="Arial" w:cs="Arial"/>
          <w:sz w:val="24"/>
        </w:rPr>
        <w:t>dentro del ejercicio;</w:t>
      </w:r>
    </w:p>
    <w:p w:rsidR="00A701AC" w:rsidRDefault="00A701AC" w:rsidP="00E30ACB">
      <w:pPr>
        <w:tabs>
          <w:tab w:val="left" w:pos="1985"/>
          <w:tab w:val="left" w:pos="2410"/>
        </w:tabs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A701AC">
        <w:rPr>
          <w:rFonts w:ascii="Arial" w:eastAsia="Calibri" w:hAnsi="Arial" w:cs="Arial"/>
          <w:b/>
          <w:sz w:val="24"/>
          <w:szCs w:val="24"/>
        </w:rPr>
        <w:t>ATENTO:</w:t>
      </w:r>
      <w:r>
        <w:rPr>
          <w:rFonts w:ascii="Arial" w:eastAsia="Calibri" w:hAnsi="Arial" w:cs="Arial"/>
          <w:sz w:val="24"/>
          <w:szCs w:val="24"/>
        </w:rPr>
        <w:t xml:space="preserve"> a lo precedentemente expuesto y </w:t>
      </w:r>
      <w:r w:rsidR="008E734A">
        <w:rPr>
          <w:rFonts w:ascii="Arial" w:eastAsia="Calibri" w:hAnsi="Arial" w:cs="Arial"/>
          <w:sz w:val="24"/>
          <w:szCs w:val="24"/>
        </w:rPr>
        <w:t xml:space="preserve">a </w:t>
      </w:r>
      <w:r>
        <w:rPr>
          <w:rFonts w:ascii="Arial" w:eastAsia="Calibri" w:hAnsi="Arial" w:cs="Arial"/>
          <w:sz w:val="24"/>
          <w:szCs w:val="24"/>
        </w:rPr>
        <w:t>lo dispuesto en el artículo 211 Lit. B</w:t>
      </w:r>
      <w:r w:rsidR="00975487">
        <w:rPr>
          <w:rFonts w:ascii="Arial" w:eastAsia="Calibri" w:hAnsi="Arial" w:cs="Arial"/>
          <w:sz w:val="24"/>
          <w:szCs w:val="24"/>
        </w:rPr>
        <w:t xml:space="preserve">) </w:t>
      </w:r>
      <w:r>
        <w:rPr>
          <w:rFonts w:ascii="Arial" w:eastAsia="Calibri" w:hAnsi="Arial" w:cs="Arial"/>
          <w:sz w:val="24"/>
          <w:szCs w:val="24"/>
        </w:rPr>
        <w:t xml:space="preserve"> de la Constitución de la República;</w:t>
      </w:r>
    </w:p>
    <w:p w:rsidR="00A701AC" w:rsidRDefault="00A701AC" w:rsidP="00A701AC">
      <w:pPr>
        <w:tabs>
          <w:tab w:val="left" w:pos="1985"/>
          <w:tab w:val="left" w:pos="2410"/>
        </w:tabs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701AC">
        <w:rPr>
          <w:rFonts w:ascii="Arial" w:eastAsia="Calibri" w:hAnsi="Arial" w:cs="Arial"/>
          <w:b/>
          <w:sz w:val="24"/>
          <w:szCs w:val="24"/>
        </w:rPr>
        <w:t>EL TRIBUNAL ACUERDA</w:t>
      </w:r>
    </w:p>
    <w:p w:rsidR="00A701AC" w:rsidRDefault="009E6D45" w:rsidP="00A701AC">
      <w:pPr>
        <w:pStyle w:val="Prrafodelista"/>
        <w:numPr>
          <w:ilvl w:val="0"/>
          <w:numId w:val="4"/>
        </w:numPr>
        <w:tabs>
          <w:tab w:val="left" w:pos="1985"/>
          <w:tab w:val="left" w:pos="2410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No formular observaciones al procedimiento propuesto</w:t>
      </w:r>
      <w:r w:rsidR="00A701AC">
        <w:rPr>
          <w:rFonts w:ascii="Arial" w:eastAsia="Calibri" w:hAnsi="Arial" w:cs="Arial"/>
          <w:sz w:val="24"/>
          <w:szCs w:val="24"/>
        </w:rPr>
        <w:t>;</w:t>
      </w:r>
    </w:p>
    <w:p w:rsidR="00A701AC" w:rsidRDefault="00A701AC" w:rsidP="00A701AC">
      <w:pPr>
        <w:pStyle w:val="Prrafodelista"/>
        <w:numPr>
          <w:ilvl w:val="0"/>
          <w:numId w:val="4"/>
        </w:numPr>
        <w:tabs>
          <w:tab w:val="left" w:pos="1985"/>
          <w:tab w:val="left" w:pos="2410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Señalar que deberá remitirse a la intervención de las Auditoras destacadas</w:t>
      </w:r>
      <w:r w:rsidR="009E6D45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conjuntamente con las afectaciones del crédito original</w:t>
      </w:r>
      <w:r w:rsidR="009E6D45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el ajuste por inflación proyectado, el que deberá contar con la firma del Gerente Financiero demostrando la efectiva financiación del gasto en el ejercicio y posteriormente</w:t>
      </w:r>
      <w:r w:rsidR="009E6D45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una</w:t>
      </w:r>
      <w:r w:rsidR="009E6D45">
        <w:rPr>
          <w:rFonts w:ascii="Arial" w:eastAsia="Calibri" w:hAnsi="Arial" w:cs="Arial"/>
          <w:sz w:val="24"/>
          <w:szCs w:val="24"/>
        </w:rPr>
        <w:t xml:space="preserve"> vez que dicho ajuste se efectúe,</w:t>
      </w:r>
      <w:r>
        <w:rPr>
          <w:rFonts w:ascii="Arial" w:eastAsia="Calibri" w:hAnsi="Arial" w:cs="Arial"/>
          <w:sz w:val="24"/>
          <w:szCs w:val="24"/>
        </w:rPr>
        <w:t xml:space="preserve"> las afectaciones complementarias;</w:t>
      </w:r>
    </w:p>
    <w:p w:rsidR="00A701AC" w:rsidRPr="00A701AC" w:rsidRDefault="009E6D45" w:rsidP="00A701AC">
      <w:pPr>
        <w:pStyle w:val="Prrafodelista"/>
        <w:numPr>
          <w:ilvl w:val="0"/>
          <w:numId w:val="4"/>
        </w:numPr>
        <w:tabs>
          <w:tab w:val="left" w:pos="1985"/>
          <w:tab w:val="left" w:pos="2410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Comunicar </w:t>
      </w:r>
      <w:r w:rsidR="00A701AC">
        <w:rPr>
          <w:rFonts w:ascii="Arial" w:eastAsia="Calibri" w:hAnsi="Arial" w:cs="Arial"/>
          <w:sz w:val="24"/>
          <w:szCs w:val="24"/>
        </w:rPr>
        <w:t xml:space="preserve">al </w:t>
      </w:r>
      <w:r w:rsidR="002C7CF2" w:rsidRPr="00F50423">
        <w:rPr>
          <w:rFonts w:ascii="Arial" w:eastAsia="Calibri" w:hAnsi="Arial" w:cs="Arial"/>
          <w:sz w:val="24"/>
          <w:szCs w:val="24"/>
        </w:rPr>
        <w:t>Ministerio de Transporte y Obras Públicas</w:t>
      </w:r>
      <w:r w:rsidR="002C7CF2">
        <w:rPr>
          <w:rFonts w:ascii="Arial" w:eastAsia="Calibri" w:hAnsi="Arial" w:cs="Arial"/>
          <w:sz w:val="24"/>
          <w:szCs w:val="24"/>
        </w:rPr>
        <w:t xml:space="preserve"> </w:t>
      </w:r>
      <w:r w:rsidR="00A701AC">
        <w:rPr>
          <w:rFonts w:ascii="Arial" w:eastAsia="Calibri" w:hAnsi="Arial" w:cs="Arial"/>
          <w:sz w:val="24"/>
          <w:szCs w:val="24"/>
        </w:rPr>
        <w:t xml:space="preserve">y a las Contadoras </w:t>
      </w:r>
      <w:r>
        <w:rPr>
          <w:rFonts w:ascii="Arial" w:eastAsia="Calibri" w:hAnsi="Arial" w:cs="Arial"/>
          <w:sz w:val="24"/>
          <w:szCs w:val="24"/>
        </w:rPr>
        <w:t>d</w:t>
      </w:r>
      <w:r w:rsidR="00A701AC">
        <w:rPr>
          <w:rFonts w:ascii="Arial" w:eastAsia="Calibri" w:hAnsi="Arial" w:cs="Arial"/>
          <w:sz w:val="24"/>
          <w:szCs w:val="24"/>
        </w:rPr>
        <w:t>estacadas ante dicho Inciso.</w:t>
      </w:r>
    </w:p>
    <w:p w:rsidR="00A701AC" w:rsidRPr="002C7CF2" w:rsidRDefault="002C7CF2" w:rsidP="00A701AC">
      <w:pPr>
        <w:tabs>
          <w:tab w:val="left" w:pos="1985"/>
          <w:tab w:val="left" w:pos="241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CLC</w:t>
      </w:r>
    </w:p>
    <w:sectPr w:rsidR="00A701AC" w:rsidRPr="002C7CF2" w:rsidSect="00712204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A2198"/>
    <w:multiLevelType w:val="hybridMultilevel"/>
    <w:tmpl w:val="6E10DF28"/>
    <w:lvl w:ilvl="0" w:tplc="30164456">
      <w:start w:val="2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183C49"/>
    <w:multiLevelType w:val="hybridMultilevel"/>
    <w:tmpl w:val="F1B6613C"/>
    <w:lvl w:ilvl="0" w:tplc="CE3AFC76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506" w:hanging="360"/>
      </w:pPr>
    </w:lvl>
    <w:lvl w:ilvl="2" w:tplc="380A001B" w:tentative="1">
      <w:start w:val="1"/>
      <w:numFmt w:val="lowerRoman"/>
      <w:lvlText w:val="%3."/>
      <w:lvlJc w:val="right"/>
      <w:pPr>
        <w:ind w:left="2226" w:hanging="180"/>
      </w:pPr>
    </w:lvl>
    <w:lvl w:ilvl="3" w:tplc="380A000F" w:tentative="1">
      <w:start w:val="1"/>
      <w:numFmt w:val="decimal"/>
      <w:lvlText w:val="%4."/>
      <w:lvlJc w:val="left"/>
      <w:pPr>
        <w:ind w:left="2946" w:hanging="360"/>
      </w:pPr>
    </w:lvl>
    <w:lvl w:ilvl="4" w:tplc="380A0019" w:tentative="1">
      <w:start w:val="1"/>
      <w:numFmt w:val="lowerLetter"/>
      <w:lvlText w:val="%5."/>
      <w:lvlJc w:val="left"/>
      <w:pPr>
        <w:ind w:left="3666" w:hanging="360"/>
      </w:pPr>
    </w:lvl>
    <w:lvl w:ilvl="5" w:tplc="380A001B" w:tentative="1">
      <w:start w:val="1"/>
      <w:numFmt w:val="lowerRoman"/>
      <w:lvlText w:val="%6."/>
      <w:lvlJc w:val="right"/>
      <w:pPr>
        <w:ind w:left="4386" w:hanging="180"/>
      </w:pPr>
    </w:lvl>
    <w:lvl w:ilvl="6" w:tplc="380A000F" w:tentative="1">
      <w:start w:val="1"/>
      <w:numFmt w:val="decimal"/>
      <w:lvlText w:val="%7."/>
      <w:lvlJc w:val="left"/>
      <w:pPr>
        <w:ind w:left="5106" w:hanging="360"/>
      </w:pPr>
    </w:lvl>
    <w:lvl w:ilvl="7" w:tplc="380A0019" w:tentative="1">
      <w:start w:val="1"/>
      <w:numFmt w:val="lowerLetter"/>
      <w:lvlText w:val="%8."/>
      <w:lvlJc w:val="left"/>
      <w:pPr>
        <w:ind w:left="5826" w:hanging="360"/>
      </w:pPr>
    </w:lvl>
    <w:lvl w:ilvl="8" w:tplc="3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E298D"/>
    <w:multiLevelType w:val="hybridMultilevel"/>
    <w:tmpl w:val="35DA4F66"/>
    <w:lvl w:ilvl="0" w:tplc="5E348CB6">
      <w:start w:val="2"/>
      <w:numFmt w:val="decimal"/>
      <w:lvlText w:val="%1)"/>
      <w:lvlJc w:val="left"/>
      <w:pPr>
        <w:ind w:left="786" w:hanging="360"/>
      </w:pPr>
      <w:rPr>
        <w:rFonts w:eastAsiaTheme="minorHAnsi"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506" w:hanging="360"/>
      </w:pPr>
    </w:lvl>
    <w:lvl w:ilvl="2" w:tplc="380A001B" w:tentative="1">
      <w:start w:val="1"/>
      <w:numFmt w:val="lowerRoman"/>
      <w:lvlText w:val="%3."/>
      <w:lvlJc w:val="right"/>
      <w:pPr>
        <w:ind w:left="2226" w:hanging="180"/>
      </w:pPr>
    </w:lvl>
    <w:lvl w:ilvl="3" w:tplc="380A000F" w:tentative="1">
      <w:start w:val="1"/>
      <w:numFmt w:val="decimal"/>
      <w:lvlText w:val="%4."/>
      <w:lvlJc w:val="left"/>
      <w:pPr>
        <w:ind w:left="2946" w:hanging="360"/>
      </w:pPr>
    </w:lvl>
    <w:lvl w:ilvl="4" w:tplc="380A0019" w:tentative="1">
      <w:start w:val="1"/>
      <w:numFmt w:val="lowerLetter"/>
      <w:lvlText w:val="%5."/>
      <w:lvlJc w:val="left"/>
      <w:pPr>
        <w:ind w:left="3666" w:hanging="360"/>
      </w:pPr>
    </w:lvl>
    <w:lvl w:ilvl="5" w:tplc="380A001B" w:tentative="1">
      <w:start w:val="1"/>
      <w:numFmt w:val="lowerRoman"/>
      <w:lvlText w:val="%6."/>
      <w:lvlJc w:val="right"/>
      <w:pPr>
        <w:ind w:left="4386" w:hanging="180"/>
      </w:pPr>
    </w:lvl>
    <w:lvl w:ilvl="6" w:tplc="380A000F" w:tentative="1">
      <w:start w:val="1"/>
      <w:numFmt w:val="decimal"/>
      <w:lvlText w:val="%7."/>
      <w:lvlJc w:val="left"/>
      <w:pPr>
        <w:ind w:left="5106" w:hanging="360"/>
      </w:pPr>
    </w:lvl>
    <w:lvl w:ilvl="7" w:tplc="380A0019" w:tentative="1">
      <w:start w:val="1"/>
      <w:numFmt w:val="lowerLetter"/>
      <w:lvlText w:val="%8."/>
      <w:lvlJc w:val="left"/>
      <w:pPr>
        <w:ind w:left="5826" w:hanging="360"/>
      </w:pPr>
    </w:lvl>
    <w:lvl w:ilvl="8" w:tplc="3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C9516BE"/>
    <w:multiLevelType w:val="hybridMultilevel"/>
    <w:tmpl w:val="DDBCFA22"/>
    <w:lvl w:ilvl="0" w:tplc="95E26FE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4F3"/>
    <w:rsid w:val="0009652D"/>
    <w:rsid w:val="001A6DA0"/>
    <w:rsid w:val="001B2F7F"/>
    <w:rsid w:val="001C6D07"/>
    <w:rsid w:val="002C7CF2"/>
    <w:rsid w:val="002F7FBE"/>
    <w:rsid w:val="003906FF"/>
    <w:rsid w:val="00394C45"/>
    <w:rsid w:val="00485EC7"/>
    <w:rsid w:val="004C6500"/>
    <w:rsid w:val="004D600D"/>
    <w:rsid w:val="00506358"/>
    <w:rsid w:val="00590CAD"/>
    <w:rsid w:val="005B24F3"/>
    <w:rsid w:val="005D5461"/>
    <w:rsid w:val="005D59F1"/>
    <w:rsid w:val="005E7EC9"/>
    <w:rsid w:val="0061404F"/>
    <w:rsid w:val="0063497E"/>
    <w:rsid w:val="00662CBE"/>
    <w:rsid w:val="006A44BA"/>
    <w:rsid w:val="00712204"/>
    <w:rsid w:val="007B493E"/>
    <w:rsid w:val="007D02DE"/>
    <w:rsid w:val="00854A11"/>
    <w:rsid w:val="008B087B"/>
    <w:rsid w:val="008E734A"/>
    <w:rsid w:val="008F42EE"/>
    <w:rsid w:val="00924DE8"/>
    <w:rsid w:val="00947B1E"/>
    <w:rsid w:val="009571D1"/>
    <w:rsid w:val="00961BDF"/>
    <w:rsid w:val="00963A30"/>
    <w:rsid w:val="00971870"/>
    <w:rsid w:val="00975487"/>
    <w:rsid w:val="009B6E90"/>
    <w:rsid w:val="009E06D0"/>
    <w:rsid w:val="009E6D45"/>
    <w:rsid w:val="00A169A5"/>
    <w:rsid w:val="00A278E3"/>
    <w:rsid w:val="00A57ADD"/>
    <w:rsid w:val="00A701AC"/>
    <w:rsid w:val="00B3437B"/>
    <w:rsid w:val="00B41332"/>
    <w:rsid w:val="00C9135E"/>
    <w:rsid w:val="00CB5EF3"/>
    <w:rsid w:val="00D230A5"/>
    <w:rsid w:val="00DF1181"/>
    <w:rsid w:val="00E01946"/>
    <w:rsid w:val="00E135CE"/>
    <w:rsid w:val="00E30ACB"/>
    <w:rsid w:val="00E66033"/>
    <w:rsid w:val="00E6764B"/>
    <w:rsid w:val="00E72648"/>
    <w:rsid w:val="00EB6486"/>
    <w:rsid w:val="00EC1EFE"/>
    <w:rsid w:val="00F00F2B"/>
    <w:rsid w:val="00F06943"/>
    <w:rsid w:val="00F279C9"/>
    <w:rsid w:val="00F50423"/>
    <w:rsid w:val="00F6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600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4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A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600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4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 Chiazzo</dc:creator>
  <cp:lastModifiedBy>Tribunal1</cp:lastModifiedBy>
  <cp:revision>4</cp:revision>
  <cp:lastPrinted>2018-04-24T17:10:00Z</cp:lastPrinted>
  <dcterms:created xsi:type="dcterms:W3CDTF">2018-04-24T17:12:00Z</dcterms:created>
  <dcterms:modified xsi:type="dcterms:W3CDTF">2018-07-11T18:48:00Z</dcterms:modified>
</cp:coreProperties>
</file>