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C2" w:rsidRPr="009921C2" w:rsidRDefault="009921C2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9921C2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1384</w:t>
      </w:r>
      <w:r w:rsidRPr="009921C2">
        <w:rPr>
          <w:rFonts w:ascii="Arial" w:hAnsi="Arial" w:cs="Arial"/>
          <w:sz w:val="28"/>
          <w:szCs w:val="28"/>
          <w:lang w:val="es-ES_tradnl"/>
        </w:rPr>
        <w:t>/18</w:t>
      </w:r>
    </w:p>
    <w:p w:rsidR="009921C2" w:rsidRPr="009921C2" w:rsidRDefault="009921C2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9921C2" w:rsidRPr="009921C2" w:rsidRDefault="009921C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921C2">
        <w:rPr>
          <w:rFonts w:ascii="Arial" w:hAnsi="Arial" w:cs="Arial"/>
          <w:lang w:val="es-ES_tradnl"/>
        </w:rPr>
        <w:t>RESOLUCION ADOPTADA POR EL</w:t>
      </w:r>
    </w:p>
    <w:p w:rsidR="009921C2" w:rsidRPr="009921C2" w:rsidRDefault="009921C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921C2" w:rsidRPr="009921C2" w:rsidRDefault="009921C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921C2">
        <w:rPr>
          <w:rFonts w:ascii="Arial" w:hAnsi="Arial" w:cs="Arial"/>
          <w:lang w:val="es-ES_tradnl"/>
        </w:rPr>
        <w:t>TRIBUNAL DE CUENTAS</w:t>
      </w:r>
    </w:p>
    <w:p w:rsidR="009921C2" w:rsidRPr="009921C2" w:rsidRDefault="009921C2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921C2" w:rsidRPr="009921C2" w:rsidRDefault="009921C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921C2">
        <w:rPr>
          <w:rFonts w:ascii="Arial" w:hAnsi="Arial" w:cs="Arial"/>
          <w:lang w:val="es-ES_tradnl"/>
        </w:rPr>
        <w:t xml:space="preserve">EN SESION DE FECHA 26 DE ABRIL </w:t>
      </w:r>
      <w:r w:rsidRPr="009921C2">
        <w:rPr>
          <w:rFonts w:ascii="Helvetica" w:hAnsi="Helvetica"/>
          <w:lang w:val="es-ES_tradnl"/>
        </w:rPr>
        <w:t>DE 2018</w:t>
      </w:r>
    </w:p>
    <w:p w:rsidR="009921C2" w:rsidRPr="009921C2" w:rsidRDefault="009921C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921C2" w:rsidRPr="009921C2" w:rsidRDefault="009921C2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9921C2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2018-17-1-0002661</w:t>
      </w:r>
      <w:r w:rsidRPr="009921C2">
        <w:rPr>
          <w:rFonts w:ascii="Arial" w:hAnsi="Arial" w:cs="Arial"/>
          <w:lang w:val="en-US"/>
        </w:rPr>
        <w:t xml:space="preserve">, </w:t>
      </w:r>
      <w:proofErr w:type="gramStart"/>
      <w:r w:rsidRPr="009921C2">
        <w:rPr>
          <w:rFonts w:ascii="Arial" w:hAnsi="Arial" w:cs="Arial"/>
          <w:lang w:val="en-US"/>
        </w:rPr>
        <w:t>Ent</w:t>
      </w:r>
      <w:proofErr w:type="gramEnd"/>
      <w:r w:rsidRPr="009921C2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1982/18</w:t>
      </w:r>
      <w:r w:rsidRPr="009921C2">
        <w:rPr>
          <w:rFonts w:ascii="Arial" w:hAnsi="Arial" w:cs="Arial"/>
          <w:lang w:val="en-US"/>
        </w:rPr>
        <w:t>)</w:t>
      </w:r>
    </w:p>
    <w:p w:rsidR="009921C2" w:rsidRDefault="009921C2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9173CD" w:rsidRDefault="00A20F48" w:rsidP="009173C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 w:rsidR="009902F2">
        <w:rPr>
          <w:rFonts w:ascii="Arial" w:hAnsi="Arial" w:cs="Arial"/>
          <w:b w:val="0"/>
          <w:bCs w:val="0"/>
          <w:lang w:val="es-UY"/>
        </w:rPr>
        <w:t>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0562E7">
        <w:rPr>
          <w:rFonts w:ascii="Arial" w:hAnsi="Arial" w:cs="Arial"/>
          <w:b w:val="0"/>
          <w:bCs w:val="0"/>
          <w:lang w:val="es-UY"/>
        </w:rPr>
        <w:t>664/2017</w:t>
      </w:r>
      <w:r w:rsidR="009902F2">
        <w:rPr>
          <w:rFonts w:ascii="Arial" w:hAnsi="Arial" w:cs="Arial"/>
          <w:b w:val="0"/>
          <w:bCs w:val="0"/>
          <w:lang w:val="es-UY"/>
        </w:rPr>
        <w:t xml:space="preserve"> para </w:t>
      </w:r>
      <w:r w:rsidR="009902F2">
        <w:rPr>
          <w:rFonts w:ascii="Arial" w:hAnsi="Arial" w:cs="Arial"/>
          <w:b w:val="0"/>
          <w:bCs w:val="0"/>
          <w:lang w:val="es-ES_tradnl"/>
        </w:rPr>
        <w:t xml:space="preserve">la </w:t>
      </w:r>
      <w:r w:rsidR="009902F2">
        <w:rPr>
          <w:rFonts w:ascii="Arial" w:hAnsi="Arial" w:cs="Arial"/>
          <w:b w:val="0"/>
          <w:lang w:val="es-ES_tradnl"/>
        </w:rPr>
        <w:t>adquisi</w:t>
      </w:r>
      <w:r w:rsidR="009902F2">
        <w:rPr>
          <w:rFonts w:ascii="Arial" w:hAnsi="Arial" w:cs="Arial"/>
          <w:b w:val="0"/>
          <w:bCs w:val="0"/>
          <w:lang w:val="es-ES_tradnl"/>
        </w:rPr>
        <w:t>ción y mantenimiento de software y contratación de</w:t>
      </w:r>
      <w:r w:rsidR="009902F2">
        <w:rPr>
          <w:rFonts w:ascii="Arial" w:hAnsi="Arial" w:cs="Arial"/>
          <w:lang w:val="es-ES_tradnl"/>
        </w:rPr>
        <w:t xml:space="preserve"> </w:t>
      </w:r>
      <w:r w:rsidR="009902F2">
        <w:rPr>
          <w:rFonts w:ascii="Arial" w:hAnsi="Arial" w:cs="Arial"/>
          <w:b w:val="0"/>
          <w:bCs w:val="0"/>
          <w:lang w:val="es-ES_tradnl"/>
        </w:rPr>
        <w:t>servicios de asesoría y asistencia técnica para la mejora en la eficiencia de la detección de elementos de publicidad en la vía pública con la consiguiente determinación del hecho generador del impuesto a la publicidad y  propaganda de la Intendencia</w:t>
      </w:r>
      <w:r w:rsidR="00813903">
        <w:rPr>
          <w:rFonts w:ascii="Arial" w:hAnsi="Arial" w:cs="Arial"/>
          <w:b w:val="0"/>
          <w:bCs w:val="0"/>
          <w:lang w:val="es-UY"/>
        </w:rPr>
        <w:t>;</w:t>
      </w:r>
    </w:p>
    <w:p w:rsidR="009173CD" w:rsidRDefault="00A20F48" w:rsidP="009173CD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>RESULTAN</w:t>
      </w:r>
      <w:r w:rsidR="009902F2">
        <w:rPr>
          <w:rFonts w:ascii="Arial" w:hAnsi="Arial" w:cs="Arial"/>
          <w:lang w:val="es-UY"/>
        </w:rPr>
        <w:t>D</w:t>
      </w:r>
      <w:r>
        <w:rPr>
          <w:rFonts w:ascii="Arial" w:hAnsi="Arial" w:cs="Arial"/>
          <w:lang w:val="es-UY"/>
        </w:rPr>
        <w:t xml:space="preserve">O: 1) </w:t>
      </w:r>
      <w:r>
        <w:rPr>
          <w:rFonts w:ascii="Arial" w:hAnsi="Arial" w:cs="Arial"/>
          <w:b w:val="0"/>
          <w:bCs w:val="0"/>
          <w:lang w:val="es-UY"/>
        </w:rPr>
        <w:t xml:space="preserve">que por  Resolución Nº </w:t>
      </w:r>
      <w:r w:rsidR="000562E7">
        <w:rPr>
          <w:rFonts w:ascii="Arial" w:hAnsi="Arial" w:cs="Arial"/>
          <w:b w:val="0"/>
          <w:bCs w:val="0"/>
          <w:lang w:val="es-UY"/>
        </w:rPr>
        <w:t>578</w:t>
      </w:r>
      <w:r>
        <w:rPr>
          <w:rFonts w:ascii="Arial" w:hAnsi="Arial" w:cs="Arial"/>
          <w:b w:val="0"/>
          <w:bCs w:val="0"/>
          <w:lang w:val="es-UY"/>
        </w:rPr>
        <w:t xml:space="preserve"> de fecha </w:t>
      </w:r>
      <w:r w:rsidR="000562E7">
        <w:rPr>
          <w:rFonts w:ascii="Arial" w:hAnsi="Arial" w:cs="Arial"/>
          <w:b w:val="0"/>
          <w:bCs w:val="0"/>
          <w:lang w:val="es-UY"/>
        </w:rPr>
        <w:t>19/10</w:t>
      </w:r>
      <w:r>
        <w:rPr>
          <w:rFonts w:ascii="Arial" w:hAnsi="Arial" w:cs="Arial"/>
          <w:b w:val="0"/>
          <w:bCs w:val="0"/>
          <w:lang w:val="es-UY"/>
        </w:rPr>
        <w:t xml:space="preserve">/17 dictada por el Gerente de </w:t>
      </w:r>
      <w:r w:rsidR="009902F2">
        <w:rPr>
          <w:rFonts w:ascii="Arial" w:hAnsi="Arial" w:cs="Arial"/>
          <w:b w:val="0"/>
          <w:bCs w:val="0"/>
          <w:lang w:val="es-UY"/>
        </w:rPr>
        <w:t>C</w:t>
      </w:r>
      <w:r>
        <w:rPr>
          <w:rFonts w:ascii="Arial" w:hAnsi="Arial" w:cs="Arial"/>
          <w:b w:val="0"/>
          <w:bCs w:val="0"/>
          <w:lang w:val="es-UY"/>
        </w:rPr>
        <w:t>ompras se aprob</w:t>
      </w:r>
      <w:r w:rsidR="009173CD">
        <w:rPr>
          <w:rFonts w:ascii="Arial" w:hAnsi="Arial" w:cs="Arial"/>
          <w:b w:val="0"/>
          <w:bCs w:val="0"/>
          <w:lang w:val="es-UY"/>
        </w:rPr>
        <w:t>ó</w:t>
      </w:r>
      <w:r>
        <w:rPr>
          <w:rFonts w:ascii="Arial" w:hAnsi="Arial" w:cs="Arial"/>
          <w:b w:val="0"/>
          <w:bCs w:val="0"/>
          <w:lang w:val="es-UY"/>
        </w:rPr>
        <w:t xml:space="preserve"> los Pliegos respectivos y se</w:t>
      </w:r>
      <w:r w:rsidR="009173CD">
        <w:rPr>
          <w:rFonts w:ascii="Arial" w:hAnsi="Arial" w:cs="Arial"/>
          <w:b w:val="0"/>
          <w:bCs w:val="0"/>
          <w:lang w:val="es-UY"/>
        </w:rPr>
        <w:t xml:space="preserve"> autorizó la realización de la L</w:t>
      </w:r>
      <w:r>
        <w:rPr>
          <w:rFonts w:ascii="Arial" w:hAnsi="Arial" w:cs="Arial"/>
          <w:b w:val="0"/>
          <w:bCs w:val="0"/>
          <w:lang w:val="es-UY"/>
        </w:rPr>
        <w:t>icitación</w:t>
      </w:r>
      <w:r w:rsidR="009902F2">
        <w:rPr>
          <w:rFonts w:ascii="Arial" w:hAnsi="Arial" w:cs="Arial"/>
          <w:b w:val="0"/>
          <w:bCs w:val="0"/>
          <w:lang w:val="es-UY"/>
        </w:rPr>
        <w:t xml:space="preserve"> referida</w:t>
      </w:r>
      <w:r w:rsidR="00843F0E">
        <w:rPr>
          <w:rFonts w:ascii="Arial" w:hAnsi="Arial" w:cs="Arial"/>
          <w:b w:val="0"/>
          <w:bCs w:val="0"/>
          <w:lang w:val="es-ES_tradnl"/>
        </w:rPr>
        <w:t>;</w:t>
      </w:r>
    </w:p>
    <w:p w:rsidR="009173CD" w:rsidRDefault="009902F2" w:rsidP="009173CD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9173CD">
        <w:rPr>
          <w:rFonts w:ascii="Arial" w:hAnsi="Arial" w:cs="Arial"/>
          <w:bCs w:val="0"/>
          <w:lang w:val="es-ES_tradnl"/>
        </w:rPr>
        <w:t>2)</w:t>
      </w:r>
      <w:r w:rsidR="009173CD">
        <w:rPr>
          <w:rFonts w:ascii="Arial" w:hAnsi="Arial" w:cs="Arial"/>
          <w:bCs w:val="0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 xml:space="preserve">que del Pliego de Condiciones y del Anexo 1 surge </w:t>
      </w:r>
      <w:r w:rsidR="00AF20DE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>entre otros que</w:t>
      </w:r>
      <w:r w:rsidRPr="009173CD">
        <w:rPr>
          <w:rFonts w:ascii="Arial" w:hAnsi="Arial" w:cs="Arial"/>
          <w:bCs w:val="0"/>
          <w:lang w:val="es-ES_tradnl"/>
        </w:rPr>
        <w:t>:  a)</w:t>
      </w:r>
      <w:r>
        <w:rPr>
          <w:rFonts w:ascii="Arial" w:hAnsi="Arial" w:cs="Arial"/>
          <w:b w:val="0"/>
          <w:bCs w:val="0"/>
          <w:lang w:val="es-ES_tradnl"/>
        </w:rPr>
        <w:t xml:space="preserve">  el plazo del contrato será desde la suscripción del mismo hasta el 31/12/2020 y </w:t>
      </w:r>
      <w:r w:rsidRPr="009173CD">
        <w:rPr>
          <w:rFonts w:ascii="Arial" w:hAnsi="Arial" w:cs="Arial"/>
          <w:bCs w:val="0"/>
          <w:lang w:val="es-ES_tradnl"/>
        </w:rPr>
        <w:t>b)</w:t>
      </w:r>
      <w:r>
        <w:rPr>
          <w:rFonts w:ascii="Arial" w:hAnsi="Arial" w:cs="Arial"/>
          <w:b w:val="0"/>
          <w:bCs w:val="0"/>
          <w:lang w:val="es-ES_tradnl"/>
        </w:rPr>
        <w:t xml:space="preserve"> los factores para la evaluación de las ofertas son técnico</w:t>
      </w:r>
      <w:r w:rsidR="00AF20DE">
        <w:rPr>
          <w:rFonts w:ascii="Arial" w:hAnsi="Arial" w:cs="Arial"/>
          <w:b w:val="0"/>
          <w:bCs w:val="0"/>
          <w:lang w:val="es-ES_tradnl"/>
        </w:rPr>
        <w:t>s (que se dividen en los siguientes ítems: solución funcional y técnica;  metodología y plan de trabajo, experiencia relevante en proyectos similares; competencia y dedicación del personal propuesto)</w:t>
      </w:r>
      <w:r>
        <w:rPr>
          <w:rFonts w:ascii="Arial" w:hAnsi="Arial" w:cs="Arial"/>
          <w:b w:val="0"/>
          <w:bCs w:val="0"/>
          <w:lang w:val="es-ES_tradnl"/>
        </w:rPr>
        <w:t xml:space="preserve">, 60% y  económico, 40%, </w:t>
      </w:r>
      <w:r w:rsidR="00AF20DE">
        <w:rPr>
          <w:rFonts w:ascii="Arial" w:hAnsi="Arial" w:cs="Arial"/>
          <w:b w:val="0"/>
          <w:bCs w:val="0"/>
          <w:lang w:val="es-ES_tradnl"/>
        </w:rPr>
        <w:t xml:space="preserve"> y se va a seleccionar la oferta que presente el mayor puntaje global siempre que obtenga como mínimo un puntaje de 70 puntos en la evaluación técnica;</w:t>
      </w:r>
    </w:p>
    <w:p w:rsidR="009173CD" w:rsidRDefault="009902F2" w:rsidP="009173CD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 w:rsidRPr="009173CD">
        <w:rPr>
          <w:rFonts w:ascii="Arial" w:hAnsi="Arial" w:cs="Arial"/>
          <w:bCs w:val="0"/>
          <w:lang w:val="es-ES_tradnl"/>
        </w:rPr>
        <w:t>3</w:t>
      </w:r>
      <w:r w:rsidR="00A20F48" w:rsidRPr="009173CD">
        <w:rPr>
          <w:rFonts w:ascii="Arial" w:hAnsi="Arial" w:cs="Arial"/>
          <w:lang w:val="es-ES_tradnl"/>
        </w:rPr>
        <w:t>)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que </w:t>
      </w:r>
      <w:r>
        <w:rPr>
          <w:rFonts w:ascii="Arial" w:hAnsi="Arial" w:cs="Arial"/>
          <w:b w:val="0"/>
          <w:bCs w:val="0"/>
          <w:lang w:val="es-ES_tradnl"/>
        </w:rPr>
        <w:t xml:space="preserve">se efectuó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la publicación del llamado </w:t>
      </w:r>
      <w:r w:rsidR="009173CD">
        <w:rPr>
          <w:rFonts w:ascii="Arial" w:hAnsi="Arial" w:cs="Arial"/>
          <w:b w:val="0"/>
          <w:bCs w:val="0"/>
          <w:lang w:val="es-ES_tradnl"/>
        </w:rPr>
        <w:t>só</w:t>
      </w:r>
      <w:r>
        <w:rPr>
          <w:rFonts w:ascii="Arial" w:hAnsi="Arial" w:cs="Arial"/>
          <w:b w:val="0"/>
          <w:bCs w:val="0"/>
          <w:lang w:val="es-ES_tradnl"/>
        </w:rPr>
        <w:t xml:space="preserve">lo </w:t>
      </w:r>
      <w:r w:rsidR="00A20F48">
        <w:rPr>
          <w:rFonts w:ascii="Arial" w:hAnsi="Arial" w:cs="Arial"/>
          <w:b w:val="0"/>
          <w:bCs w:val="0"/>
          <w:lang w:val="es-ES_tradnl"/>
        </w:rPr>
        <w:t>en ACCE el 10/11/17</w:t>
      </w:r>
      <w:r w:rsidR="000562E7">
        <w:rPr>
          <w:rFonts w:ascii="Arial" w:hAnsi="Arial" w:cs="Arial"/>
          <w:b w:val="0"/>
          <w:bCs w:val="0"/>
          <w:lang w:val="es-ES_tradnl"/>
        </w:rPr>
        <w:t xml:space="preserve">,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 xml:space="preserve">cursándose </w:t>
      </w:r>
      <w:r w:rsidR="000562E7">
        <w:rPr>
          <w:rFonts w:ascii="Arial" w:hAnsi="Arial" w:cs="Arial"/>
          <w:b w:val="0"/>
          <w:bCs w:val="0"/>
          <w:lang w:val="es-ES_tradnl"/>
        </w:rPr>
        <w:t xml:space="preserve"> invitaciones a firmas de plaza</w:t>
      </w:r>
      <w:r w:rsidR="009173CD">
        <w:rPr>
          <w:rFonts w:ascii="Arial" w:hAnsi="Arial" w:cs="Arial"/>
          <w:b w:val="0"/>
          <w:bCs w:val="0"/>
        </w:rPr>
        <w:t>;</w:t>
      </w:r>
    </w:p>
    <w:p w:rsidR="00937611" w:rsidRDefault="009902F2" w:rsidP="00937611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937611">
        <w:rPr>
          <w:rFonts w:ascii="Arial" w:hAnsi="Arial" w:cs="Arial"/>
          <w:bCs w:val="0"/>
        </w:rPr>
        <w:lastRenderedPageBreak/>
        <w:t>4</w:t>
      </w:r>
      <w:r w:rsidR="00A20F48" w:rsidRPr="00937611">
        <w:rPr>
          <w:rFonts w:ascii="Arial" w:hAnsi="Arial" w:cs="Arial"/>
        </w:rPr>
        <w:t>)</w:t>
      </w:r>
      <w:r w:rsidR="00A20F48">
        <w:rPr>
          <w:rFonts w:ascii="Arial" w:hAnsi="Arial" w:cs="Arial"/>
        </w:rPr>
        <w:t xml:space="preserve"> </w:t>
      </w:r>
      <w:r w:rsidR="00A20F48">
        <w:rPr>
          <w:rFonts w:ascii="Arial" w:hAnsi="Arial" w:cs="Arial"/>
          <w:b w:val="0"/>
          <w:bCs w:val="0"/>
        </w:rPr>
        <w:t>que en el acto de apertura efectuado el</w:t>
      </w:r>
      <w:r w:rsidR="00A20F48">
        <w:rPr>
          <w:rFonts w:ascii="Times New Roman" w:hAnsi="Times New Roman" w:cs="Times New Roman"/>
          <w:b w:val="0"/>
          <w:bCs w:val="0"/>
        </w:rPr>
        <w:t xml:space="preserve"> </w:t>
      </w:r>
      <w:r w:rsidR="000562E7">
        <w:rPr>
          <w:rFonts w:ascii="Arial" w:hAnsi="Arial" w:cs="Arial"/>
          <w:b w:val="0"/>
          <w:bCs w:val="0"/>
        </w:rPr>
        <w:t>20/11/2</w:t>
      </w:r>
      <w:r w:rsidR="00A20F48">
        <w:rPr>
          <w:rFonts w:ascii="Arial" w:hAnsi="Arial" w:cs="Arial"/>
          <w:b w:val="0"/>
          <w:bCs w:val="0"/>
        </w:rPr>
        <w:t>017</w:t>
      </w:r>
      <w:r>
        <w:rPr>
          <w:rFonts w:ascii="Arial" w:hAnsi="Arial" w:cs="Arial"/>
          <w:b w:val="0"/>
          <w:bCs w:val="0"/>
        </w:rPr>
        <w:t>,</w:t>
      </w:r>
      <w:r w:rsidR="00A20F48">
        <w:rPr>
          <w:rFonts w:ascii="Arial" w:hAnsi="Arial" w:cs="Arial"/>
          <w:b w:val="0"/>
          <w:bCs w:val="0"/>
        </w:rPr>
        <w:t xml:space="preserve"> se </w:t>
      </w:r>
      <w:proofErr w:type="spellStart"/>
      <w:r w:rsidR="00A20F48">
        <w:rPr>
          <w:rFonts w:ascii="Arial" w:hAnsi="Arial" w:cs="Arial"/>
          <w:b w:val="0"/>
          <w:bCs w:val="0"/>
        </w:rPr>
        <w:t>recepcionaron</w:t>
      </w:r>
      <w:proofErr w:type="spellEnd"/>
      <w:r w:rsidR="00A20F48">
        <w:rPr>
          <w:rFonts w:ascii="Arial" w:hAnsi="Arial" w:cs="Arial"/>
          <w:b w:val="0"/>
          <w:bCs w:val="0"/>
        </w:rPr>
        <w:t xml:space="preserve"> dos ofertas </w:t>
      </w:r>
      <w:r>
        <w:rPr>
          <w:rFonts w:ascii="Arial" w:hAnsi="Arial" w:cs="Arial"/>
          <w:b w:val="0"/>
          <w:bCs w:val="0"/>
        </w:rPr>
        <w:t xml:space="preserve">correspondientes a </w:t>
      </w:r>
      <w:r w:rsidR="00AB3368">
        <w:rPr>
          <w:rFonts w:ascii="Arial" w:hAnsi="Arial" w:cs="Arial"/>
          <w:b w:val="0"/>
          <w:bCs w:val="0"/>
        </w:rPr>
        <w:t>TXU S</w:t>
      </w:r>
      <w:r w:rsidR="00937611">
        <w:rPr>
          <w:rFonts w:ascii="Arial" w:hAnsi="Arial" w:cs="Arial"/>
          <w:b w:val="0"/>
          <w:bCs w:val="0"/>
        </w:rPr>
        <w:t>.</w:t>
      </w:r>
      <w:r w:rsidR="00AB3368">
        <w:rPr>
          <w:rFonts w:ascii="Arial" w:hAnsi="Arial" w:cs="Arial"/>
          <w:b w:val="0"/>
          <w:bCs w:val="0"/>
        </w:rPr>
        <w:t>A</w:t>
      </w:r>
      <w:r w:rsidR="00937611">
        <w:rPr>
          <w:rFonts w:ascii="Arial" w:hAnsi="Arial" w:cs="Arial"/>
          <w:b w:val="0"/>
          <w:bCs w:val="0"/>
        </w:rPr>
        <w:t>.</w:t>
      </w:r>
      <w:r w:rsidR="00AB3368">
        <w:rPr>
          <w:rFonts w:ascii="Arial" w:hAnsi="Arial" w:cs="Arial"/>
          <w:b w:val="0"/>
          <w:bCs w:val="0"/>
        </w:rPr>
        <w:t xml:space="preserve"> y </w:t>
      </w:r>
      <w:r>
        <w:rPr>
          <w:rFonts w:ascii="Arial" w:hAnsi="Arial" w:cs="Arial"/>
          <w:b w:val="0"/>
          <w:bCs w:val="0"/>
        </w:rPr>
        <w:t>a</w:t>
      </w:r>
      <w:r w:rsidR="00AB3368">
        <w:rPr>
          <w:rFonts w:ascii="Arial" w:hAnsi="Arial" w:cs="Arial"/>
          <w:b w:val="0"/>
          <w:bCs w:val="0"/>
        </w:rPr>
        <w:t xml:space="preserve"> SHAMAN DEVELOPMENT STUDIO</w:t>
      </w:r>
      <w:r w:rsidR="00937611">
        <w:rPr>
          <w:rFonts w:ascii="Arial" w:hAnsi="Arial" w:cs="Arial"/>
          <w:b w:val="0"/>
          <w:bCs w:val="0"/>
          <w:lang w:val="es-ES_tradnl"/>
        </w:rPr>
        <w:t>;</w:t>
      </w:r>
    </w:p>
    <w:p w:rsidR="00937611" w:rsidRDefault="00AF20DE" w:rsidP="00937611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937611">
        <w:rPr>
          <w:rFonts w:ascii="Arial" w:hAnsi="Arial" w:cs="Arial"/>
          <w:bCs w:val="0"/>
          <w:lang w:val="es-ES_tradnl"/>
        </w:rPr>
        <w:t>5</w:t>
      </w:r>
      <w:r w:rsidR="00CC1233">
        <w:rPr>
          <w:rFonts w:ascii="Arial" w:hAnsi="Arial" w:cs="Arial"/>
          <w:lang w:val="es-ES_tradnl"/>
        </w:rPr>
        <w:t xml:space="preserve">) </w:t>
      </w:r>
      <w:r w:rsidR="00CC1233">
        <w:rPr>
          <w:rFonts w:ascii="Arial" w:hAnsi="Arial" w:cs="Arial"/>
          <w:b w:val="0"/>
          <w:lang w:val="es-ES_tradnl"/>
        </w:rPr>
        <w:t>que el Comité Técnico procedió a analizar las ofertas presentadas, estableciendo los siguientes puntajes:</w:t>
      </w:r>
    </w:p>
    <w:p w:rsidR="00937611" w:rsidRDefault="00AF20DE" w:rsidP="00937611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937611">
        <w:rPr>
          <w:rFonts w:ascii="Arial" w:hAnsi="Arial" w:cs="Arial"/>
          <w:lang w:val="es-ES_tradnl"/>
        </w:rPr>
        <w:t>5</w:t>
      </w:r>
      <w:r w:rsidR="00CC1233" w:rsidRPr="00937611">
        <w:rPr>
          <w:rFonts w:ascii="Arial" w:hAnsi="Arial" w:cs="Arial"/>
          <w:lang w:val="es-ES_tradnl"/>
        </w:rPr>
        <w:t>.1)</w:t>
      </w:r>
      <w:r w:rsidR="00CC1233">
        <w:rPr>
          <w:rFonts w:ascii="Arial" w:hAnsi="Arial" w:cs="Arial"/>
          <w:b w:val="0"/>
          <w:lang w:val="es-ES_tradnl"/>
        </w:rPr>
        <w:t xml:space="preserve"> TXU S</w:t>
      </w:r>
      <w:r w:rsidR="00937611">
        <w:rPr>
          <w:rFonts w:ascii="Arial" w:hAnsi="Arial" w:cs="Arial"/>
          <w:b w:val="0"/>
          <w:lang w:val="es-ES_tradnl"/>
        </w:rPr>
        <w:t>.</w:t>
      </w:r>
      <w:r w:rsidR="00CC1233">
        <w:rPr>
          <w:rFonts w:ascii="Arial" w:hAnsi="Arial" w:cs="Arial"/>
          <w:b w:val="0"/>
          <w:lang w:val="es-ES_tradnl"/>
        </w:rPr>
        <w:t>A</w:t>
      </w:r>
      <w:r w:rsidR="00937611">
        <w:rPr>
          <w:rFonts w:ascii="Arial" w:hAnsi="Arial" w:cs="Arial"/>
          <w:b w:val="0"/>
          <w:lang w:val="es-ES_tradnl"/>
        </w:rPr>
        <w:t>.</w:t>
      </w:r>
      <w:r w:rsidR="00CC1233">
        <w:rPr>
          <w:rFonts w:ascii="Arial" w:hAnsi="Arial" w:cs="Arial"/>
          <w:b w:val="0"/>
          <w:lang w:val="es-ES_tradnl"/>
        </w:rPr>
        <w:t xml:space="preserve">: </w:t>
      </w:r>
      <w:r>
        <w:rPr>
          <w:rFonts w:ascii="Arial" w:hAnsi="Arial" w:cs="Arial"/>
          <w:b w:val="0"/>
          <w:lang w:val="es-ES_tradnl"/>
        </w:rPr>
        <w:t>s</w:t>
      </w:r>
      <w:r w:rsidR="00CA3F9D">
        <w:rPr>
          <w:rFonts w:ascii="Arial" w:hAnsi="Arial" w:cs="Arial"/>
          <w:b w:val="0"/>
          <w:lang w:val="es-ES_tradnl"/>
        </w:rPr>
        <w:t xml:space="preserve">olución funcional y </w:t>
      </w:r>
      <w:r>
        <w:rPr>
          <w:rFonts w:ascii="Arial" w:hAnsi="Arial" w:cs="Arial"/>
          <w:b w:val="0"/>
          <w:lang w:val="es-ES_tradnl"/>
        </w:rPr>
        <w:t>t</w:t>
      </w:r>
      <w:r w:rsidR="00CA3F9D">
        <w:rPr>
          <w:rFonts w:ascii="Arial" w:hAnsi="Arial" w:cs="Arial"/>
          <w:b w:val="0"/>
          <w:lang w:val="es-ES_tradnl"/>
        </w:rPr>
        <w:t>écnica: 24</w:t>
      </w:r>
      <w:r w:rsidR="00422F1D">
        <w:rPr>
          <w:rFonts w:ascii="Arial" w:hAnsi="Arial" w:cs="Arial"/>
          <w:b w:val="0"/>
          <w:lang w:val="es-ES_tradnl"/>
        </w:rPr>
        <w:t xml:space="preserve">; </w:t>
      </w:r>
      <w:r>
        <w:rPr>
          <w:rFonts w:ascii="Arial" w:hAnsi="Arial" w:cs="Arial"/>
          <w:b w:val="0"/>
          <w:lang w:val="es-ES_tradnl"/>
        </w:rPr>
        <w:t>m</w:t>
      </w:r>
      <w:r w:rsidR="00422F1D">
        <w:rPr>
          <w:rFonts w:ascii="Arial" w:hAnsi="Arial" w:cs="Arial"/>
          <w:b w:val="0"/>
          <w:lang w:val="es-ES_tradnl"/>
        </w:rPr>
        <w:t>e</w:t>
      </w:r>
      <w:r w:rsidR="00CA3F9D">
        <w:rPr>
          <w:rFonts w:ascii="Arial" w:hAnsi="Arial" w:cs="Arial"/>
          <w:b w:val="0"/>
          <w:lang w:val="es-ES_tradnl"/>
        </w:rPr>
        <w:t xml:space="preserve">todología y </w:t>
      </w:r>
      <w:r>
        <w:rPr>
          <w:rFonts w:ascii="Arial" w:hAnsi="Arial" w:cs="Arial"/>
          <w:b w:val="0"/>
          <w:lang w:val="es-ES_tradnl"/>
        </w:rPr>
        <w:t>p</w:t>
      </w:r>
      <w:r w:rsidR="00CA3F9D">
        <w:rPr>
          <w:rFonts w:ascii="Arial" w:hAnsi="Arial" w:cs="Arial"/>
          <w:b w:val="0"/>
          <w:lang w:val="es-ES_tradnl"/>
        </w:rPr>
        <w:t xml:space="preserve">lan de </w:t>
      </w:r>
      <w:r>
        <w:rPr>
          <w:rFonts w:ascii="Arial" w:hAnsi="Arial" w:cs="Arial"/>
          <w:b w:val="0"/>
          <w:lang w:val="es-ES_tradnl"/>
        </w:rPr>
        <w:t>t</w:t>
      </w:r>
      <w:r w:rsidR="00CA3F9D">
        <w:rPr>
          <w:rFonts w:ascii="Arial" w:hAnsi="Arial" w:cs="Arial"/>
          <w:b w:val="0"/>
          <w:lang w:val="es-ES_tradnl"/>
        </w:rPr>
        <w:t>rabajo: 16</w:t>
      </w:r>
      <w:r w:rsidR="00422F1D">
        <w:rPr>
          <w:rFonts w:ascii="Arial" w:hAnsi="Arial" w:cs="Arial"/>
          <w:b w:val="0"/>
          <w:lang w:val="es-ES_tradnl"/>
        </w:rPr>
        <w:t xml:space="preserve">; </w:t>
      </w:r>
      <w:r>
        <w:rPr>
          <w:rFonts w:ascii="Arial" w:hAnsi="Arial" w:cs="Arial"/>
          <w:b w:val="0"/>
          <w:lang w:val="es-ES_tradnl"/>
        </w:rPr>
        <w:t>e</w:t>
      </w:r>
      <w:r w:rsidR="00422F1D">
        <w:rPr>
          <w:rFonts w:ascii="Arial" w:hAnsi="Arial" w:cs="Arial"/>
          <w:b w:val="0"/>
          <w:lang w:val="es-ES_tradnl"/>
        </w:rPr>
        <w:t>xperiencia relev</w:t>
      </w:r>
      <w:r w:rsidR="00CA3F9D">
        <w:rPr>
          <w:rFonts w:ascii="Arial" w:hAnsi="Arial" w:cs="Arial"/>
          <w:b w:val="0"/>
          <w:lang w:val="es-ES_tradnl"/>
        </w:rPr>
        <w:t>ante en proyectos similares: 27</w:t>
      </w:r>
      <w:r w:rsidR="00422F1D">
        <w:rPr>
          <w:rFonts w:ascii="Arial" w:hAnsi="Arial" w:cs="Arial"/>
          <w:b w:val="0"/>
          <w:lang w:val="es-ES_tradnl"/>
        </w:rPr>
        <w:t xml:space="preserve">; </w:t>
      </w:r>
      <w:r>
        <w:rPr>
          <w:rFonts w:ascii="Arial" w:hAnsi="Arial" w:cs="Arial"/>
          <w:b w:val="0"/>
          <w:lang w:val="es-ES_tradnl"/>
        </w:rPr>
        <w:t>c</w:t>
      </w:r>
      <w:r w:rsidR="00422F1D">
        <w:rPr>
          <w:rFonts w:ascii="Arial" w:hAnsi="Arial" w:cs="Arial"/>
          <w:b w:val="0"/>
          <w:lang w:val="es-ES_tradnl"/>
        </w:rPr>
        <w:t xml:space="preserve">ompetencia y dedicación del </w:t>
      </w:r>
      <w:r>
        <w:rPr>
          <w:rFonts w:ascii="Arial" w:hAnsi="Arial" w:cs="Arial"/>
          <w:b w:val="0"/>
          <w:lang w:val="es-ES_tradnl"/>
        </w:rPr>
        <w:t>p</w:t>
      </w:r>
      <w:r w:rsidR="00422F1D">
        <w:rPr>
          <w:rFonts w:ascii="Arial" w:hAnsi="Arial" w:cs="Arial"/>
          <w:b w:val="0"/>
          <w:lang w:val="es-ES_tradnl"/>
        </w:rPr>
        <w:t xml:space="preserve">ersonal propuesto: 17. </w:t>
      </w:r>
      <w:proofErr w:type="gramStart"/>
      <w:r>
        <w:rPr>
          <w:rFonts w:ascii="Arial" w:hAnsi="Arial" w:cs="Arial"/>
          <w:b w:val="0"/>
          <w:lang w:val="es-ES_tradnl"/>
        </w:rPr>
        <w:t>p</w:t>
      </w:r>
      <w:r w:rsidR="00422F1D">
        <w:rPr>
          <w:rFonts w:ascii="Arial" w:hAnsi="Arial" w:cs="Arial"/>
          <w:b w:val="0"/>
          <w:lang w:val="es-ES_tradnl"/>
        </w:rPr>
        <w:t>untaje</w:t>
      </w:r>
      <w:proofErr w:type="gramEnd"/>
      <w:r w:rsidR="00422F1D">
        <w:rPr>
          <w:rFonts w:ascii="Arial" w:hAnsi="Arial" w:cs="Arial"/>
          <w:b w:val="0"/>
          <w:lang w:val="es-ES_tradnl"/>
        </w:rPr>
        <w:t xml:space="preserve"> total evaluación técnica: 8</w:t>
      </w:r>
      <w:r w:rsidR="00CA3F9D">
        <w:rPr>
          <w:rFonts w:ascii="Arial" w:hAnsi="Arial" w:cs="Arial"/>
          <w:b w:val="0"/>
          <w:lang w:val="es-ES_tradnl"/>
        </w:rPr>
        <w:t>4;</w:t>
      </w:r>
    </w:p>
    <w:p w:rsidR="00937611" w:rsidRDefault="00AF20DE" w:rsidP="00937611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937611">
        <w:rPr>
          <w:rFonts w:ascii="Arial" w:hAnsi="Arial" w:cs="Arial"/>
          <w:lang w:val="es-ES_tradnl"/>
        </w:rPr>
        <w:t>5</w:t>
      </w:r>
      <w:r w:rsidR="00422F1D" w:rsidRPr="00937611">
        <w:rPr>
          <w:rFonts w:ascii="Arial" w:hAnsi="Arial" w:cs="Arial"/>
          <w:lang w:val="es-ES_tradnl"/>
        </w:rPr>
        <w:t>.2)</w:t>
      </w:r>
      <w:r w:rsidR="00422F1D">
        <w:rPr>
          <w:rFonts w:ascii="Arial" w:hAnsi="Arial" w:cs="Arial"/>
          <w:b w:val="0"/>
          <w:lang w:val="es-ES_tradnl"/>
        </w:rPr>
        <w:t xml:space="preserve"> SHAMAN DEVELOPMENT STUDIO: </w:t>
      </w:r>
      <w:r>
        <w:rPr>
          <w:rFonts w:ascii="Arial" w:hAnsi="Arial" w:cs="Arial"/>
          <w:b w:val="0"/>
          <w:lang w:val="es-ES_tradnl"/>
        </w:rPr>
        <w:t>s</w:t>
      </w:r>
      <w:r w:rsidR="00CA3F9D">
        <w:rPr>
          <w:rFonts w:ascii="Arial" w:hAnsi="Arial" w:cs="Arial"/>
          <w:b w:val="0"/>
          <w:lang w:val="es-ES_tradnl"/>
        </w:rPr>
        <w:t xml:space="preserve">olución funcional y </w:t>
      </w:r>
      <w:r>
        <w:rPr>
          <w:rFonts w:ascii="Arial" w:hAnsi="Arial" w:cs="Arial"/>
          <w:b w:val="0"/>
          <w:lang w:val="es-ES_tradnl"/>
        </w:rPr>
        <w:t>t</w:t>
      </w:r>
      <w:r w:rsidR="00CA3F9D">
        <w:rPr>
          <w:rFonts w:ascii="Arial" w:hAnsi="Arial" w:cs="Arial"/>
          <w:b w:val="0"/>
          <w:lang w:val="es-ES_tradnl"/>
        </w:rPr>
        <w:t>écnica: 21</w:t>
      </w:r>
      <w:r w:rsidR="00422F1D">
        <w:rPr>
          <w:rFonts w:ascii="Arial" w:hAnsi="Arial" w:cs="Arial"/>
          <w:b w:val="0"/>
          <w:lang w:val="es-ES_tradnl"/>
        </w:rPr>
        <w:t xml:space="preserve">; </w:t>
      </w:r>
      <w:r>
        <w:rPr>
          <w:rFonts w:ascii="Arial" w:hAnsi="Arial" w:cs="Arial"/>
          <w:b w:val="0"/>
          <w:lang w:val="es-ES_tradnl"/>
        </w:rPr>
        <w:t>m</w:t>
      </w:r>
      <w:r w:rsidR="00422F1D">
        <w:rPr>
          <w:rFonts w:ascii="Arial" w:hAnsi="Arial" w:cs="Arial"/>
          <w:b w:val="0"/>
          <w:lang w:val="es-ES_tradnl"/>
        </w:rPr>
        <w:t xml:space="preserve">etodología y </w:t>
      </w:r>
      <w:r>
        <w:rPr>
          <w:rFonts w:ascii="Arial" w:hAnsi="Arial" w:cs="Arial"/>
          <w:b w:val="0"/>
          <w:lang w:val="es-ES_tradnl"/>
        </w:rPr>
        <w:t>p</w:t>
      </w:r>
      <w:r w:rsidR="00422F1D">
        <w:rPr>
          <w:rFonts w:ascii="Arial" w:hAnsi="Arial" w:cs="Arial"/>
          <w:b w:val="0"/>
          <w:lang w:val="es-ES_tradnl"/>
        </w:rPr>
        <w:t xml:space="preserve">lan de </w:t>
      </w:r>
      <w:r>
        <w:rPr>
          <w:rFonts w:ascii="Arial" w:hAnsi="Arial" w:cs="Arial"/>
          <w:b w:val="0"/>
          <w:lang w:val="es-ES_tradnl"/>
        </w:rPr>
        <w:t>t</w:t>
      </w:r>
      <w:r w:rsidR="00422F1D">
        <w:rPr>
          <w:rFonts w:ascii="Arial" w:hAnsi="Arial" w:cs="Arial"/>
          <w:b w:val="0"/>
          <w:lang w:val="es-ES_tradnl"/>
        </w:rPr>
        <w:t xml:space="preserve">rabajo: 14; </w:t>
      </w:r>
      <w:r>
        <w:rPr>
          <w:rFonts w:ascii="Arial" w:hAnsi="Arial" w:cs="Arial"/>
          <w:b w:val="0"/>
          <w:lang w:val="es-ES_tradnl"/>
        </w:rPr>
        <w:t>e</w:t>
      </w:r>
      <w:r w:rsidR="00422F1D">
        <w:rPr>
          <w:rFonts w:ascii="Arial" w:hAnsi="Arial" w:cs="Arial"/>
          <w:b w:val="0"/>
          <w:lang w:val="es-ES_tradnl"/>
        </w:rPr>
        <w:t xml:space="preserve">xperiencia relevante en proyectos similares: 21; </w:t>
      </w:r>
      <w:r>
        <w:rPr>
          <w:rFonts w:ascii="Arial" w:hAnsi="Arial" w:cs="Arial"/>
          <w:b w:val="0"/>
          <w:lang w:val="es-ES_tradnl"/>
        </w:rPr>
        <w:t>c</w:t>
      </w:r>
      <w:r w:rsidR="00422F1D">
        <w:rPr>
          <w:rFonts w:ascii="Arial" w:hAnsi="Arial" w:cs="Arial"/>
          <w:b w:val="0"/>
          <w:lang w:val="es-ES_tradnl"/>
        </w:rPr>
        <w:t xml:space="preserve">ompetencia y dedicación del </w:t>
      </w:r>
      <w:r>
        <w:rPr>
          <w:rFonts w:ascii="Arial" w:hAnsi="Arial" w:cs="Arial"/>
          <w:b w:val="0"/>
          <w:lang w:val="es-ES_tradnl"/>
        </w:rPr>
        <w:t>p</w:t>
      </w:r>
      <w:r w:rsidR="00422F1D">
        <w:rPr>
          <w:rFonts w:ascii="Arial" w:hAnsi="Arial" w:cs="Arial"/>
          <w:b w:val="0"/>
          <w:lang w:val="es-ES_tradnl"/>
        </w:rPr>
        <w:t xml:space="preserve">ersonal propuesto: 16. </w:t>
      </w:r>
      <w:proofErr w:type="gramStart"/>
      <w:r>
        <w:rPr>
          <w:rFonts w:ascii="Arial" w:hAnsi="Arial" w:cs="Arial"/>
          <w:b w:val="0"/>
          <w:lang w:val="es-ES_tradnl"/>
        </w:rPr>
        <w:t>p</w:t>
      </w:r>
      <w:r w:rsidR="00422F1D">
        <w:rPr>
          <w:rFonts w:ascii="Arial" w:hAnsi="Arial" w:cs="Arial"/>
          <w:b w:val="0"/>
          <w:lang w:val="es-ES_tradnl"/>
        </w:rPr>
        <w:t>untaje</w:t>
      </w:r>
      <w:proofErr w:type="gramEnd"/>
      <w:r w:rsidR="00422F1D">
        <w:rPr>
          <w:rFonts w:ascii="Arial" w:hAnsi="Arial" w:cs="Arial"/>
          <w:b w:val="0"/>
          <w:lang w:val="es-ES_tradnl"/>
        </w:rPr>
        <w:t xml:space="preserve"> total evaluación técnica: 72 </w:t>
      </w:r>
      <w:r w:rsidR="00937611">
        <w:rPr>
          <w:rFonts w:ascii="Arial" w:hAnsi="Arial" w:cs="Arial"/>
          <w:b w:val="0"/>
          <w:lang w:val="es-ES_tradnl"/>
        </w:rPr>
        <w:t>;</w:t>
      </w:r>
    </w:p>
    <w:p w:rsidR="00937611" w:rsidRDefault="00437D23" w:rsidP="00937611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937611">
        <w:rPr>
          <w:rFonts w:ascii="Arial" w:hAnsi="Arial" w:cs="Arial"/>
          <w:bCs w:val="0"/>
          <w:lang w:val="es-ES_tradnl"/>
        </w:rPr>
        <w:t>6</w:t>
      </w:r>
      <w:r w:rsidR="00422F1D">
        <w:rPr>
          <w:rFonts w:ascii="Arial" w:hAnsi="Arial" w:cs="Arial"/>
          <w:lang w:val="es-ES_tradnl"/>
        </w:rPr>
        <w:t xml:space="preserve">) </w:t>
      </w:r>
      <w:r w:rsidR="00422F1D">
        <w:rPr>
          <w:rFonts w:ascii="Arial" w:hAnsi="Arial" w:cs="Arial"/>
          <w:b w:val="0"/>
          <w:lang w:val="es-ES_tradnl"/>
        </w:rPr>
        <w:t xml:space="preserve">que se efectuó, asimismo, la evaluación de las propuestas económicas </w:t>
      </w:r>
      <w:r>
        <w:rPr>
          <w:rFonts w:ascii="Arial" w:hAnsi="Arial" w:cs="Arial"/>
          <w:b w:val="0"/>
          <w:lang w:val="es-ES_tradnl"/>
        </w:rPr>
        <w:t>asignándose</w:t>
      </w:r>
      <w:r w:rsidR="00422F1D">
        <w:rPr>
          <w:rFonts w:ascii="Arial" w:hAnsi="Arial" w:cs="Arial"/>
          <w:b w:val="0"/>
          <w:lang w:val="es-ES_tradnl"/>
        </w:rPr>
        <w:t xml:space="preserve"> 92 puntos a TXU SA y 88 </w:t>
      </w:r>
      <w:r>
        <w:rPr>
          <w:rFonts w:ascii="Arial" w:hAnsi="Arial" w:cs="Arial"/>
          <w:b w:val="0"/>
          <w:lang w:val="es-ES_tradnl"/>
        </w:rPr>
        <w:t xml:space="preserve">puntos </w:t>
      </w:r>
      <w:r w:rsidR="00422F1D">
        <w:rPr>
          <w:rFonts w:ascii="Arial" w:hAnsi="Arial" w:cs="Arial"/>
          <w:b w:val="0"/>
          <w:lang w:val="es-ES_tradnl"/>
        </w:rPr>
        <w:t>a SHAMAN DEVELOPMENT STUDIO, resultando los siguientes puntajes finales:</w:t>
      </w:r>
      <w:r w:rsidR="00422F1D" w:rsidRPr="00422F1D">
        <w:rPr>
          <w:rFonts w:ascii="Arial" w:hAnsi="Arial" w:cs="Arial"/>
          <w:b w:val="0"/>
          <w:lang w:val="es-ES_tradnl"/>
        </w:rPr>
        <w:t xml:space="preserve"> </w:t>
      </w:r>
      <w:r w:rsidR="00422F1D">
        <w:rPr>
          <w:rFonts w:ascii="Arial" w:hAnsi="Arial" w:cs="Arial"/>
          <w:b w:val="0"/>
          <w:lang w:val="es-ES_tradnl"/>
        </w:rPr>
        <w:t>TXU S</w:t>
      </w:r>
      <w:r w:rsidR="00937611">
        <w:rPr>
          <w:rFonts w:ascii="Arial" w:hAnsi="Arial" w:cs="Arial"/>
          <w:b w:val="0"/>
          <w:lang w:val="es-ES_tradnl"/>
        </w:rPr>
        <w:t>.</w:t>
      </w:r>
      <w:r w:rsidR="00422F1D">
        <w:rPr>
          <w:rFonts w:ascii="Arial" w:hAnsi="Arial" w:cs="Arial"/>
          <w:b w:val="0"/>
          <w:lang w:val="es-ES_tradnl"/>
        </w:rPr>
        <w:t>A</w:t>
      </w:r>
      <w:r w:rsidR="00937611">
        <w:rPr>
          <w:rFonts w:ascii="Arial" w:hAnsi="Arial" w:cs="Arial"/>
          <w:b w:val="0"/>
          <w:lang w:val="es-ES_tradnl"/>
        </w:rPr>
        <w:t>.</w:t>
      </w:r>
      <w:r w:rsidR="00422F1D">
        <w:rPr>
          <w:rFonts w:ascii="Arial" w:hAnsi="Arial" w:cs="Arial"/>
          <w:b w:val="0"/>
          <w:lang w:val="es-ES_tradnl"/>
        </w:rPr>
        <w:t xml:space="preserve">  87 y  SHAMAN DEVELOPMENT STUDIO 78</w:t>
      </w:r>
      <w:r w:rsidR="00937611">
        <w:rPr>
          <w:rFonts w:ascii="Arial" w:hAnsi="Arial" w:cs="Arial"/>
          <w:b w:val="0"/>
          <w:lang w:val="es-ES_tradnl"/>
        </w:rPr>
        <w:t>;</w:t>
      </w:r>
    </w:p>
    <w:p w:rsidR="00937611" w:rsidRDefault="00437D23" w:rsidP="00937611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color w:val="auto"/>
          <w:lang w:val="es-UY"/>
        </w:rPr>
      </w:pPr>
      <w:r>
        <w:rPr>
          <w:rFonts w:ascii="Arial" w:hAnsi="Arial" w:cs="Arial"/>
          <w:lang w:val="es-ES_tradnl"/>
        </w:rPr>
        <w:t>7</w:t>
      </w:r>
      <w:r w:rsidR="00A20F48">
        <w:rPr>
          <w:rFonts w:ascii="Arial" w:hAnsi="Arial" w:cs="Arial"/>
          <w:lang w:val="es-ES_tradnl"/>
        </w:rPr>
        <w:t>)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que la Comisión Asesora de </w:t>
      </w:r>
      <w:r w:rsidR="00422F1D">
        <w:rPr>
          <w:rFonts w:ascii="Arial" w:hAnsi="Arial" w:cs="Arial"/>
          <w:b w:val="0"/>
          <w:bCs w:val="0"/>
          <w:lang w:val="es-ES_tradnl"/>
        </w:rPr>
        <w:t xml:space="preserve">Adjudicaciones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con fecha </w:t>
      </w:r>
      <w:r w:rsidR="00422F1D">
        <w:rPr>
          <w:rFonts w:ascii="Arial" w:hAnsi="Arial" w:cs="Arial"/>
          <w:b w:val="0"/>
          <w:bCs w:val="0"/>
          <w:lang w:val="es-ES_tradnl"/>
        </w:rPr>
        <w:t xml:space="preserve">14/03/2018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 xml:space="preserve">teniendo en cuenta el informe precedente, </w:t>
      </w:r>
      <w:r w:rsidR="00A20F48">
        <w:rPr>
          <w:rFonts w:ascii="Arial" w:hAnsi="Arial" w:cs="Arial"/>
          <w:b w:val="0"/>
          <w:bCs w:val="0"/>
          <w:lang w:val="es-ES_tradnl"/>
        </w:rPr>
        <w:t>aconsej</w:t>
      </w:r>
      <w:r w:rsidR="00937611">
        <w:rPr>
          <w:rFonts w:ascii="Arial" w:hAnsi="Arial" w:cs="Arial"/>
          <w:b w:val="0"/>
          <w:bCs w:val="0"/>
          <w:lang w:val="es-ES_tradnl"/>
        </w:rPr>
        <w:t>ó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 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>aceptar la propuesta de</w:t>
      </w:r>
      <w:r w:rsidR="00CA3F9D">
        <w:rPr>
          <w:rFonts w:ascii="Arial" w:hAnsi="Arial" w:cs="Arial"/>
          <w:b w:val="0"/>
          <w:bCs w:val="0"/>
          <w:color w:val="auto"/>
          <w:lang w:val="es-UY"/>
        </w:rPr>
        <w:t xml:space="preserve"> TXU 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 xml:space="preserve">S.A.,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por un monto 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 xml:space="preserve"> total de  $ 1</w:t>
      </w:r>
      <w:r w:rsidR="00CA3F9D">
        <w:rPr>
          <w:rFonts w:ascii="Arial" w:hAnsi="Arial" w:cs="Arial"/>
          <w:b w:val="0"/>
          <w:bCs w:val="0"/>
          <w:color w:val="auto"/>
          <w:lang w:val="es-UY"/>
        </w:rPr>
        <w:t>6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>:</w:t>
      </w:r>
      <w:r w:rsidR="00CA3F9D">
        <w:rPr>
          <w:rFonts w:ascii="Arial" w:hAnsi="Arial" w:cs="Arial"/>
          <w:b w:val="0"/>
          <w:bCs w:val="0"/>
          <w:color w:val="auto"/>
          <w:lang w:val="es-UY"/>
        </w:rPr>
        <w:t>000.000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>
        <w:rPr>
          <w:rFonts w:ascii="Arial" w:hAnsi="Arial" w:cs="Arial"/>
          <w:b w:val="0"/>
          <w:bCs w:val="0"/>
          <w:color w:val="auto"/>
          <w:lang w:val="es-UY"/>
        </w:rPr>
        <w:t>(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>incluidos impuestos</w:t>
      </w:r>
      <w:r>
        <w:rPr>
          <w:rFonts w:ascii="Arial" w:hAnsi="Arial" w:cs="Arial"/>
          <w:b w:val="0"/>
          <w:bCs w:val="0"/>
          <w:color w:val="auto"/>
          <w:lang w:val="es-UY"/>
        </w:rPr>
        <w:t>);</w:t>
      </w:r>
    </w:p>
    <w:p w:rsidR="00937611" w:rsidRDefault="00437D23" w:rsidP="00937611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 w:rsidRPr="00937611">
        <w:rPr>
          <w:rFonts w:ascii="Arial" w:hAnsi="Arial" w:cs="Arial"/>
        </w:rPr>
        <w:t>8</w:t>
      </w:r>
      <w:r w:rsidR="00A20F48" w:rsidRPr="00937611">
        <w:rPr>
          <w:rFonts w:ascii="Arial" w:hAnsi="Arial" w:cs="Arial"/>
        </w:rPr>
        <w:t xml:space="preserve">) </w:t>
      </w:r>
      <w:r w:rsidR="00A20F48" w:rsidRPr="00937611">
        <w:rPr>
          <w:rFonts w:ascii="Arial" w:hAnsi="Arial" w:cs="Arial"/>
          <w:b w:val="0"/>
          <w:bCs w:val="0"/>
        </w:rPr>
        <w:t>que se</w:t>
      </w:r>
      <w:r w:rsidR="00CA3F9D" w:rsidRPr="00937611">
        <w:rPr>
          <w:rFonts w:ascii="Arial" w:hAnsi="Arial" w:cs="Arial"/>
          <w:b w:val="0"/>
          <w:bCs w:val="0"/>
        </w:rPr>
        <w:t xml:space="preserve"> realizó imputación definitiva por el importe de $ 1:000.000 con cargo a la actividad 302000101 derivado 289000 el que, al momento de la imputación c</w:t>
      </w:r>
      <w:r w:rsidRPr="00937611">
        <w:rPr>
          <w:rFonts w:ascii="Arial" w:hAnsi="Arial" w:cs="Arial"/>
          <w:b w:val="0"/>
          <w:bCs w:val="0"/>
        </w:rPr>
        <w:t xml:space="preserve">ontaba </w:t>
      </w:r>
      <w:r w:rsidR="00CA3F9D" w:rsidRPr="00937611">
        <w:rPr>
          <w:rFonts w:ascii="Arial" w:hAnsi="Arial" w:cs="Arial"/>
          <w:b w:val="0"/>
          <w:bCs w:val="0"/>
        </w:rPr>
        <w:t xml:space="preserve"> con disponibilidad suficiente</w:t>
      </w:r>
      <w:r w:rsidR="00A20F48" w:rsidRPr="00937611">
        <w:rPr>
          <w:rFonts w:ascii="Arial" w:hAnsi="Arial" w:cs="Arial"/>
          <w:b w:val="0"/>
          <w:bCs w:val="0"/>
        </w:rPr>
        <w:t>;</w:t>
      </w:r>
    </w:p>
    <w:p w:rsidR="00CA3F9D" w:rsidRPr="00CA3F9D" w:rsidRDefault="00437D23" w:rsidP="00937611">
      <w:pPr>
        <w:spacing w:line="360" w:lineRule="auto"/>
        <w:ind w:firstLine="2835"/>
        <w:jc w:val="both"/>
        <w:rPr>
          <w:lang w:val="es-ES_tradnl"/>
        </w:rPr>
      </w:pPr>
      <w:r w:rsidRPr="00937611">
        <w:rPr>
          <w:rFonts w:ascii="Arial" w:hAnsi="Arial" w:cs="Arial"/>
          <w:lang w:val="es-ES_tradnl"/>
        </w:rPr>
        <w:t>9</w:t>
      </w:r>
      <w:r w:rsidR="00CA3F9D" w:rsidRPr="00937611">
        <w:rPr>
          <w:rFonts w:ascii="Arial" w:hAnsi="Arial" w:cs="Arial"/>
          <w:lang w:val="es-ES_tradnl"/>
        </w:rPr>
        <w:t>)</w:t>
      </w:r>
      <w:r w:rsidR="00CA3F9D">
        <w:rPr>
          <w:rFonts w:ascii="Arial" w:hAnsi="Arial" w:cs="Arial"/>
          <w:b w:val="0"/>
          <w:lang w:val="es-ES_tradnl"/>
        </w:rPr>
        <w:t xml:space="preserve"> que no consta Resolución de</w:t>
      </w:r>
      <w:r w:rsidR="00937611">
        <w:rPr>
          <w:rFonts w:ascii="Arial" w:hAnsi="Arial" w:cs="Arial"/>
          <w:b w:val="0"/>
          <w:lang w:val="es-ES_tradnl"/>
        </w:rPr>
        <w:t>l O</w:t>
      </w:r>
      <w:r w:rsidR="00277DD0">
        <w:rPr>
          <w:rFonts w:ascii="Arial" w:hAnsi="Arial" w:cs="Arial"/>
          <w:b w:val="0"/>
          <w:lang w:val="es-ES_tradnl"/>
        </w:rPr>
        <w:t>rdenador competente disponiendo la</w:t>
      </w:r>
      <w:r w:rsidR="00CA3F9D">
        <w:rPr>
          <w:rFonts w:ascii="Arial" w:hAnsi="Arial" w:cs="Arial"/>
          <w:b w:val="0"/>
          <w:lang w:val="es-ES_tradnl"/>
        </w:rPr>
        <w:t xml:space="preserve"> adjudicación</w:t>
      </w:r>
      <w:r w:rsidR="00937611">
        <w:rPr>
          <w:rFonts w:ascii="Arial" w:hAnsi="Arial" w:cs="Arial"/>
          <w:b w:val="0"/>
          <w:lang w:val="es-ES_tradnl"/>
        </w:rPr>
        <w:t xml:space="preserve"> de la L</w:t>
      </w:r>
      <w:r w:rsidR="00277DD0">
        <w:rPr>
          <w:rFonts w:ascii="Arial" w:hAnsi="Arial" w:cs="Arial"/>
          <w:b w:val="0"/>
          <w:lang w:val="es-ES_tradnl"/>
        </w:rPr>
        <w:t>icitación de referencia</w:t>
      </w:r>
      <w:r w:rsidR="00937611">
        <w:rPr>
          <w:rFonts w:ascii="Arial" w:hAnsi="Arial" w:cs="Arial"/>
          <w:b w:val="0"/>
          <w:lang w:val="es-ES_tradnl"/>
        </w:rPr>
        <w:t>;</w:t>
      </w:r>
      <w:r w:rsidR="00CA3F9D">
        <w:rPr>
          <w:lang w:val="es-ES_tradnl"/>
        </w:rPr>
        <w:t xml:space="preserve">                      </w:t>
      </w:r>
    </w:p>
    <w:p w:rsidR="00A20F48" w:rsidRDefault="00A20F48" w:rsidP="00937611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CONSIDERANDO:</w:t>
      </w:r>
      <w:r w:rsidRPr="00437D23">
        <w:rPr>
          <w:rFonts w:ascii="Arial" w:hAnsi="Arial" w:cs="Arial"/>
          <w:b w:val="0"/>
          <w:lang w:val="es-ES_tradnl"/>
        </w:rPr>
        <w:t xml:space="preserve"> </w:t>
      </w:r>
      <w:r w:rsidR="00437D23" w:rsidRPr="00437D23">
        <w:rPr>
          <w:rFonts w:ascii="Arial" w:hAnsi="Arial" w:cs="Arial"/>
          <w:b w:val="0"/>
          <w:lang w:val="es-ES_tradnl"/>
        </w:rPr>
        <w:t>que</w:t>
      </w:r>
      <w:r w:rsidR="00437D2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937611">
        <w:rPr>
          <w:rFonts w:ascii="Arial" w:hAnsi="Arial" w:cs="Arial"/>
          <w:b w:val="0"/>
          <w:bCs w:val="0"/>
          <w:lang w:val="es-ES_tradnl"/>
        </w:rPr>
        <w:t>no se dio cumplimiento con</w:t>
      </w:r>
      <w:r w:rsidR="00CA3F9D">
        <w:rPr>
          <w:rFonts w:ascii="Arial" w:hAnsi="Arial" w:cs="Arial"/>
          <w:b w:val="0"/>
          <w:bCs w:val="0"/>
          <w:lang w:val="es-ES_tradnl"/>
        </w:rPr>
        <w:t xml:space="preserve"> lo dispuest</w:t>
      </w:r>
      <w:r>
        <w:rPr>
          <w:rFonts w:ascii="Arial" w:hAnsi="Arial" w:cs="Arial"/>
          <w:b w:val="0"/>
          <w:bCs w:val="0"/>
          <w:lang w:val="es-ES_tradnl"/>
        </w:rPr>
        <w:t xml:space="preserve">o en </w:t>
      </w:r>
      <w:r w:rsidR="00937611">
        <w:rPr>
          <w:rFonts w:ascii="Arial" w:hAnsi="Arial" w:cs="Arial"/>
          <w:b w:val="0"/>
          <w:bCs w:val="0"/>
          <w:lang w:val="es-ES_tradnl"/>
        </w:rPr>
        <w:t>el A</w:t>
      </w:r>
      <w:r w:rsidR="00CA3F9D">
        <w:rPr>
          <w:rFonts w:ascii="Arial" w:hAnsi="Arial" w:cs="Arial"/>
          <w:b w:val="0"/>
          <w:bCs w:val="0"/>
          <w:lang w:val="es-ES_tradnl"/>
        </w:rPr>
        <w:t>rt</w:t>
      </w:r>
      <w:r w:rsidR="00993B0A">
        <w:rPr>
          <w:rFonts w:ascii="Arial" w:hAnsi="Arial" w:cs="Arial"/>
          <w:b w:val="0"/>
          <w:bCs w:val="0"/>
          <w:lang w:val="es-ES_tradnl"/>
        </w:rPr>
        <w:t>ículo 51 del TOCAF, al no haber</w:t>
      </w:r>
      <w:r w:rsidR="00CA3F9D">
        <w:rPr>
          <w:rFonts w:ascii="Arial" w:hAnsi="Arial" w:cs="Arial"/>
          <w:b w:val="0"/>
          <w:bCs w:val="0"/>
          <w:lang w:val="es-ES_tradnl"/>
        </w:rPr>
        <w:t xml:space="preserve"> efectuado la publicación correspondiente en el Diario Oficial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A20F48" w:rsidRDefault="00A20F48" w:rsidP="00993B0A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exp</w:t>
      </w:r>
      <w:r w:rsidR="00993B0A">
        <w:rPr>
          <w:rFonts w:ascii="Arial" w:hAnsi="Arial" w:cs="Arial"/>
          <w:b w:val="0"/>
          <w:bCs w:val="0"/>
          <w:lang w:val="es-ES_tradnl"/>
        </w:rPr>
        <w:t>uesto, y a lo dispuesto por el Artículo 211 L</w:t>
      </w:r>
      <w:r>
        <w:rPr>
          <w:rFonts w:ascii="Arial" w:hAnsi="Arial" w:cs="Arial"/>
          <w:b w:val="0"/>
          <w:bCs w:val="0"/>
          <w:lang w:val="es-ES_tradnl"/>
        </w:rPr>
        <w:t>iteral B) de l</w:t>
      </w:r>
      <w:r w:rsidR="00993B0A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6C15C9" w:rsidRPr="00993B0A" w:rsidRDefault="00A20F48" w:rsidP="00993B0A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993B0A">
        <w:rPr>
          <w:rFonts w:ascii="Arial" w:hAnsi="Arial" w:cs="Arial"/>
          <w:b w:val="0"/>
          <w:bCs w:val="0"/>
          <w:lang w:val="es-ES_tradnl"/>
        </w:rPr>
        <w:t xml:space="preserve">Observar el </w:t>
      </w:r>
      <w:r w:rsidR="00277DD0" w:rsidRPr="00993B0A">
        <w:rPr>
          <w:rFonts w:ascii="Arial" w:hAnsi="Arial" w:cs="Arial"/>
          <w:b w:val="0"/>
          <w:bCs w:val="0"/>
          <w:lang w:val="es-ES_tradnl"/>
        </w:rPr>
        <w:t>gast</w:t>
      </w:r>
      <w:r w:rsidR="00993B0A">
        <w:rPr>
          <w:rFonts w:ascii="Arial" w:hAnsi="Arial" w:cs="Arial"/>
          <w:b w:val="0"/>
          <w:bCs w:val="0"/>
          <w:lang w:val="es-ES_tradnl"/>
        </w:rPr>
        <w:t>o;</w:t>
      </w:r>
    </w:p>
    <w:p w:rsidR="00A20F48" w:rsidRPr="00993B0A" w:rsidRDefault="006C15C9" w:rsidP="00993B0A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993B0A">
        <w:rPr>
          <w:rFonts w:ascii="Arial" w:hAnsi="Arial" w:cs="Arial"/>
          <w:b w:val="0"/>
          <w:bCs w:val="0"/>
          <w:lang w:val="es-ES_tradnl"/>
        </w:rPr>
        <w:t>Com</w:t>
      </w:r>
      <w:r w:rsidR="00277DD0" w:rsidRPr="00993B0A">
        <w:rPr>
          <w:rFonts w:ascii="Arial" w:hAnsi="Arial" w:cs="Arial"/>
          <w:b w:val="0"/>
          <w:bCs w:val="0"/>
          <w:lang w:val="es-ES_tradnl"/>
        </w:rPr>
        <w:t>unicar la pr</w:t>
      </w:r>
      <w:r w:rsidRPr="00993B0A">
        <w:rPr>
          <w:rFonts w:ascii="Arial" w:hAnsi="Arial" w:cs="Arial"/>
          <w:b w:val="0"/>
          <w:bCs w:val="0"/>
          <w:lang w:val="es-ES_tradnl"/>
        </w:rPr>
        <w:t>e</w:t>
      </w:r>
      <w:r w:rsidR="00277DD0" w:rsidRPr="00993B0A">
        <w:rPr>
          <w:rFonts w:ascii="Arial" w:hAnsi="Arial" w:cs="Arial"/>
          <w:b w:val="0"/>
          <w:bCs w:val="0"/>
          <w:lang w:val="es-ES_tradnl"/>
        </w:rPr>
        <w:t>sen</w:t>
      </w:r>
      <w:r w:rsidRPr="00993B0A">
        <w:rPr>
          <w:rFonts w:ascii="Arial" w:hAnsi="Arial" w:cs="Arial"/>
          <w:b w:val="0"/>
          <w:bCs w:val="0"/>
          <w:lang w:val="es-ES_tradnl"/>
        </w:rPr>
        <w:t>te</w:t>
      </w:r>
      <w:r w:rsidR="00277DD0" w:rsidRPr="00993B0A">
        <w:rPr>
          <w:rFonts w:ascii="Arial" w:hAnsi="Arial" w:cs="Arial"/>
          <w:b w:val="0"/>
          <w:bCs w:val="0"/>
          <w:lang w:val="es-ES_tradnl"/>
        </w:rPr>
        <w:t xml:space="preserve"> Resolución </w:t>
      </w:r>
      <w:r w:rsidRPr="00993B0A">
        <w:rPr>
          <w:rFonts w:ascii="Arial" w:hAnsi="Arial" w:cs="Arial"/>
          <w:b w:val="0"/>
          <w:bCs w:val="0"/>
          <w:lang w:val="es-ES_tradnl"/>
        </w:rPr>
        <w:t xml:space="preserve"> a la Contadora Delegada</w:t>
      </w:r>
      <w:bookmarkStart w:id="0" w:name="_GoBack"/>
      <w:bookmarkEnd w:id="0"/>
      <w:r w:rsidR="00993B0A">
        <w:rPr>
          <w:rFonts w:ascii="Arial" w:hAnsi="Arial" w:cs="Arial"/>
          <w:b w:val="0"/>
          <w:bCs w:val="0"/>
          <w:lang w:val="es-ES_tradnl"/>
        </w:rPr>
        <w:t>; y</w:t>
      </w:r>
    </w:p>
    <w:p w:rsidR="00A20F48" w:rsidRDefault="00993B0A" w:rsidP="00993B0A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Devolver las actuaciones.</w:t>
      </w:r>
    </w:p>
    <w:p w:rsidR="00993B0A" w:rsidRDefault="00993B0A" w:rsidP="00993B0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93B0A" w:rsidRDefault="00993B0A" w:rsidP="00993B0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93B0A" w:rsidRDefault="00993B0A" w:rsidP="00993B0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93B0A" w:rsidRDefault="00993B0A" w:rsidP="00993B0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93B0A" w:rsidRDefault="00993B0A" w:rsidP="00993B0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93B0A" w:rsidRDefault="00993B0A" w:rsidP="00993B0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993B0A" w:rsidRPr="00993B0A" w:rsidRDefault="00993B0A" w:rsidP="00993B0A">
      <w:pPr>
        <w:spacing w:line="360" w:lineRule="auto"/>
        <w:ind w:hanging="567"/>
        <w:jc w:val="both"/>
        <w:rPr>
          <w:rFonts w:ascii="Arial" w:hAnsi="Arial" w:cs="Arial"/>
          <w:b w:val="0"/>
          <w:bCs w:val="0"/>
          <w:lang w:val="es-ES_tradnl"/>
        </w:rPr>
      </w:pPr>
      <w:proofErr w:type="gramStart"/>
      <w:r>
        <w:rPr>
          <w:rFonts w:ascii="Arial" w:hAnsi="Arial" w:cs="Arial"/>
          <w:b w:val="0"/>
          <w:bCs w:val="0"/>
          <w:lang w:val="es-ES_tradnl"/>
        </w:rPr>
        <w:t>dc</w:t>
      </w:r>
      <w:proofErr w:type="gramEnd"/>
    </w:p>
    <w:sectPr w:rsidR="00993B0A" w:rsidRPr="00993B0A" w:rsidSect="009921C2">
      <w:footerReference w:type="default" r:id="rId9"/>
      <w:pgSz w:w="11906" w:h="16838" w:code="9"/>
      <w:pgMar w:top="3119" w:right="1701" w:bottom="1701" w:left="1985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9D" w:rsidRDefault="00CA3F9D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993B0A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:rsidR="00CA3F9D" w:rsidRDefault="00CA3F9D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4423FDB"/>
    <w:multiLevelType w:val="hybridMultilevel"/>
    <w:tmpl w:val="FD44E240"/>
    <w:lvl w:ilvl="0" w:tplc="2B326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7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35756"/>
    <w:rsid w:val="000562E7"/>
    <w:rsid w:val="000E5670"/>
    <w:rsid w:val="00157D92"/>
    <w:rsid w:val="00277DD0"/>
    <w:rsid w:val="0032775F"/>
    <w:rsid w:val="00376ED4"/>
    <w:rsid w:val="003F108D"/>
    <w:rsid w:val="00422F1D"/>
    <w:rsid w:val="00437D23"/>
    <w:rsid w:val="005C2940"/>
    <w:rsid w:val="00611BB7"/>
    <w:rsid w:val="00661853"/>
    <w:rsid w:val="006C15C9"/>
    <w:rsid w:val="00747B67"/>
    <w:rsid w:val="007756DA"/>
    <w:rsid w:val="00782566"/>
    <w:rsid w:val="007C6813"/>
    <w:rsid w:val="007E4D86"/>
    <w:rsid w:val="00813903"/>
    <w:rsid w:val="00821787"/>
    <w:rsid w:val="00843F0E"/>
    <w:rsid w:val="009173CD"/>
    <w:rsid w:val="00937611"/>
    <w:rsid w:val="00974800"/>
    <w:rsid w:val="009902F2"/>
    <w:rsid w:val="009921C2"/>
    <w:rsid w:val="00993B0A"/>
    <w:rsid w:val="0099667D"/>
    <w:rsid w:val="009A7969"/>
    <w:rsid w:val="009D168C"/>
    <w:rsid w:val="00A20F48"/>
    <w:rsid w:val="00A355CA"/>
    <w:rsid w:val="00AB3368"/>
    <w:rsid w:val="00AF20DE"/>
    <w:rsid w:val="00B154C1"/>
    <w:rsid w:val="00C9564E"/>
    <w:rsid w:val="00CA3F9D"/>
    <w:rsid w:val="00CC1233"/>
    <w:rsid w:val="00DC2657"/>
    <w:rsid w:val="00E601D0"/>
    <w:rsid w:val="00E8248A"/>
    <w:rsid w:val="00F01710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4DB2-96EC-4179-960D-C10A2AB8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</cp:revision>
  <cp:lastPrinted>2018-04-27T15:27:00Z</cp:lastPrinted>
  <dcterms:created xsi:type="dcterms:W3CDTF">2018-04-27T15:28:00Z</dcterms:created>
  <dcterms:modified xsi:type="dcterms:W3CDTF">2018-04-27T15:28:00Z</dcterms:modified>
</cp:coreProperties>
</file>