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77E" w:rsidRPr="00B7277E" w:rsidRDefault="00B7277E" w:rsidP="00B7277E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B7277E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3758A4">
        <w:rPr>
          <w:rFonts w:ascii="Arial" w:hAnsi="Arial" w:cs="Arial"/>
          <w:b/>
          <w:sz w:val="28"/>
          <w:szCs w:val="28"/>
          <w:lang w:val="es-ES_tradnl"/>
        </w:rPr>
        <w:t>1331</w:t>
      </w:r>
      <w:r w:rsidRPr="00B7277E">
        <w:rPr>
          <w:rFonts w:ascii="Arial" w:hAnsi="Arial" w:cs="Arial"/>
          <w:b/>
          <w:sz w:val="28"/>
          <w:szCs w:val="28"/>
          <w:lang w:val="es-ES_tradnl"/>
        </w:rPr>
        <w:t>/18</w:t>
      </w:r>
    </w:p>
    <w:p w:rsidR="00B7277E" w:rsidRPr="00B7277E" w:rsidRDefault="00B7277E" w:rsidP="00B7277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B7277E" w:rsidRPr="00B7277E" w:rsidRDefault="00B7277E" w:rsidP="00B7277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B7277E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B7277E" w:rsidRPr="00B7277E" w:rsidRDefault="00B7277E" w:rsidP="00B7277E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B7277E" w:rsidRPr="00B7277E" w:rsidRDefault="00B7277E" w:rsidP="00B7277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B7277E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B7277E" w:rsidRPr="00B7277E" w:rsidRDefault="00B7277E" w:rsidP="00B7277E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B7277E" w:rsidRPr="00B7277E" w:rsidRDefault="00B7277E" w:rsidP="00B7277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B7277E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 w:rsidR="00136B53">
        <w:rPr>
          <w:rFonts w:ascii="Arial" w:hAnsi="Arial" w:cs="Arial"/>
          <w:b/>
          <w:sz w:val="24"/>
          <w:szCs w:val="24"/>
          <w:lang w:val="es-ES_tradnl"/>
        </w:rPr>
        <w:t>18</w:t>
      </w:r>
      <w:r w:rsidRPr="00B7277E">
        <w:rPr>
          <w:rFonts w:ascii="Arial" w:hAnsi="Arial" w:cs="Arial"/>
          <w:b/>
          <w:sz w:val="24"/>
          <w:szCs w:val="24"/>
          <w:lang w:val="es-ES_tradnl"/>
        </w:rPr>
        <w:t xml:space="preserve"> DE ABRIL DE 2018</w:t>
      </w:r>
    </w:p>
    <w:p w:rsidR="00B7277E" w:rsidRPr="00B7277E" w:rsidRDefault="00B7277E" w:rsidP="00B7277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B7277E" w:rsidRPr="003758A4" w:rsidRDefault="00B7277E" w:rsidP="00B7277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758A4">
        <w:rPr>
          <w:rFonts w:ascii="Arial" w:hAnsi="Arial" w:cs="Arial"/>
          <w:b/>
          <w:sz w:val="24"/>
          <w:szCs w:val="24"/>
        </w:rPr>
        <w:t>(E. E. Nº 201</w:t>
      </w:r>
      <w:r w:rsidR="003758A4" w:rsidRPr="003758A4">
        <w:rPr>
          <w:rFonts w:ascii="Arial" w:hAnsi="Arial" w:cs="Arial"/>
          <w:b/>
          <w:sz w:val="24"/>
          <w:szCs w:val="24"/>
        </w:rPr>
        <w:t>3</w:t>
      </w:r>
      <w:r w:rsidRPr="003758A4">
        <w:rPr>
          <w:rFonts w:ascii="Arial" w:hAnsi="Arial" w:cs="Arial"/>
          <w:b/>
          <w:sz w:val="24"/>
          <w:szCs w:val="24"/>
        </w:rPr>
        <w:t>-17-1-000</w:t>
      </w:r>
      <w:r w:rsidR="003758A4" w:rsidRPr="003758A4">
        <w:rPr>
          <w:rFonts w:ascii="Arial" w:hAnsi="Arial" w:cs="Arial"/>
          <w:b/>
          <w:sz w:val="24"/>
          <w:szCs w:val="24"/>
        </w:rPr>
        <w:t>7913</w:t>
      </w:r>
      <w:r w:rsidRPr="003758A4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3758A4">
        <w:rPr>
          <w:rFonts w:ascii="Arial" w:hAnsi="Arial" w:cs="Arial"/>
          <w:b/>
          <w:sz w:val="24"/>
          <w:szCs w:val="24"/>
        </w:rPr>
        <w:t>Ent</w:t>
      </w:r>
      <w:proofErr w:type="spellEnd"/>
      <w:r w:rsidRPr="003758A4">
        <w:rPr>
          <w:rFonts w:ascii="Arial" w:hAnsi="Arial" w:cs="Arial"/>
          <w:b/>
          <w:sz w:val="24"/>
          <w:szCs w:val="24"/>
        </w:rPr>
        <w:t xml:space="preserve">. N° </w:t>
      </w:r>
      <w:r w:rsidR="003758A4" w:rsidRPr="003758A4">
        <w:rPr>
          <w:rFonts w:ascii="Arial" w:hAnsi="Arial" w:cs="Arial"/>
          <w:b/>
          <w:sz w:val="24"/>
          <w:szCs w:val="24"/>
        </w:rPr>
        <w:t>1484</w:t>
      </w:r>
      <w:r w:rsidRPr="003758A4">
        <w:rPr>
          <w:rFonts w:ascii="Arial" w:hAnsi="Arial" w:cs="Arial"/>
          <w:b/>
          <w:sz w:val="24"/>
          <w:szCs w:val="24"/>
        </w:rPr>
        <w:t>/</w:t>
      </w:r>
      <w:r w:rsidR="003758A4" w:rsidRPr="003758A4">
        <w:rPr>
          <w:rFonts w:ascii="Arial" w:hAnsi="Arial" w:cs="Arial"/>
          <w:b/>
          <w:sz w:val="24"/>
          <w:szCs w:val="24"/>
        </w:rPr>
        <w:t>18</w:t>
      </w:r>
      <w:r w:rsidRPr="003758A4">
        <w:rPr>
          <w:rFonts w:ascii="Arial" w:hAnsi="Arial" w:cs="Arial"/>
          <w:b/>
          <w:sz w:val="24"/>
          <w:szCs w:val="24"/>
        </w:rPr>
        <w:t>)</w:t>
      </w:r>
    </w:p>
    <w:p w:rsidR="00B7277E" w:rsidRPr="003758A4" w:rsidRDefault="00B7277E" w:rsidP="00B7277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</w:rPr>
      </w:pPr>
    </w:p>
    <w:p w:rsidR="00D95F2F" w:rsidRDefault="00D95F2F" w:rsidP="00D95F2F">
      <w:pPr>
        <w:pStyle w:val="Ttulo"/>
        <w:jc w:val="both"/>
        <w:rPr>
          <w:b w:val="0"/>
          <w:bCs w:val="0"/>
          <w:u w:val="none"/>
          <w:lang w:val="es-ES_tradnl"/>
        </w:rPr>
      </w:pPr>
    </w:p>
    <w:p w:rsidR="00D95F2F" w:rsidRDefault="00D95F2F" w:rsidP="002E1707">
      <w:pPr>
        <w:pStyle w:val="Ttulo"/>
        <w:ind w:firstLine="851"/>
        <w:jc w:val="both"/>
        <w:rPr>
          <w:u w:val="none"/>
        </w:rPr>
      </w:pPr>
      <w:r>
        <w:rPr>
          <w:u w:val="none"/>
        </w:rPr>
        <w:t xml:space="preserve">VISTO: </w:t>
      </w:r>
      <w:r>
        <w:rPr>
          <w:b w:val="0"/>
          <w:u w:val="none"/>
        </w:rPr>
        <w:t xml:space="preserve">las actuaciones remitidas por el Contador Delegado </w:t>
      </w:r>
      <w:r w:rsidR="00893192">
        <w:rPr>
          <w:b w:val="0"/>
          <w:u w:val="none"/>
        </w:rPr>
        <w:t>en</w:t>
      </w:r>
      <w:r>
        <w:rPr>
          <w:b w:val="0"/>
          <w:u w:val="none"/>
        </w:rPr>
        <w:t xml:space="preserve"> la Intendencia de Canelones relacionadas con una nueva ampliación de la Licitación Pública Internacional Nº 101/2014 convocada para la realización de obras de consolidación de Ciudad de La Costa, así como con el financiamiento parcial de la misma; </w:t>
      </w:r>
    </w:p>
    <w:p w:rsidR="00C77677" w:rsidRDefault="00D95F2F" w:rsidP="002E1707">
      <w:pPr>
        <w:pStyle w:val="Ttulo"/>
        <w:widowControl w:val="0"/>
        <w:ind w:firstLine="851"/>
        <w:jc w:val="both"/>
        <w:rPr>
          <w:b w:val="0"/>
          <w:u w:val="none"/>
          <w:lang w:val="es-ES_tradnl"/>
        </w:rPr>
      </w:pPr>
      <w:r>
        <w:rPr>
          <w:u w:val="none"/>
        </w:rPr>
        <w:t>RESULTANDO: 1</w:t>
      </w:r>
      <w:r w:rsidRPr="009A20D6">
        <w:rPr>
          <w:u w:val="none"/>
          <w:lang w:val="es-ES_tradnl"/>
        </w:rPr>
        <w:t>)</w:t>
      </w:r>
      <w:r>
        <w:rPr>
          <w:b w:val="0"/>
          <w:u w:val="none"/>
          <w:lang w:val="es-ES_tradnl"/>
        </w:rPr>
        <w:t xml:space="preserve"> que </w:t>
      </w:r>
      <w:r w:rsidR="00C77677">
        <w:rPr>
          <w:b w:val="0"/>
          <w:u w:val="none"/>
          <w:lang w:val="es-ES_tradnl"/>
        </w:rPr>
        <w:t>este  Tribunal con fecha 10/09/14, observ</w:t>
      </w:r>
      <w:r w:rsidR="002E1707">
        <w:rPr>
          <w:b w:val="0"/>
          <w:u w:val="none"/>
          <w:lang w:val="es-ES_tradnl"/>
        </w:rPr>
        <w:t>ó</w:t>
      </w:r>
      <w:r w:rsidR="00C77677">
        <w:rPr>
          <w:b w:val="0"/>
          <w:u w:val="none"/>
          <w:lang w:val="es-ES_tradnl"/>
        </w:rPr>
        <w:t xml:space="preserve"> el gasto  por incumplimiento de  los </w:t>
      </w:r>
      <w:r w:rsidR="002E1707">
        <w:rPr>
          <w:b w:val="0"/>
          <w:u w:val="none"/>
          <w:lang w:val="es-ES_tradnl"/>
        </w:rPr>
        <w:t>A</w:t>
      </w:r>
      <w:r w:rsidR="00C77677">
        <w:rPr>
          <w:b w:val="0"/>
          <w:u w:val="none"/>
          <w:lang w:val="es-ES_tradnl"/>
        </w:rPr>
        <w:t>rt</w:t>
      </w:r>
      <w:r w:rsidR="002E1707">
        <w:rPr>
          <w:b w:val="0"/>
          <w:u w:val="none"/>
          <w:lang w:val="es-ES_tradnl"/>
        </w:rPr>
        <w:t>ículo</w:t>
      </w:r>
      <w:r w:rsidR="00C77677">
        <w:rPr>
          <w:b w:val="0"/>
          <w:u w:val="none"/>
          <w:lang w:val="es-ES_tradnl"/>
        </w:rPr>
        <w:t xml:space="preserve">s 15 y 19 del TOCAF, y </w:t>
      </w:r>
      <w:r w:rsidR="002E1707">
        <w:rPr>
          <w:b w:val="0"/>
          <w:u w:val="none"/>
          <w:lang w:val="es-ES_tradnl"/>
        </w:rPr>
        <w:t>A</w:t>
      </w:r>
      <w:r w:rsidR="00C77677">
        <w:rPr>
          <w:b w:val="0"/>
          <w:u w:val="none"/>
          <w:lang w:val="es-ES_tradnl"/>
        </w:rPr>
        <w:t>rt</w:t>
      </w:r>
      <w:r w:rsidR="002E1707">
        <w:rPr>
          <w:b w:val="0"/>
          <w:u w:val="none"/>
          <w:lang w:val="es-ES_tradnl"/>
        </w:rPr>
        <w:t>ículo</w:t>
      </w:r>
      <w:r w:rsidR="00C77677">
        <w:rPr>
          <w:b w:val="0"/>
          <w:u w:val="none"/>
          <w:lang w:val="es-ES_tradnl"/>
        </w:rPr>
        <w:t xml:space="preserve"> 1.2) del Pliego de Condiciones Particulares;</w:t>
      </w:r>
    </w:p>
    <w:p w:rsidR="00D95F2F" w:rsidRDefault="00C77677" w:rsidP="002E1707">
      <w:pPr>
        <w:pStyle w:val="Ttulo"/>
        <w:widowControl w:val="0"/>
        <w:ind w:firstLine="2694"/>
        <w:jc w:val="both"/>
        <w:rPr>
          <w:b w:val="0"/>
          <w:u w:val="none"/>
          <w:lang w:val="es-ES_tradnl"/>
        </w:rPr>
      </w:pPr>
      <w:r w:rsidRPr="002E1707">
        <w:rPr>
          <w:u w:val="none"/>
          <w:lang w:val="es-ES_tradnl"/>
        </w:rPr>
        <w:t>2)</w:t>
      </w:r>
      <w:r>
        <w:rPr>
          <w:b w:val="0"/>
          <w:u w:val="none"/>
          <w:lang w:val="es-ES_tradnl"/>
        </w:rPr>
        <w:t xml:space="preserve"> que </w:t>
      </w:r>
      <w:r w:rsidR="00D95F2F">
        <w:rPr>
          <w:b w:val="0"/>
          <w:u w:val="none"/>
          <w:lang w:val="es-ES_tradnl"/>
        </w:rPr>
        <w:t>con fecha 25/09/14</w:t>
      </w:r>
      <w:r>
        <w:rPr>
          <w:b w:val="0"/>
          <w:u w:val="none"/>
          <w:lang w:val="es-ES_tradnl"/>
        </w:rPr>
        <w:t>,</w:t>
      </w:r>
      <w:r w:rsidR="00D95F2F">
        <w:rPr>
          <w:b w:val="0"/>
          <w:u w:val="none"/>
          <w:lang w:val="es-ES_tradnl"/>
        </w:rPr>
        <w:t xml:space="preserve"> el Intendente </w:t>
      </w:r>
      <w:r>
        <w:rPr>
          <w:b w:val="0"/>
          <w:u w:val="none"/>
          <w:lang w:val="es-ES_tradnl"/>
        </w:rPr>
        <w:t xml:space="preserve"> dispuso </w:t>
      </w:r>
      <w:r w:rsidR="00D95F2F">
        <w:rPr>
          <w:b w:val="0"/>
          <w:u w:val="none"/>
          <w:lang w:val="es-ES_tradnl"/>
        </w:rPr>
        <w:t xml:space="preserve"> adjudicar la presente licitación</w:t>
      </w:r>
      <w:r>
        <w:rPr>
          <w:b w:val="0"/>
          <w:u w:val="none"/>
          <w:lang w:val="es-ES_tradnl"/>
        </w:rPr>
        <w:t>,</w:t>
      </w:r>
      <w:r w:rsidR="00D95F2F">
        <w:rPr>
          <w:b w:val="0"/>
          <w:u w:val="none"/>
          <w:lang w:val="es-ES_tradnl"/>
        </w:rPr>
        <w:t xml:space="preserve"> por un monto de $ 1.026.720.000</w:t>
      </w:r>
      <w:r w:rsidR="00893192">
        <w:rPr>
          <w:b w:val="0"/>
          <w:u w:val="none"/>
          <w:lang w:val="es-ES_tradnl"/>
        </w:rPr>
        <w:t xml:space="preserve"> </w:t>
      </w:r>
      <w:r>
        <w:rPr>
          <w:b w:val="0"/>
          <w:u w:val="none"/>
          <w:lang w:val="es-ES_tradnl"/>
        </w:rPr>
        <w:t>(</w:t>
      </w:r>
      <w:r w:rsidR="00D95F2F">
        <w:rPr>
          <w:b w:val="0"/>
          <w:u w:val="none"/>
          <w:lang w:val="es-ES_tradnl"/>
        </w:rPr>
        <w:t>IVA y Leyes Sociales y paramétricas incluid</w:t>
      </w:r>
      <w:r>
        <w:rPr>
          <w:b w:val="0"/>
          <w:u w:val="none"/>
          <w:lang w:val="es-ES_tradnl"/>
        </w:rPr>
        <w:t>o</w:t>
      </w:r>
      <w:r w:rsidR="00D95F2F">
        <w:rPr>
          <w:b w:val="0"/>
          <w:u w:val="none"/>
          <w:lang w:val="es-ES_tradnl"/>
        </w:rPr>
        <w:t>s</w:t>
      </w:r>
      <w:r>
        <w:rPr>
          <w:b w:val="0"/>
          <w:u w:val="none"/>
          <w:lang w:val="es-ES_tradnl"/>
        </w:rPr>
        <w:t>)</w:t>
      </w:r>
      <w:r w:rsidR="00D95F2F">
        <w:rPr>
          <w:b w:val="0"/>
          <w:u w:val="none"/>
          <w:lang w:val="es-ES_tradnl"/>
        </w:rPr>
        <w:t xml:space="preserve">, a la firma </w:t>
      </w:r>
      <w:proofErr w:type="spellStart"/>
      <w:r w:rsidR="00D95F2F">
        <w:rPr>
          <w:b w:val="0"/>
          <w:u w:val="none"/>
          <w:lang w:val="es-ES_tradnl"/>
        </w:rPr>
        <w:t>Grinor</w:t>
      </w:r>
      <w:proofErr w:type="spellEnd"/>
      <w:r w:rsidR="00D95F2F">
        <w:rPr>
          <w:b w:val="0"/>
          <w:u w:val="none"/>
          <w:lang w:val="es-ES_tradnl"/>
        </w:rPr>
        <w:t xml:space="preserve"> S.A</w:t>
      </w:r>
      <w:r>
        <w:rPr>
          <w:b w:val="0"/>
          <w:u w:val="none"/>
          <w:lang w:val="es-ES_tradnl"/>
        </w:rPr>
        <w:t xml:space="preserve"> y reiterar </w:t>
      </w:r>
      <w:r w:rsidR="00D95F2F">
        <w:rPr>
          <w:b w:val="0"/>
          <w:u w:val="none"/>
          <w:lang w:val="es-ES_tradnl"/>
        </w:rPr>
        <w:t xml:space="preserve"> el gasto que </w:t>
      </w:r>
      <w:r>
        <w:rPr>
          <w:b w:val="0"/>
          <w:u w:val="none"/>
          <w:lang w:val="es-ES_tradnl"/>
        </w:rPr>
        <w:t>había</w:t>
      </w:r>
      <w:r w:rsidR="00D95F2F">
        <w:rPr>
          <w:b w:val="0"/>
          <w:u w:val="none"/>
          <w:lang w:val="es-ES_tradnl"/>
        </w:rPr>
        <w:t xml:space="preserve"> sido previamente observado  </w:t>
      </w:r>
      <w:r>
        <w:rPr>
          <w:b w:val="0"/>
          <w:u w:val="none"/>
          <w:lang w:val="es-ES_tradnl"/>
        </w:rPr>
        <w:t>por este Tribunal;</w:t>
      </w:r>
    </w:p>
    <w:p w:rsidR="00013A75" w:rsidRDefault="00C77677" w:rsidP="000B3D03">
      <w:pPr>
        <w:pStyle w:val="Ttulo"/>
        <w:widowControl w:val="0"/>
        <w:ind w:firstLine="2694"/>
        <w:jc w:val="both"/>
        <w:rPr>
          <w:lang w:val="es-ES_tradnl"/>
        </w:rPr>
      </w:pPr>
      <w:r w:rsidRPr="000B3D03">
        <w:rPr>
          <w:u w:val="none"/>
          <w:lang w:val="es-ES_tradnl"/>
        </w:rPr>
        <w:t>3</w:t>
      </w:r>
      <w:r w:rsidR="00D95F2F">
        <w:rPr>
          <w:u w:val="none"/>
          <w:lang w:val="es-ES_tradnl"/>
        </w:rPr>
        <w:t>)</w:t>
      </w:r>
      <w:r w:rsidR="00013A75" w:rsidRPr="00D95F2F">
        <w:rPr>
          <w:b w:val="0"/>
          <w:u w:val="none"/>
        </w:rPr>
        <w:t xml:space="preserve"> </w:t>
      </w:r>
      <w:r w:rsidR="00013A75" w:rsidRPr="00D95F2F">
        <w:rPr>
          <w:b w:val="0"/>
          <w:u w:val="none"/>
          <w:lang w:val="es-ES_tradnl"/>
        </w:rPr>
        <w:t>que el Intendente</w:t>
      </w:r>
      <w:r>
        <w:rPr>
          <w:b w:val="0"/>
          <w:u w:val="none"/>
          <w:lang w:val="es-ES_tradnl"/>
        </w:rPr>
        <w:t>,</w:t>
      </w:r>
      <w:r w:rsidR="00013A75" w:rsidRPr="00D95F2F">
        <w:rPr>
          <w:b w:val="0"/>
          <w:u w:val="none"/>
          <w:lang w:val="es-ES_tradnl"/>
        </w:rPr>
        <w:t xml:space="preserve"> por Resolución de fecha 08/09/2016, dispuso ampliar al amparo del </w:t>
      </w:r>
      <w:r w:rsidR="000B3D03">
        <w:rPr>
          <w:b w:val="0"/>
          <w:u w:val="none"/>
          <w:lang w:val="es-ES_tradnl"/>
        </w:rPr>
        <w:t>A</w:t>
      </w:r>
      <w:r w:rsidR="00013A75" w:rsidRPr="00D95F2F">
        <w:rPr>
          <w:b w:val="0"/>
          <w:u w:val="none"/>
          <w:lang w:val="es-ES_tradnl"/>
        </w:rPr>
        <w:t xml:space="preserve">rtículo 74 del TOCAF, la presente contratación, </w:t>
      </w:r>
      <w:r>
        <w:rPr>
          <w:b w:val="0"/>
          <w:u w:val="none"/>
          <w:lang w:val="es-ES_tradnl"/>
        </w:rPr>
        <w:t>por $ 600.000.000 más intereses</w:t>
      </w:r>
      <w:r w:rsidR="00013A75" w:rsidRPr="00D95F2F">
        <w:rPr>
          <w:b w:val="0"/>
          <w:u w:val="none"/>
          <w:lang w:val="es-ES_tradnl"/>
        </w:rPr>
        <w:t>;</w:t>
      </w:r>
    </w:p>
    <w:p w:rsidR="00013A75" w:rsidRDefault="00C77677" w:rsidP="000B3D03">
      <w:pPr>
        <w:spacing w:line="360" w:lineRule="auto"/>
        <w:ind w:firstLine="2694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>4</w:t>
      </w:r>
      <w:r w:rsidR="00013A75" w:rsidRPr="00D95F2F">
        <w:rPr>
          <w:rFonts w:ascii="Arial" w:hAnsi="Arial" w:cs="Arial"/>
          <w:b/>
          <w:bCs/>
          <w:sz w:val="24"/>
          <w:szCs w:val="24"/>
          <w:lang w:val="es-ES_tradnl"/>
        </w:rPr>
        <w:t>)</w:t>
      </w:r>
      <w:r w:rsidR="00013A75">
        <w:rPr>
          <w:rFonts w:ascii="Arial" w:hAnsi="Arial" w:cs="Arial"/>
          <w:sz w:val="24"/>
          <w:szCs w:val="24"/>
          <w:lang w:val="es-ES_tradnl"/>
        </w:rPr>
        <w:t xml:space="preserve"> que este Tribunal, en Sesión de fecha 5 de octubre de 2016, observó</w:t>
      </w:r>
      <w:r>
        <w:rPr>
          <w:rFonts w:ascii="Arial" w:hAnsi="Arial" w:cs="Arial"/>
          <w:sz w:val="24"/>
          <w:szCs w:val="24"/>
          <w:lang w:val="es-ES_tradnl"/>
        </w:rPr>
        <w:t xml:space="preserve"> la erogación de </w:t>
      </w:r>
      <w:r w:rsidR="00013A75">
        <w:rPr>
          <w:rFonts w:ascii="Arial" w:hAnsi="Arial" w:cs="Arial"/>
          <w:sz w:val="24"/>
          <w:szCs w:val="24"/>
          <w:lang w:val="es-ES_tradnl"/>
        </w:rPr>
        <w:t xml:space="preserve"> la ampliación</w:t>
      </w:r>
      <w:r>
        <w:rPr>
          <w:rFonts w:ascii="Arial" w:hAnsi="Arial" w:cs="Arial"/>
          <w:sz w:val="24"/>
          <w:szCs w:val="24"/>
          <w:lang w:val="es-ES_tradnl"/>
        </w:rPr>
        <w:t>,</w:t>
      </w:r>
      <w:r w:rsidR="00013A75">
        <w:rPr>
          <w:rFonts w:ascii="Arial" w:hAnsi="Arial" w:cs="Arial"/>
          <w:sz w:val="24"/>
          <w:szCs w:val="24"/>
          <w:lang w:val="es-ES_tradnl"/>
        </w:rPr>
        <w:t xml:space="preserve"> en </w:t>
      </w:r>
      <w:r>
        <w:rPr>
          <w:rFonts w:ascii="Arial" w:hAnsi="Arial" w:cs="Arial"/>
          <w:sz w:val="24"/>
          <w:szCs w:val="24"/>
          <w:lang w:val="es-ES_tradnl"/>
        </w:rPr>
        <w:t xml:space="preserve">razón de </w:t>
      </w:r>
      <w:r w:rsidR="00013A75">
        <w:rPr>
          <w:rFonts w:ascii="Arial" w:hAnsi="Arial" w:cs="Arial"/>
          <w:sz w:val="24"/>
          <w:szCs w:val="24"/>
          <w:lang w:val="es-ES_tradnl"/>
        </w:rPr>
        <w:t xml:space="preserve"> que el gasto de la contratación original fue oportunamente observado por razones de legalidad insubsanables y que no se acreditó lo señalado por este Tribunal por Resolución Nº 2001/16 de 08/06/2016 (realizar la previsión presupuestal de fondos para el pago de las obras);</w:t>
      </w:r>
    </w:p>
    <w:p w:rsidR="007202F9" w:rsidRDefault="00C77677" w:rsidP="00893192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  <w:lang w:val="es-ES_tradnl"/>
        </w:rPr>
      </w:pPr>
      <w:r w:rsidRPr="00893192">
        <w:rPr>
          <w:rFonts w:ascii="Arial" w:hAnsi="Arial" w:cs="Arial"/>
          <w:b/>
          <w:sz w:val="24"/>
          <w:szCs w:val="24"/>
          <w:lang w:val="es-ES_tradnl"/>
        </w:rPr>
        <w:t>5</w:t>
      </w:r>
      <w:r w:rsidR="00013A75">
        <w:rPr>
          <w:rFonts w:ascii="Arial" w:hAnsi="Arial" w:cs="Arial"/>
          <w:b/>
          <w:bCs/>
          <w:sz w:val="24"/>
          <w:szCs w:val="24"/>
          <w:lang w:val="es-ES_tradnl"/>
        </w:rPr>
        <w:t>)</w:t>
      </w:r>
      <w:r w:rsidR="00013A75">
        <w:rPr>
          <w:rFonts w:ascii="Arial" w:hAnsi="Arial" w:cs="Arial"/>
          <w:sz w:val="24"/>
          <w:szCs w:val="24"/>
          <w:lang w:val="es-ES_tradnl"/>
        </w:rPr>
        <w:t xml:space="preserve"> que el Intendente, por Resolución Nº 16/06804 de 09/11/2016, reiteró el gasto</w:t>
      </w:r>
      <w:r w:rsidR="007202F9">
        <w:rPr>
          <w:rFonts w:ascii="Arial" w:hAnsi="Arial" w:cs="Arial"/>
          <w:sz w:val="24"/>
          <w:szCs w:val="24"/>
          <w:lang w:val="es-ES_tradnl"/>
        </w:rPr>
        <w:t>, habiéndose mantenido la observación por parte del Tribunal;</w:t>
      </w:r>
    </w:p>
    <w:p w:rsidR="00013A75" w:rsidRDefault="00496F55" w:rsidP="00893192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  <w:lang w:val="es-ES_tradnl"/>
        </w:rPr>
      </w:pPr>
      <w:r w:rsidRPr="00893192">
        <w:rPr>
          <w:rFonts w:ascii="Arial" w:hAnsi="Arial" w:cs="Arial"/>
          <w:b/>
          <w:sz w:val="24"/>
          <w:szCs w:val="24"/>
          <w:lang w:val="es-ES_tradnl"/>
        </w:rPr>
        <w:t>6</w:t>
      </w:r>
      <w:r w:rsidR="007202F9" w:rsidRPr="00893192">
        <w:rPr>
          <w:rFonts w:ascii="Arial" w:hAnsi="Arial" w:cs="Arial"/>
          <w:b/>
          <w:sz w:val="24"/>
          <w:szCs w:val="24"/>
          <w:lang w:val="es-ES_tradnl"/>
        </w:rPr>
        <w:t>)</w:t>
      </w:r>
      <w:r w:rsidR="007202F9">
        <w:rPr>
          <w:rFonts w:ascii="Arial" w:hAnsi="Arial" w:cs="Arial"/>
          <w:sz w:val="24"/>
          <w:szCs w:val="24"/>
          <w:lang w:val="es-ES_tradnl"/>
        </w:rPr>
        <w:t xml:space="preserve"> que </w:t>
      </w:r>
      <w:r w:rsidR="00C77677">
        <w:rPr>
          <w:rFonts w:ascii="Arial" w:hAnsi="Arial" w:cs="Arial"/>
          <w:sz w:val="24"/>
          <w:szCs w:val="24"/>
          <w:lang w:val="es-ES_tradnl"/>
        </w:rPr>
        <w:t>previa conformidad de</w:t>
      </w:r>
      <w:r>
        <w:rPr>
          <w:rFonts w:ascii="Arial" w:hAnsi="Arial" w:cs="Arial"/>
          <w:sz w:val="24"/>
          <w:szCs w:val="24"/>
          <w:lang w:val="es-ES_tradnl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Grinor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>,</w:t>
      </w:r>
      <w:r w:rsidR="00C77677">
        <w:rPr>
          <w:rFonts w:ascii="Arial" w:hAnsi="Arial" w:cs="Arial"/>
          <w:sz w:val="24"/>
          <w:szCs w:val="24"/>
          <w:lang w:val="es-ES_tradnl"/>
        </w:rPr>
        <w:t xml:space="preserve"> por </w:t>
      </w:r>
      <w:r w:rsidR="007202F9">
        <w:rPr>
          <w:rFonts w:ascii="Arial" w:hAnsi="Arial" w:cs="Arial"/>
          <w:sz w:val="24"/>
          <w:szCs w:val="24"/>
          <w:lang w:val="es-ES_tradnl"/>
        </w:rPr>
        <w:t xml:space="preserve"> Resolución </w:t>
      </w:r>
      <w:r w:rsidR="00893192">
        <w:rPr>
          <w:rFonts w:ascii="Arial" w:hAnsi="Arial" w:cs="Arial"/>
          <w:sz w:val="24"/>
          <w:szCs w:val="24"/>
          <w:lang w:val="es-ES_tradnl"/>
        </w:rPr>
        <w:t>N</w:t>
      </w:r>
      <w:r w:rsidR="00343BA1">
        <w:rPr>
          <w:rFonts w:ascii="Arial" w:hAnsi="Arial" w:cs="Arial"/>
          <w:sz w:val="24"/>
          <w:szCs w:val="24"/>
          <w:lang w:val="es-ES_tradnl"/>
        </w:rPr>
        <w:t>°</w:t>
      </w:r>
      <w:r w:rsidR="007202F9">
        <w:rPr>
          <w:rFonts w:ascii="Arial" w:hAnsi="Arial" w:cs="Arial"/>
          <w:sz w:val="24"/>
          <w:szCs w:val="24"/>
          <w:lang w:val="es-ES_tradnl"/>
        </w:rPr>
        <w:t xml:space="preserve"> 18/01469 de fecha 02/03/18</w:t>
      </w:r>
      <w:r w:rsidR="00C77677">
        <w:rPr>
          <w:rFonts w:ascii="Arial" w:hAnsi="Arial" w:cs="Arial"/>
          <w:sz w:val="24"/>
          <w:szCs w:val="24"/>
          <w:lang w:val="es-ES_tradnl"/>
        </w:rPr>
        <w:t xml:space="preserve">, se </w:t>
      </w:r>
      <w:r w:rsidR="007202F9">
        <w:rPr>
          <w:rFonts w:ascii="Arial" w:hAnsi="Arial" w:cs="Arial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sz w:val="24"/>
          <w:szCs w:val="24"/>
          <w:lang w:val="es-ES_tradnl"/>
        </w:rPr>
        <w:t>autorizó</w:t>
      </w:r>
      <w:r w:rsidR="007202F9">
        <w:rPr>
          <w:rFonts w:ascii="Arial" w:hAnsi="Arial" w:cs="Arial"/>
          <w:sz w:val="24"/>
          <w:szCs w:val="24"/>
          <w:lang w:val="es-ES_tradnl"/>
        </w:rPr>
        <w:t xml:space="preserve"> una  nueva ampliación por el</w:t>
      </w:r>
      <w:r w:rsidR="00D91005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7202F9">
        <w:rPr>
          <w:rFonts w:ascii="Arial" w:hAnsi="Arial" w:cs="Arial"/>
          <w:sz w:val="24"/>
          <w:szCs w:val="24"/>
          <w:lang w:val="es-ES_tradnl"/>
        </w:rPr>
        <w:t>35</w:t>
      </w:r>
      <w:r w:rsidR="00D91005">
        <w:rPr>
          <w:rFonts w:ascii="Arial" w:hAnsi="Arial" w:cs="Arial"/>
          <w:sz w:val="24"/>
          <w:szCs w:val="24"/>
          <w:lang w:val="es-ES_tradnl"/>
        </w:rPr>
        <w:t xml:space="preserve">, </w:t>
      </w:r>
      <w:r w:rsidR="00D91005">
        <w:rPr>
          <w:rFonts w:ascii="Arial" w:hAnsi="Arial" w:cs="Arial"/>
          <w:sz w:val="24"/>
          <w:szCs w:val="24"/>
          <w:lang w:val="es-ES_tradnl"/>
        </w:rPr>
        <w:lastRenderedPageBreak/>
        <w:t>56% de lo adjudicado, lo que equivale a la suma de $</w:t>
      </w:r>
      <w:r w:rsidR="00893192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D91005">
        <w:rPr>
          <w:rFonts w:ascii="Arial" w:hAnsi="Arial" w:cs="Arial"/>
          <w:sz w:val="24"/>
          <w:szCs w:val="24"/>
          <w:lang w:val="es-ES_tradnl"/>
        </w:rPr>
        <w:t xml:space="preserve">365.056.000 </w:t>
      </w:r>
      <w:r>
        <w:rPr>
          <w:rFonts w:ascii="Arial" w:hAnsi="Arial" w:cs="Arial"/>
          <w:sz w:val="24"/>
          <w:szCs w:val="24"/>
          <w:lang w:val="es-ES_tradnl"/>
        </w:rPr>
        <w:t>(</w:t>
      </w:r>
      <w:r w:rsidR="00D91005">
        <w:rPr>
          <w:rFonts w:ascii="Arial" w:hAnsi="Arial" w:cs="Arial"/>
          <w:sz w:val="24"/>
          <w:szCs w:val="24"/>
          <w:lang w:val="es-ES_tradnl"/>
        </w:rPr>
        <w:t>IVA y LLSS incl.</w:t>
      </w:r>
      <w:r>
        <w:rPr>
          <w:rFonts w:ascii="Arial" w:hAnsi="Arial" w:cs="Arial"/>
          <w:sz w:val="24"/>
          <w:szCs w:val="24"/>
          <w:lang w:val="es-ES_tradnl"/>
        </w:rPr>
        <w:t>)</w:t>
      </w:r>
      <w:r w:rsidR="00D91005">
        <w:rPr>
          <w:rFonts w:ascii="Arial" w:hAnsi="Arial" w:cs="Arial"/>
          <w:sz w:val="24"/>
          <w:szCs w:val="24"/>
          <w:lang w:val="es-ES_tradnl"/>
        </w:rPr>
        <w:t>;</w:t>
      </w:r>
    </w:p>
    <w:p w:rsidR="00496F55" w:rsidRDefault="008077A8" w:rsidP="00893192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  <w:lang w:val="es-ES_tradnl"/>
        </w:rPr>
      </w:pPr>
      <w:r w:rsidRPr="00893192">
        <w:rPr>
          <w:rFonts w:ascii="Arial" w:hAnsi="Arial" w:cs="Arial"/>
          <w:b/>
          <w:sz w:val="24"/>
          <w:szCs w:val="24"/>
          <w:lang w:val="es-ES_tradnl"/>
        </w:rPr>
        <w:t>7)</w:t>
      </w:r>
      <w:r>
        <w:rPr>
          <w:rFonts w:ascii="Arial" w:hAnsi="Arial" w:cs="Arial"/>
          <w:sz w:val="24"/>
          <w:szCs w:val="24"/>
          <w:lang w:val="es-ES_tradnl"/>
        </w:rPr>
        <w:t xml:space="preserve"> que</w:t>
      </w:r>
      <w:r w:rsidR="00496F55">
        <w:rPr>
          <w:rFonts w:ascii="Arial" w:hAnsi="Arial" w:cs="Arial"/>
          <w:sz w:val="24"/>
          <w:szCs w:val="24"/>
          <w:lang w:val="es-ES_tradnl"/>
        </w:rPr>
        <w:t xml:space="preserve"> se deja constancia que la contratación original no se encuentra ejecutada en un 100%</w:t>
      </w:r>
      <w:r w:rsidR="00893192">
        <w:rPr>
          <w:rFonts w:ascii="Arial" w:hAnsi="Arial" w:cs="Arial"/>
          <w:sz w:val="24"/>
          <w:szCs w:val="24"/>
          <w:lang w:val="es-ES_tradnl"/>
        </w:rPr>
        <w:t>;</w:t>
      </w:r>
    </w:p>
    <w:p w:rsidR="00D91005" w:rsidRDefault="00496F55" w:rsidP="00893192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  <w:lang w:val="es-ES_tradnl"/>
        </w:rPr>
      </w:pPr>
      <w:r w:rsidRPr="00893192">
        <w:rPr>
          <w:rFonts w:ascii="Arial" w:hAnsi="Arial" w:cs="Arial"/>
          <w:b/>
          <w:sz w:val="24"/>
          <w:szCs w:val="24"/>
          <w:lang w:val="es-ES_tradnl"/>
        </w:rPr>
        <w:t>8</w:t>
      </w:r>
      <w:r w:rsidR="00D91005" w:rsidRPr="00893192">
        <w:rPr>
          <w:rFonts w:ascii="Arial" w:hAnsi="Arial" w:cs="Arial"/>
          <w:b/>
          <w:sz w:val="24"/>
          <w:szCs w:val="24"/>
          <w:lang w:val="es-ES_tradnl"/>
        </w:rPr>
        <w:t>)</w:t>
      </w:r>
      <w:r w:rsidR="00D91005">
        <w:rPr>
          <w:rFonts w:ascii="Arial" w:hAnsi="Arial" w:cs="Arial"/>
          <w:sz w:val="24"/>
          <w:szCs w:val="24"/>
          <w:lang w:val="es-ES_tradnl"/>
        </w:rPr>
        <w:t xml:space="preserve"> que se </w:t>
      </w:r>
      <w:r>
        <w:rPr>
          <w:rFonts w:ascii="Arial" w:hAnsi="Arial" w:cs="Arial"/>
          <w:sz w:val="24"/>
          <w:szCs w:val="24"/>
          <w:lang w:val="es-ES_tradnl"/>
        </w:rPr>
        <w:t>estimó</w:t>
      </w:r>
      <w:r w:rsidR="00D91005">
        <w:rPr>
          <w:rFonts w:ascii="Arial" w:hAnsi="Arial" w:cs="Arial"/>
          <w:sz w:val="24"/>
          <w:szCs w:val="24"/>
          <w:lang w:val="es-ES_tradnl"/>
        </w:rPr>
        <w:t xml:space="preserve"> la ejecución para el presente ejercicio en la suma de $ 84:516.672</w:t>
      </w:r>
      <w:r w:rsidR="00343BA1">
        <w:rPr>
          <w:rFonts w:ascii="Arial" w:hAnsi="Arial" w:cs="Arial"/>
          <w:sz w:val="24"/>
          <w:szCs w:val="24"/>
          <w:lang w:val="es-ES_tradnl"/>
        </w:rPr>
        <w:t>, habiéndose realizado la reserva  de rubro en el programa 201, renglón 387;</w:t>
      </w:r>
    </w:p>
    <w:p w:rsidR="00343BA1" w:rsidRDefault="00343BA1" w:rsidP="00893192">
      <w:pPr>
        <w:pStyle w:val="Ttulo"/>
        <w:widowControl w:val="0"/>
        <w:ind w:firstLine="851"/>
        <w:jc w:val="both"/>
        <w:rPr>
          <w:b w:val="0"/>
          <w:u w:val="none"/>
          <w:lang w:val="es-ES_tradnl"/>
        </w:rPr>
      </w:pPr>
      <w:r>
        <w:rPr>
          <w:u w:val="none"/>
          <w:lang w:val="es-ES_tradnl"/>
        </w:rPr>
        <w:t xml:space="preserve">CONSIDERANDO: 1) </w:t>
      </w:r>
      <w:r>
        <w:rPr>
          <w:b w:val="0"/>
          <w:u w:val="none"/>
          <w:lang w:val="es-ES_tradnl"/>
        </w:rPr>
        <w:t xml:space="preserve">que la presente ampliación encuadra en lo dispuesto por el </w:t>
      </w:r>
      <w:r w:rsidR="00893192">
        <w:rPr>
          <w:b w:val="0"/>
          <w:u w:val="none"/>
          <w:lang w:val="es-ES_tradnl"/>
        </w:rPr>
        <w:t>A</w:t>
      </w:r>
      <w:r>
        <w:rPr>
          <w:b w:val="0"/>
          <w:u w:val="none"/>
          <w:lang w:val="es-ES_tradnl"/>
        </w:rPr>
        <w:t>rt</w:t>
      </w:r>
      <w:r w:rsidR="00893192">
        <w:rPr>
          <w:b w:val="0"/>
          <w:u w:val="none"/>
          <w:lang w:val="es-ES_tradnl"/>
        </w:rPr>
        <w:t>ículo</w:t>
      </w:r>
      <w:r>
        <w:rPr>
          <w:b w:val="0"/>
          <w:u w:val="none"/>
          <w:lang w:val="es-ES_tradnl"/>
        </w:rPr>
        <w:t xml:space="preserve"> 74 del TOCAF</w:t>
      </w:r>
      <w:r w:rsidR="00496F55">
        <w:rPr>
          <w:b w:val="0"/>
          <w:u w:val="none"/>
          <w:lang w:val="es-ES_tradnl"/>
        </w:rPr>
        <w:t>, habiéndose recabado la previa conformidad del contratista, respectado el tope máximo autorizado y, encontrándose vigente la licitación (resultando 7)</w:t>
      </w:r>
      <w:r>
        <w:rPr>
          <w:b w:val="0"/>
          <w:u w:val="none"/>
          <w:lang w:val="es-ES_tradnl"/>
        </w:rPr>
        <w:t>;</w:t>
      </w:r>
    </w:p>
    <w:p w:rsidR="00343BA1" w:rsidRDefault="00343BA1" w:rsidP="00893192">
      <w:pPr>
        <w:pStyle w:val="Ttulo"/>
        <w:widowControl w:val="0"/>
        <w:ind w:firstLine="3119"/>
        <w:jc w:val="both"/>
        <w:rPr>
          <w:b w:val="0"/>
          <w:u w:val="none"/>
          <w:lang w:val="es-ES_tradnl"/>
        </w:rPr>
      </w:pPr>
      <w:r w:rsidRPr="008F4863">
        <w:rPr>
          <w:u w:val="none"/>
          <w:lang w:val="es-ES_tradnl"/>
        </w:rPr>
        <w:t>2)</w:t>
      </w:r>
      <w:r>
        <w:rPr>
          <w:u w:val="none"/>
          <w:lang w:val="es-ES_tradnl"/>
        </w:rPr>
        <w:t xml:space="preserve"> </w:t>
      </w:r>
      <w:r>
        <w:rPr>
          <w:b w:val="0"/>
          <w:u w:val="none"/>
          <w:lang w:val="es-ES_tradnl"/>
        </w:rPr>
        <w:t xml:space="preserve">que </w:t>
      </w:r>
      <w:r w:rsidR="00496F55">
        <w:rPr>
          <w:b w:val="0"/>
          <w:u w:val="none"/>
          <w:lang w:val="es-ES_tradnl"/>
        </w:rPr>
        <w:t xml:space="preserve">no obstante, el gasto de </w:t>
      </w:r>
      <w:r>
        <w:rPr>
          <w:b w:val="0"/>
          <w:u w:val="none"/>
          <w:lang w:val="es-ES_tradnl"/>
        </w:rPr>
        <w:t>la contratación original fue oportunamente observad</w:t>
      </w:r>
      <w:r w:rsidR="00496F55">
        <w:rPr>
          <w:b w:val="0"/>
          <w:u w:val="none"/>
          <w:lang w:val="es-ES_tradnl"/>
        </w:rPr>
        <w:t>o</w:t>
      </w:r>
      <w:r>
        <w:rPr>
          <w:b w:val="0"/>
          <w:u w:val="none"/>
          <w:lang w:val="es-ES_tradnl"/>
        </w:rPr>
        <w:t xml:space="preserve"> por razones de legalidad insubsanables que afectan a la presente ampliación;</w:t>
      </w:r>
    </w:p>
    <w:p w:rsidR="00343BA1" w:rsidRDefault="00343BA1" w:rsidP="00893192">
      <w:pPr>
        <w:pStyle w:val="Ttulo"/>
        <w:widowControl w:val="0"/>
        <w:ind w:firstLine="851"/>
        <w:jc w:val="both"/>
        <w:rPr>
          <w:b w:val="0"/>
          <w:u w:val="none"/>
          <w:lang w:val="es-ES_tradnl"/>
        </w:rPr>
      </w:pPr>
      <w:r>
        <w:rPr>
          <w:u w:val="none"/>
          <w:lang w:val="es-ES_tradnl"/>
        </w:rPr>
        <w:t xml:space="preserve">ATENTO: </w:t>
      </w:r>
      <w:r>
        <w:rPr>
          <w:b w:val="0"/>
          <w:u w:val="none"/>
          <w:lang w:val="es-ES_tradnl"/>
        </w:rPr>
        <w:t xml:space="preserve">a lo precedentemente expuesto y a lo dispuesto por el </w:t>
      </w:r>
      <w:r w:rsidR="00893192">
        <w:rPr>
          <w:b w:val="0"/>
          <w:u w:val="none"/>
          <w:lang w:val="es-ES_tradnl"/>
        </w:rPr>
        <w:t>A</w:t>
      </w:r>
      <w:r>
        <w:rPr>
          <w:b w:val="0"/>
          <w:u w:val="none"/>
          <w:lang w:val="es-ES_tradnl"/>
        </w:rPr>
        <w:t>rt</w:t>
      </w:r>
      <w:r w:rsidR="00893192">
        <w:rPr>
          <w:b w:val="0"/>
          <w:u w:val="none"/>
          <w:lang w:val="es-ES_tradnl"/>
        </w:rPr>
        <w:t>ículo</w:t>
      </w:r>
      <w:r>
        <w:rPr>
          <w:b w:val="0"/>
          <w:u w:val="none"/>
          <w:lang w:val="es-ES_tradnl"/>
        </w:rPr>
        <w:t xml:space="preserve"> 211 </w:t>
      </w:r>
      <w:r w:rsidR="00893192">
        <w:rPr>
          <w:b w:val="0"/>
          <w:u w:val="none"/>
          <w:lang w:val="es-ES_tradnl"/>
        </w:rPr>
        <w:t>L</w:t>
      </w:r>
      <w:r>
        <w:rPr>
          <w:b w:val="0"/>
          <w:u w:val="none"/>
          <w:lang w:val="es-ES_tradnl"/>
        </w:rPr>
        <w:t>it</w:t>
      </w:r>
      <w:r w:rsidR="00893192">
        <w:rPr>
          <w:b w:val="0"/>
          <w:u w:val="none"/>
          <w:lang w:val="es-ES_tradnl"/>
        </w:rPr>
        <w:t>eral</w:t>
      </w:r>
      <w:r>
        <w:rPr>
          <w:b w:val="0"/>
          <w:u w:val="none"/>
          <w:lang w:val="es-ES_tradnl"/>
        </w:rPr>
        <w:t xml:space="preserve"> B) de la Constitución de la República;</w:t>
      </w:r>
    </w:p>
    <w:p w:rsidR="00343BA1" w:rsidRDefault="00343BA1" w:rsidP="00893192">
      <w:pPr>
        <w:pStyle w:val="Ttulo"/>
        <w:widowControl w:val="0"/>
        <w:rPr>
          <w:u w:val="none"/>
          <w:lang w:val="es-ES_tradnl"/>
        </w:rPr>
      </w:pPr>
      <w:r>
        <w:rPr>
          <w:u w:val="none"/>
          <w:lang w:val="es-ES_tradnl"/>
        </w:rPr>
        <w:t>EL TRIBUNAL ACUERDA</w:t>
      </w:r>
    </w:p>
    <w:p w:rsidR="00343BA1" w:rsidRPr="000A4277" w:rsidRDefault="00893192" w:rsidP="00893192">
      <w:pPr>
        <w:pStyle w:val="Ttulo"/>
        <w:widowControl w:val="0"/>
        <w:jc w:val="left"/>
        <w:rPr>
          <w:u w:val="none"/>
          <w:lang w:val="es-ES_tradnl"/>
        </w:rPr>
      </w:pPr>
      <w:r w:rsidRPr="00893192">
        <w:rPr>
          <w:u w:val="none"/>
          <w:lang w:val="es-ES_tradnl"/>
        </w:rPr>
        <w:t>1)</w:t>
      </w:r>
      <w:r>
        <w:rPr>
          <w:b w:val="0"/>
          <w:u w:val="none"/>
          <w:lang w:val="es-ES_tradnl"/>
        </w:rPr>
        <w:t xml:space="preserve"> </w:t>
      </w:r>
      <w:r w:rsidR="00343BA1">
        <w:rPr>
          <w:b w:val="0"/>
          <w:u w:val="none"/>
          <w:lang w:val="es-ES_tradnl"/>
        </w:rPr>
        <w:t>Observar el gasto;</w:t>
      </w:r>
    </w:p>
    <w:p w:rsidR="00343BA1" w:rsidRDefault="00893192" w:rsidP="00893192">
      <w:pPr>
        <w:pStyle w:val="Ttulo"/>
        <w:widowControl w:val="0"/>
        <w:jc w:val="left"/>
        <w:rPr>
          <w:b w:val="0"/>
          <w:u w:val="none"/>
          <w:lang w:val="es-ES_tradnl"/>
        </w:rPr>
      </w:pPr>
      <w:r w:rsidRPr="00893192">
        <w:rPr>
          <w:u w:val="none"/>
          <w:lang w:val="es-ES_tradnl"/>
        </w:rPr>
        <w:t>2)</w:t>
      </w:r>
      <w:r>
        <w:rPr>
          <w:b w:val="0"/>
          <w:u w:val="none"/>
          <w:lang w:val="es-ES_tradnl"/>
        </w:rPr>
        <w:t xml:space="preserve"> </w:t>
      </w:r>
      <w:r w:rsidR="00343BA1">
        <w:rPr>
          <w:b w:val="0"/>
          <w:u w:val="none"/>
          <w:lang w:val="es-ES_tradnl"/>
        </w:rPr>
        <w:t>Devolver las actuaciones.</w:t>
      </w:r>
    </w:p>
    <w:p w:rsidR="00893192" w:rsidRDefault="00893192" w:rsidP="00893192">
      <w:pPr>
        <w:pStyle w:val="Ttulo"/>
        <w:widowControl w:val="0"/>
        <w:jc w:val="left"/>
        <w:rPr>
          <w:b w:val="0"/>
          <w:u w:val="none"/>
          <w:lang w:val="es-ES_tradnl"/>
        </w:rPr>
      </w:pPr>
    </w:p>
    <w:p w:rsidR="00893192" w:rsidRPr="000A4277" w:rsidRDefault="00893192" w:rsidP="00893192">
      <w:pPr>
        <w:pStyle w:val="Ttulo"/>
        <w:widowControl w:val="0"/>
        <w:jc w:val="left"/>
        <w:rPr>
          <w:u w:val="none"/>
          <w:lang w:val="es-ES_tradnl"/>
        </w:rPr>
      </w:pPr>
      <w:proofErr w:type="spellStart"/>
      <w:proofErr w:type="gramStart"/>
      <w:r>
        <w:rPr>
          <w:b w:val="0"/>
          <w:u w:val="none"/>
          <w:lang w:val="es-ES_tradnl"/>
        </w:rPr>
        <w:t>ag</w:t>
      </w:r>
      <w:bookmarkStart w:id="0" w:name="_GoBack"/>
      <w:bookmarkEnd w:id="0"/>
      <w:proofErr w:type="spellEnd"/>
      <w:proofErr w:type="gramEnd"/>
    </w:p>
    <w:p w:rsidR="00343BA1" w:rsidRDefault="00343BA1" w:rsidP="00893192">
      <w:pPr>
        <w:pStyle w:val="Ttulo"/>
        <w:widowControl w:val="0"/>
        <w:jc w:val="left"/>
        <w:rPr>
          <w:b w:val="0"/>
          <w:u w:val="none"/>
          <w:lang w:val="es-ES_tradnl"/>
        </w:rPr>
      </w:pPr>
    </w:p>
    <w:p w:rsidR="00343BA1" w:rsidRDefault="00343BA1" w:rsidP="00343BA1">
      <w:pPr>
        <w:pStyle w:val="Ttulo"/>
        <w:widowControl w:val="0"/>
        <w:jc w:val="left"/>
        <w:rPr>
          <w:b w:val="0"/>
          <w:u w:val="none"/>
          <w:lang w:val="es-ES_tradnl"/>
        </w:rPr>
      </w:pPr>
    </w:p>
    <w:p w:rsidR="00013A75" w:rsidRDefault="00013A75">
      <w:pPr>
        <w:spacing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sectPr w:rsidR="00013A75" w:rsidSect="0086444F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526" w:rsidRDefault="00191526" w:rsidP="00191526">
      <w:pPr>
        <w:spacing w:after="0" w:line="240" w:lineRule="auto"/>
      </w:pPr>
      <w:r>
        <w:separator/>
      </w:r>
    </w:p>
  </w:endnote>
  <w:endnote w:type="continuationSeparator" w:id="0">
    <w:p w:rsidR="00191526" w:rsidRDefault="00191526" w:rsidP="00191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526" w:rsidRDefault="00191526" w:rsidP="00191526">
      <w:pPr>
        <w:spacing w:after="0" w:line="240" w:lineRule="auto"/>
      </w:pPr>
      <w:r>
        <w:separator/>
      </w:r>
    </w:p>
  </w:footnote>
  <w:footnote w:type="continuationSeparator" w:id="0">
    <w:p w:rsidR="00191526" w:rsidRDefault="00191526" w:rsidP="001915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D4D6E"/>
    <w:multiLevelType w:val="hybridMultilevel"/>
    <w:tmpl w:val="A0F8C54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076B92"/>
    <w:multiLevelType w:val="singleLevel"/>
    <w:tmpl w:val="0C0A0011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A75"/>
    <w:rsid w:val="00013A75"/>
    <w:rsid w:val="000B3D03"/>
    <w:rsid w:val="000C6FFE"/>
    <w:rsid w:val="00136B53"/>
    <w:rsid w:val="00191526"/>
    <w:rsid w:val="002E1707"/>
    <w:rsid w:val="00343BA1"/>
    <w:rsid w:val="003758A4"/>
    <w:rsid w:val="00496F55"/>
    <w:rsid w:val="007202F9"/>
    <w:rsid w:val="008077A8"/>
    <w:rsid w:val="0086444F"/>
    <w:rsid w:val="00893192"/>
    <w:rsid w:val="00B7277E"/>
    <w:rsid w:val="00C77677"/>
    <w:rsid w:val="00D91005"/>
    <w:rsid w:val="00D9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spacing w:after="0" w:line="240" w:lineRule="auto"/>
      <w:jc w:val="center"/>
      <w:outlineLvl w:val="1"/>
    </w:pPr>
    <w:rPr>
      <w:rFonts w:ascii="Arial" w:hAnsi="Arial" w:cs="Arial"/>
      <w:b/>
      <w:bCs/>
      <w:color w:val="000000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Pr>
      <w:rFonts w:ascii="Arial" w:hAnsi="Arial" w:cs="Arial"/>
      <w:b/>
      <w:bCs/>
      <w:color w:val="000000"/>
      <w:sz w:val="20"/>
      <w:szCs w:val="20"/>
      <w:lang w:val="es-ES_tradnl" w:eastAsia="es-ES"/>
    </w:rPr>
  </w:style>
  <w:style w:type="paragraph" w:styleId="Ttulo">
    <w:name w:val="Title"/>
    <w:basedOn w:val="Normal"/>
    <w:link w:val="TtuloCar"/>
    <w:qFormat/>
    <w:pPr>
      <w:spacing w:after="0" w:line="360" w:lineRule="auto"/>
      <w:jc w:val="center"/>
    </w:pPr>
    <w:rPr>
      <w:rFonts w:ascii="Arial" w:hAnsi="Arial" w:cs="Arial"/>
      <w:b/>
      <w:bCs/>
      <w:sz w:val="24"/>
      <w:szCs w:val="24"/>
      <w:u w:val="single"/>
      <w:lang w:val="es-UY" w:eastAsia="es-ES"/>
    </w:rPr>
  </w:style>
  <w:style w:type="character" w:customStyle="1" w:styleId="TtuloCar">
    <w:name w:val="Título Car"/>
    <w:basedOn w:val="Fuentedeprrafopredeter"/>
    <w:link w:val="Ttulo"/>
    <w:rPr>
      <w:rFonts w:ascii="Arial" w:hAnsi="Arial" w:cs="Arial"/>
      <w:b/>
      <w:bCs/>
      <w:sz w:val="24"/>
      <w:szCs w:val="24"/>
      <w:u w:val="single"/>
      <w:lang w:val="es-UY" w:eastAsia="es-ES"/>
    </w:rPr>
  </w:style>
  <w:style w:type="paragraph" w:styleId="Subttulo">
    <w:name w:val="Subtitle"/>
    <w:basedOn w:val="Normal"/>
    <w:link w:val="SubttuloCar"/>
    <w:qFormat/>
    <w:pPr>
      <w:spacing w:after="0" w:line="360" w:lineRule="auto"/>
      <w:jc w:val="center"/>
    </w:pPr>
    <w:rPr>
      <w:rFonts w:ascii="Arial" w:hAnsi="Arial" w:cs="Arial"/>
      <w:b/>
      <w:bCs/>
      <w:color w:val="000000"/>
      <w:sz w:val="24"/>
      <w:szCs w:val="24"/>
      <w:lang w:eastAsia="es-ES"/>
    </w:rPr>
  </w:style>
  <w:style w:type="character" w:customStyle="1" w:styleId="SubttuloCar">
    <w:name w:val="Subtítulo Car"/>
    <w:basedOn w:val="Fuentedeprrafopredeter"/>
    <w:link w:val="Subttulo"/>
    <w:uiPriority w:val="99"/>
    <w:rPr>
      <w:rFonts w:ascii="Arial" w:hAnsi="Arial" w:cs="Arial"/>
      <w:b/>
      <w:bCs/>
      <w:color w:val="000000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1915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1526"/>
    <w:rPr>
      <w:rFonts w:ascii="Calibri" w:hAnsi="Calibri" w:cs="Calibri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19152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1526"/>
    <w:rPr>
      <w:rFonts w:ascii="Calibri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spacing w:after="0" w:line="240" w:lineRule="auto"/>
      <w:jc w:val="center"/>
      <w:outlineLvl w:val="1"/>
    </w:pPr>
    <w:rPr>
      <w:rFonts w:ascii="Arial" w:hAnsi="Arial" w:cs="Arial"/>
      <w:b/>
      <w:bCs/>
      <w:color w:val="000000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Pr>
      <w:rFonts w:ascii="Arial" w:hAnsi="Arial" w:cs="Arial"/>
      <w:b/>
      <w:bCs/>
      <w:color w:val="000000"/>
      <w:sz w:val="20"/>
      <w:szCs w:val="20"/>
      <w:lang w:val="es-ES_tradnl" w:eastAsia="es-ES"/>
    </w:rPr>
  </w:style>
  <w:style w:type="paragraph" w:styleId="Ttulo">
    <w:name w:val="Title"/>
    <w:basedOn w:val="Normal"/>
    <w:link w:val="TtuloCar"/>
    <w:qFormat/>
    <w:pPr>
      <w:spacing w:after="0" w:line="360" w:lineRule="auto"/>
      <w:jc w:val="center"/>
    </w:pPr>
    <w:rPr>
      <w:rFonts w:ascii="Arial" w:hAnsi="Arial" w:cs="Arial"/>
      <w:b/>
      <w:bCs/>
      <w:sz w:val="24"/>
      <w:szCs w:val="24"/>
      <w:u w:val="single"/>
      <w:lang w:val="es-UY" w:eastAsia="es-ES"/>
    </w:rPr>
  </w:style>
  <w:style w:type="character" w:customStyle="1" w:styleId="TtuloCar">
    <w:name w:val="Título Car"/>
    <w:basedOn w:val="Fuentedeprrafopredeter"/>
    <w:link w:val="Ttulo"/>
    <w:rPr>
      <w:rFonts w:ascii="Arial" w:hAnsi="Arial" w:cs="Arial"/>
      <w:b/>
      <w:bCs/>
      <w:sz w:val="24"/>
      <w:szCs w:val="24"/>
      <w:u w:val="single"/>
      <w:lang w:val="es-UY" w:eastAsia="es-ES"/>
    </w:rPr>
  </w:style>
  <w:style w:type="paragraph" w:styleId="Subttulo">
    <w:name w:val="Subtitle"/>
    <w:basedOn w:val="Normal"/>
    <w:link w:val="SubttuloCar"/>
    <w:qFormat/>
    <w:pPr>
      <w:spacing w:after="0" w:line="360" w:lineRule="auto"/>
      <w:jc w:val="center"/>
    </w:pPr>
    <w:rPr>
      <w:rFonts w:ascii="Arial" w:hAnsi="Arial" w:cs="Arial"/>
      <w:b/>
      <w:bCs/>
      <w:color w:val="000000"/>
      <w:sz w:val="24"/>
      <w:szCs w:val="24"/>
      <w:lang w:eastAsia="es-ES"/>
    </w:rPr>
  </w:style>
  <w:style w:type="character" w:customStyle="1" w:styleId="SubttuloCar">
    <w:name w:val="Subtítulo Car"/>
    <w:basedOn w:val="Fuentedeprrafopredeter"/>
    <w:link w:val="Subttulo"/>
    <w:uiPriority w:val="99"/>
    <w:rPr>
      <w:rFonts w:ascii="Arial" w:hAnsi="Arial" w:cs="Arial"/>
      <w:b/>
      <w:bCs/>
      <w:color w:val="000000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1915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1526"/>
    <w:rPr>
      <w:rFonts w:ascii="Calibri" w:hAnsi="Calibri" w:cs="Calibri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19152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1526"/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429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N°: 2013-17-1-0007913</vt:lpstr>
    </vt:vector>
  </TitlesOfParts>
  <Company/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N°: 2013-17-1-0007913</dc:title>
  <dc:creator>ANDREA AREOSO USHER</dc:creator>
  <cp:lastModifiedBy>tribunal1</cp:lastModifiedBy>
  <cp:revision>9</cp:revision>
  <cp:lastPrinted>2018-04-24T18:58:00Z</cp:lastPrinted>
  <dcterms:created xsi:type="dcterms:W3CDTF">2018-04-24T18:27:00Z</dcterms:created>
  <dcterms:modified xsi:type="dcterms:W3CDTF">2018-04-24T18:58:00Z</dcterms:modified>
</cp:coreProperties>
</file>