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311" w:rsidRPr="00AA6311" w:rsidRDefault="00AA6311" w:rsidP="00786EEB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 w:rsidRPr="00AA6311">
        <w:rPr>
          <w:rFonts w:ascii="Arial" w:hAnsi="Arial" w:cs="Arial"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sz w:val="28"/>
          <w:szCs w:val="28"/>
          <w:lang w:val="es-ES_tradnl"/>
        </w:rPr>
        <w:t>1770</w:t>
      </w:r>
      <w:r w:rsidRPr="00AA6311">
        <w:rPr>
          <w:rFonts w:ascii="Arial" w:hAnsi="Arial" w:cs="Arial"/>
          <w:sz w:val="28"/>
          <w:szCs w:val="28"/>
          <w:lang w:val="es-ES_tradnl"/>
        </w:rPr>
        <w:t>/18</w:t>
      </w:r>
    </w:p>
    <w:p w:rsidR="00AA6311" w:rsidRPr="00AA6311" w:rsidRDefault="00AA6311" w:rsidP="00786EEB">
      <w:pPr>
        <w:tabs>
          <w:tab w:val="center" w:pos="4253"/>
        </w:tabs>
        <w:suppressAutoHyphens/>
        <w:jc w:val="right"/>
        <w:rPr>
          <w:rFonts w:ascii="Arial" w:hAnsi="Arial" w:cs="Arial"/>
          <w:lang w:val="es-ES_tradnl"/>
        </w:rPr>
      </w:pPr>
    </w:p>
    <w:p w:rsidR="00AA6311" w:rsidRPr="00AA6311" w:rsidRDefault="00AA6311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AA6311">
        <w:rPr>
          <w:rFonts w:ascii="Arial" w:hAnsi="Arial" w:cs="Arial"/>
          <w:lang w:val="es-ES_tradnl"/>
        </w:rPr>
        <w:t>RESOLUCION ADOPTADA POR EL</w:t>
      </w:r>
    </w:p>
    <w:p w:rsidR="00AA6311" w:rsidRPr="00AA6311" w:rsidRDefault="00AA6311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AA6311" w:rsidRPr="00AA6311" w:rsidRDefault="00AA6311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AA6311">
        <w:rPr>
          <w:rFonts w:ascii="Arial" w:hAnsi="Arial" w:cs="Arial"/>
          <w:lang w:val="es-ES_tradnl"/>
        </w:rPr>
        <w:t>TRIBUNAL DE CUENTAS</w:t>
      </w:r>
    </w:p>
    <w:p w:rsidR="00AA6311" w:rsidRPr="00AA6311" w:rsidRDefault="00AA6311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AA6311" w:rsidRPr="00AA6311" w:rsidRDefault="00AA6311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AA6311">
        <w:rPr>
          <w:rFonts w:ascii="Arial" w:hAnsi="Arial" w:cs="Arial"/>
          <w:lang w:val="es-ES_tradnl"/>
        </w:rPr>
        <w:t xml:space="preserve">EN SESION DE FECHA 30 DE MAYO </w:t>
      </w:r>
      <w:r w:rsidRPr="00AA6311">
        <w:rPr>
          <w:rFonts w:ascii="Helvetica" w:hAnsi="Helvetica"/>
          <w:lang w:val="es-ES_tradnl"/>
        </w:rPr>
        <w:t>DE 2018</w:t>
      </w:r>
    </w:p>
    <w:p w:rsidR="00AA6311" w:rsidRPr="00AA6311" w:rsidRDefault="00AA6311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AA6311" w:rsidRPr="00AA6311" w:rsidRDefault="00AA6311">
      <w:pPr>
        <w:tabs>
          <w:tab w:val="center" w:pos="4253"/>
        </w:tabs>
        <w:suppressAutoHyphens/>
        <w:jc w:val="center"/>
        <w:rPr>
          <w:rFonts w:ascii="Arial" w:hAnsi="Arial" w:cs="Arial"/>
          <w:lang w:val="en-US"/>
        </w:rPr>
      </w:pPr>
      <w:r w:rsidRPr="00AA6311">
        <w:rPr>
          <w:rFonts w:ascii="Arial" w:hAnsi="Arial" w:cs="Arial"/>
          <w:lang w:val="en-US"/>
        </w:rPr>
        <w:t xml:space="preserve">(E. E. Nº </w:t>
      </w:r>
      <w:r>
        <w:rPr>
          <w:rFonts w:ascii="Arial" w:hAnsi="Arial" w:cs="Arial"/>
          <w:lang w:val="en-US"/>
        </w:rPr>
        <w:t>2017-17-1-0003835</w:t>
      </w:r>
      <w:r w:rsidRPr="00AA6311">
        <w:rPr>
          <w:rFonts w:ascii="Arial" w:hAnsi="Arial" w:cs="Arial"/>
          <w:lang w:val="en-US"/>
        </w:rPr>
        <w:t xml:space="preserve">, </w:t>
      </w:r>
      <w:proofErr w:type="gramStart"/>
      <w:r w:rsidRPr="00AA6311">
        <w:rPr>
          <w:rFonts w:ascii="Arial" w:hAnsi="Arial" w:cs="Arial"/>
          <w:lang w:val="en-US"/>
        </w:rPr>
        <w:t>Ent</w:t>
      </w:r>
      <w:proofErr w:type="gramEnd"/>
      <w:r w:rsidRPr="00AA6311">
        <w:rPr>
          <w:rFonts w:ascii="Arial" w:hAnsi="Arial" w:cs="Arial"/>
          <w:lang w:val="en-US"/>
        </w:rPr>
        <w:t xml:space="preserve">. N° </w:t>
      </w:r>
      <w:r>
        <w:rPr>
          <w:rFonts w:ascii="Arial" w:hAnsi="Arial" w:cs="Arial"/>
          <w:lang w:val="en-US"/>
        </w:rPr>
        <w:t>2318/18</w:t>
      </w:r>
      <w:r w:rsidRPr="00AA6311">
        <w:rPr>
          <w:rFonts w:ascii="Arial" w:hAnsi="Arial" w:cs="Arial"/>
          <w:lang w:val="en-US"/>
        </w:rPr>
        <w:t>)</w:t>
      </w:r>
    </w:p>
    <w:p w:rsidR="00AA6311" w:rsidRDefault="00AA6311">
      <w:pPr>
        <w:tabs>
          <w:tab w:val="center" w:pos="4253"/>
        </w:tabs>
        <w:suppressAutoHyphens/>
        <w:jc w:val="center"/>
        <w:rPr>
          <w:rFonts w:ascii="Helvetica" w:hAnsi="Helvetica"/>
          <w:b w:val="0"/>
          <w:lang w:val="en-US"/>
        </w:rPr>
      </w:pPr>
    </w:p>
    <w:p w:rsidR="00AA6311" w:rsidRDefault="00D71541" w:rsidP="00AA6311">
      <w:pPr>
        <w:pStyle w:val="Ttulo8"/>
        <w:numPr>
          <w:ilvl w:val="0"/>
          <w:numId w:val="0"/>
        </w:numPr>
        <w:ind w:firstLine="851"/>
        <w:rPr>
          <w:b w:val="0"/>
        </w:rPr>
      </w:pPr>
      <w:r>
        <w:t xml:space="preserve">VISTO: </w:t>
      </w:r>
      <w:r>
        <w:rPr>
          <w:b w:val="0"/>
        </w:rPr>
        <w:t xml:space="preserve">las actuaciones remitidas por la Contadora Delegada en la Intendencia de Canelones, relacionadas con la </w:t>
      </w:r>
      <w:r w:rsidR="00823552">
        <w:rPr>
          <w:b w:val="0"/>
        </w:rPr>
        <w:t xml:space="preserve">reiteración del gasto emergente de la </w:t>
      </w:r>
      <w:r>
        <w:rPr>
          <w:b w:val="0"/>
        </w:rPr>
        <w:t>Licitación Pública PU Nº</w:t>
      </w:r>
      <w:r>
        <w:rPr>
          <w:b w:val="0"/>
          <w:bCs/>
        </w:rPr>
        <w:t xml:space="preserve"> </w:t>
      </w:r>
      <w:r>
        <w:rPr>
          <w:b w:val="0"/>
        </w:rPr>
        <w:t>2016-06</w:t>
      </w:r>
      <w:r w:rsidR="00823552">
        <w:rPr>
          <w:b w:val="0"/>
        </w:rPr>
        <w:t>, convocada</w:t>
      </w:r>
      <w:r>
        <w:rPr>
          <w:b w:val="0"/>
        </w:rPr>
        <w:t xml:space="preserve"> para la adquisición de equipamiento </w:t>
      </w:r>
      <w:r w:rsidR="00F13D47">
        <w:rPr>
          <w:b w:val="0"/>
        </w:rPr>
        <w:t xml:space="preserve">urbano </w:t>
      </w:r>
      <w:r>
        <w:rPr>
          <w:b w:val="0"/>
        </w:rPr>
        <w:t>para servicios de limpieza pública</w:t>
      </w:r>
      <w:r w:rsidR="00F13D47">
        <w:rPr>
          <w:b w:val="0"/>
        </w:rPr>
        <w:t xml:space="preserve"> para el Departamento</w:t>
      </w:r>
      <w:r>
        <w:rPr>
          <w:b w:val="0"/>
        </w:rPr>
        <w:t>;</w:t>
      </w:r>
    </w:p>
    <w:p w:rsidR="00AA6311" w:rsidRDefault="003A3DBE" w:rsidP="00AA6311">
      <w:pPr>
        <w:pStyle w:val="Ttulo8"/>
        <w:numPr>
          <w:ilvl w:val="0"/>
          <w:numId w:val="0"/>
        </w:numPr>
        <w:ind w:firstLine="851"/>
        <w:rPr>
          <w:b w:val="0"/>
          <w:bCs/>
        </w:rPr>
      </w:pPr>
      <w:r>
        <w:t xml:space="preserve">RESULTANDO: </w:t>
      </w:r>
      <w:r w:rsidR="00B34AD6">
        <w:t>1</w:t>
      </w:r>
      <w:r w:rsidR="00D71541">
        <w:t xml:space="preserve">) </w:t>
      </w:r>
      <w:r w:rsidR="00D71541">
        <w:rPr>
          <w:b w:val="0"/>
          <w:bCs/>
        </w:rPr>
        <w:t>q</w:t>
      </w:r>
      <w:r w:rsidR="00613162">
        <w:rPr>
          <w:b w:val="0"/>
          <w:bCs/>
        </w:rPr>
        <w:t xml:space="preserve">ue </w:t>
      </w:r>
      <w:r w:rsidR="00D71541">
        <w:rPr>
          <w:b w:val="0"/>
          <w:bCs/>
        </w:rPr>
        <w:t xml:space="preserve">por </w:t>
      </w:r>
      <w:r w:rsidR="00613162">
        <w:rPr>
          <w:b w:val="0"/>
          <w:bCs/>
        </w:rPr>
        <w:t>Resolución Nº 16/04396 del</w:t>
      </w:r>
      <w:r w:rsidR="004400E6">
        <w:rPr>
          <w:b w:val="0"/>
          <w:bCs/>
        </w:rPr>
        <w:t xml:space="preserve"> Ejecutivo Departamental, </w:t>
      </w:r>
      <w:r w:rsidR="00D71541">
        <w:rPr>
          <w:b w:val="0"/>
          <w:bCs/>
        </w:rPr>
        <w:t>se</w:t>
      </w:r>
      <w:r w:rsidR="00613162">
        <w:rPr>
          <w:b w:val="0"/>
          <w:bCs/>
        </w:rPr>
        <w:t xml:space="preserve"> autorizó el llamado a </w:t>
      </w:r>
      <w:r w:rsidR="002A2D4E">
        <w:rPr>
          <w:b w:val="0"/>
          <w:bCs/>
        </w:rPr>
        <w:t xml:space="preserve">la </w:t>
      </w:r>
      <w:r w:rsidR="00E11758">
        <w:rPr>
          <w:b w:val="0"/>
          <w:bCs/>
        </w:rPr>
        <w:t>convocatoria</w:t>
      </w:r>
      <w:r w:rsidR="00AA6311">
        <w:rPr>
          <w:b w:val="0"/>
          <w:bCs/>
        </w:rPr>
        <w:t xml:space="preserve"> de la referencia;</w:t>
      </w:r>
    </w:p>
    <w:p w:rsidR="00AA6311" w:rsidRDefault="00BE53AE" w:rsidP="00AA6311">
      <w:pPr>
        <w:pStyle w:val="Ttulo8"/>
        <w:numPr>
          <w:ilvl w:val="0"/>
          <w:numId w:val="0"/>
        </w:numPr>
        <w:ind w:firstLine="2835"/>
        <w:rPr>
          <w:b w:val="0"/>
          <w:bCs/>
        </w:rPr>
      </w:pPr>
      <w:r w:rsidRPr="002A2D4E">
        <w:rPr>
          <w:bCs/>
        </w:rPr>
        <w:t>2</w:t>
      </w:r>
      <w:r w:rsidR="00D71541" w:rsidRPr="002A2D4E">
        <w:rPr>
          <w:bCs/>
        </w:rPr>
        <w:t xml:space="preserve">) </w:t>
      </w:r>
      <w:r w:rsidR="00BC55FE" w:rsidRPr="002A2D4E">
        <w:rPr>
          <w:b w:val="0"/>
          <w:bCs/>
        </w:rPr>
        <w:t xml:space="preserve">que </w:t>
      </w:r>
      <w:r w:rsidR="002A2D4E" w:rsidRPr="002A2D4E">
        <w:rPr>
          <w:b w:val="0"/>
          <w:bCs/>
        </w:rPr>
        <w:t>mediante</w:t>
      </w:r>
      <w:r w:rsidR="00BC55FE" w:rsidRPr="002A2D4E">
        <w:rPr>
          <w:b w:val="0"/>
          <w:bCs/>
        </w:rPr>
        <w:t xml:space="preserve"> Resolución Nº 17/03500</w:t>
      </w:r>
      <w:r w:rsidR="002A2D4E" w:rsidRPr="002A2D4E">
        <w:rPr>
          <w:b w:val="0"/>
          <w:bCs/>
        </w:rPr>
        <w:t>,</w:t>
      </w:r>
      <w:r w:rsidR="00BC55FE" w:rsidRPr="002A2D4E">
        <w:rPr>
          <w:b w:val="0"/>
          <w:bCs/>
        </w:rPr>
        <w:t xml:space="preserve"> de fecha 19/05/</w:t>
      </w:r>
      <w:r w:rsidR="002A2D4E" w:rsidRPr="002A2D4E">
        <w:rPr>
          <w:b w:val="0"/>
          <w:bCs/>
        </w:rPr>
        <w:t>0</w:t>
      </w:r>
      <w:r w:rsidR="00D71541" w:rsidRPr="002A2D4E">
        <w:rPr>
          <w:b w:val="0"/>
          <w:bCs/>
        </w:rPr>
        <w:t>1</w:t>
      </w:r>
      <w:r w:rsidR="00BC55FE" w:rsidRPr="002A2D4E">
        <w:rPr>
          <w:b w:val="0"/>
          <w:bCs/>
        </w:rPr>
        <w:t>7, el Intendente de Canelones</w:t>
      </w:r>
      <w:r w:rsidR="002A2D4E" w:rsidRPr="002A2D4E">
        <w:rPr>
          <w:b w:val="0"/>
          <w:bCs/>
        </w:rPr>
        <w:t>:</w:t>
      </w:r>
    </w:p>
    <w:p w:rsidR="00AA6311" w:rsidRDefault="002A2D4E" w:rsidP="00AA6311">
      <w:pPr>
        <w:pStyle w:val="Ttulo8"/>
        <w:numPr>
          <w:ilvl w:val="0"/>
          <w:numId w:val="0"/>
        </w:numPr>
        <w:ind w:firstLine="2835"/>
        <w:rPr>
          <w:b w:val="0"/>
          <w:bCs/>
        </w:rPr>
      </w:pPr>
      <w:r w:rsidRPr="00397737">
        <w:rPr>
          <w:bCs/>
        </w:rPr>
        <w:t>2.1)</w:t>
      </w:r>
      <w:r w:rsidR="00BC55FE" w:rsidRPr="002A2D4E">
        <w:rPr>
          <w:b w:val="0"/>
          <w:bCs/>
        </w:rPr>
        <w:t xml:space="preserve"> dispuso</w:t>
      </w:r>
      <w:r w:rsidRPr="002A2D4E">
        <w:rPr>
          <w:b w:val="0"/>
          <w:bCs/>
        </w:rPr>
        <w:t xml:space="preserve"> la adjudicación del llamado </w:t>
      </w:r>
      <w:r w:rsidR="00D71541" w:rsidRPr="002A2D4E">
        <w:rPr>
          <w:b w:val="0"/>
          <w:bCs/>
        </w:rPr>
        <w:t xml:space="preserve">a la firma </w:t>
      </w:r>
      <w:r w:rsidR="00E35B90" w:rsidRPr="002A2D4E">
        <w:rPr>
          <w:b w:val="0"/>
          <w:bCs/>
        </w:rPr>
        <w:t xml:space="preserve">unipersonal </w:t>
      </w:r>
      <w:r w:rsidR="00BC55FE" w:rsidRPr="002A2D4E">
        <w:rPr>
          <w:b w:val="0"/>
          <w:bCs/>
        </w:rPr>
        <w:t>Pablo Rodríguez Rosas</w:t>
      </w:r>
      <w:r w:rsidR="0099710B" w:rsidRPr="002A2D4E">
        <w:rPr>
          <w:b w:val="0"/>
          <w:bCs/>
        </w:rPr>
        <w:t xml:space="preserve"> </w:t>
      </w:r>
      <w:r w:rsidR="00AA6311">
        <w:rPr>
          <w:b w:val="0"/>
          <w:bCs/>
        </w:rPr>
        <w:t>(</w:t>
      </w:r>
      <w:proofErr w:type="spellStart"/>
      <w:r w:rsidR="00AA6311">
        <w:rPr>
          <w:b w:val="0"/>
          <w:bCs/>
        </w:rPr>
        <w:t>i</w:t>
      </w:r>
      <w:r w:rsidR="009F7A21" w:rsidRPr="002A2D4E">
        <w:rPr>
          <w:b w:val="0"/>
          <w:bCs/>
        </w:rPr>
        <w:t>tem</w:t>
      </w:r>
      <w:proofErr w:type="spellEnd"/>
      <w:r w:rsidR="009F7A21" w:rsidRPr="002A2D4E">
        <w:rPr>
          <w:b w:val="0"/>
          <w:bCs/>
        </w:rPr>
        <w:t xml:space="preserve"> 2)</w:t>
      </w:r>
      <w:r w:rsidR="00BC55FE" w:rsidRPr="002A2D4E">
        <w:rPr>
          <w:b w:val="0"/>
          <w:bCs/>
        </w:rPr>
        <w:t xml:space="preserve"> y a </w:t>
      </w:r>
      <w:proofErr w:type="spellStart"/>
      <w:r w:rsidR="00BC55FE" w:rsidRPr="002A2D4E">
        <w:rPr>
          <w:b w:val="0"/>
          <w:bCs/>
        </w:rPr>
        <w:t>Rotomoldeos</w:t>
      </w:r>
      <w:proofErr w:type="spellEnd"/>
      <w:r w:rsidR="00BC55FE" w:rsidRPr="002A2D4E">
        <w:rPr>
          <w:b w:val="0"/>
          <w:bCs/>
        </w:rPr>
        <w:t xml:space="preserve"> – Nueva Era S.A</w:t>
      </w:r>
      <w:r w:rsidR="00AA6311">
        <w:rPr>
          <w:b w:val="0"/>
          <w:bCs/>
        </w:rPr>
        <w:t>.</w:t>
      </w:r>
      <w:r w:rsidR="009F7A21" w:rsidRPr="002A2D4E">
        <w:rPr>
          <w:b w:val="0"/>
          <w:bCs/>
        </w:rPr>
        <w:t xml:space="preserve"> </w:t>
      </w:r>
      <w:r w:rsidR="00AA6311">
        <w:rPr>
          <w:b w:val="0"/>
          <w:bCs/>
        </w:rPr>
        <w:t>(</w:t>
      </w:r>
      <w:proofErr w:type="spellStart"/>
      <w:r w:rsidR="00AA6311">
        <w:rPr>
          <w:b w:val="0"/>
          <w:bCs/>
        </w:rPr>
        <w:t>item</w:t>
      </w:r>
      <w:proofErr w:type="spellEnd"/>
      <w:r w:rsidR="009F7A21" w:rsidRPr="002A2D4E">
        <w:rPr>
          <w:b w:val="0"/>
          <w:bCs/>
        </w:rPr>
        <w:t xml:space="preserve"> 1 y 3)</w:t>
      </w:r>
      <w:r w:rsidR="0099710B" w:rsidRPr="002A2D4E">
        <w:rPr>
          <w:b w:val="0"/>
          <w:bCs/>
        </w:rPr>
        <w:t>,</w:t>
      </w:r>
      <w:r w:rsidR="00BC55FE" w:rsidRPr="002A2D4E">
        <w:rPr>
          <w:b w:val="0"/>
          <w:bCs/>
        </w:rPr>
        <w:t xml:space="preserve"> </w:t>
      </w:r>
      <w:r w:rsidR="00AA6311">
        <w:rPr>
          <w:b w:val="0"/>
          <w:bCs/>
        </w:rPr>
        <w:t>conforme con el</w:t>
      </w:r>
      <w:r w:rsidRPr="002A2D4E">
        <w:rPr>
          <w:b w:val="0"/>
          <w:bCs/>
        </w:rPr>
        <w:t xml:space="preserve"> asesoramiento proporcionado oportunamente por </w:t>
      </w:r>
      <w:r w:rsidR="00BC55FE" w:rsidRPr="002A2D4E">
        <w:rPr>
          <w:b w:val="0"/>
          <w:bCs/>
        </w:rPr>
        <w:t>la Comisión Asesora</w:t>
      </w:r>
      <w:r w:rsidR="00C7652B">
        <w:rPr>
          <w:b w:val="0"/>
          <w:bCs/>
        </w:rPr>
        <w:t xml:space="preserve"> y por el monto</w:t>
      </w:r>
      <w:r w:rsidR="00AA6311">
        <w:rPr>
          <w:b w:val="0"/>
          <w:bCs/>
        </w:rPr>
        <w:t xml:space="preserve"> total de U$S 2:701.649,oo (U$S</w:t>
      </w:r>
      <w:r w:rsidR="00C7652B">
        <w:rPr>
          <w:b w:val="0"/>
          <w:bCs/>
        </w:rPr>
        <w:t>1:465.600,oo DAP y</w:t>
      </w:r>
      <w:r w:rsidR="00C7652B" w:rsidRPr="00C7652B">
        <w:rPr>
          <w:b w:val="0"/>
          <w:bCs/>
        </w:rPr>
        <w:t xml:space="preserve"> </w:t>
      </w:r>
      <w:r w:rsidR="00C7652B">
        <w:rPr>
          <w:b w:val="0"/>
          <w:bCs/>
        </w:rPr>
        <w:t>U$S 9.710,oo DAP respectivamente)</w:t>
      </w:r>
      <w:r w:rsidRPr="002A2D4E">
        <w:rPr>
          <w:b w:val="0"/>
          <w:bCs/>
        </w:rPr>
        <w:t>;</w:t>
      </w:r>
    </w:p>
    <w:p w:rsidR="00AA6311" w:rsidRDefault="002A2D4E" w:rsidP="00AA6311">
      <w:pPr>
        <w:pStyle w:val="Ttulo8"/>
        <w:numPr>
          <w:ilvl w:val="0"/>
          <w:numId w:val="0"/>
        </w:numPr>
        <w:ind w:firstLine="2835"/>
        <w:rPr>
          <w:b w:val="0"/>
          <w:bCs/>
        </w:rPr>
      </w:pPr>
      <w:r w:rsidRPr="00397737">
        <w:rPr>
          <w:bCs/>
        </w:rPr>
        <w:t>2.2)</w:t>
      </w:r>
      <w:r w:rsidRPr="002A2D4E">
        <w:rPr>
          <w:b w:val="0"/>
          <w:bCs/>
        </w:rPr>
        <w:t xml:space="preserve"> indicó</w:t>
      </w:r>
      <w:r w:rsidR="00E35B90" w:rsidRPr="002A2D4E">
        <w:rPr>
          <w:b w:val="0"/>
          <w:bCs/>
        </w:rPr>
        <w:t xml:space="preserve"> </w:t>
      </w:r>
      <w:r w:rsidR="00BC55FE" w:rsidRPr="002A2D4E">
        <w:rPr>
          <w:b w:val="0"/>
          <w:bCs/>
        </w:rPr>
        <w:t>que el financiamiento</w:t>
      </w:r>
      <w:r w:rsidRPr="002A2D4E">
        <w:rPr>
          <w:b w:val="0"/>
          <w:bCs/>
        </w:rPr>
        <w:t xml:space="preserve"> de la contratación</w:t>
      </w:r>
      <w:r w:rsidR="00BC55FE" w:rsidRPr="002A2D4E">
        <w:rPr>
          <w:b w:val="0"/>
          <w:bCs/>
        </w:rPr>
        <w:t xml:space="preserve"> se realizar</w:t>
      </w:r>
      <w:r w:rsidRPr="002A2D4E">
        <w:rPr>
          <w:b w:val="0"/>
          <w:bCs/>
        </w:rPr>
        <w:t>ía</w:t>
      </w:r>
      <w:r w:rsidR="00BC55FE" w:rsidRPr="002A2D4E">
        <w:rPr>
          <w:b w:val="0"/>
          <w:bCs/>
        </w:rPr>
        <w:t xml:space="preserve"> con fondos provenientes del Fideicomiso Financiero para Obras – Canelones III</w:t>
      </w:r>
      <w:r w:rsidRPr="002A2D4E">
        <w:rPr>
          <w:b w:val="0"/>
          <w:bCs/>
        </w:rPr>
        <w:t>;</w:t>
      </w:r>
    </w:p>
    <w:p w:rsidR="00AA6311" w:rsidRDefault="002A2D4E" w:rsidP="00AA6311">
      <w:pPr>
        <w:pStyle w:val="Ttulo8"/>
        <w:numPr>
          <w:ilvl w:val="0"/>
          <w:numId w:val="0"/>
        </w:numPr>
        <w:ind w:firstLine="2835"/>
        <w:rPr>
          <w:b w:val="0"/>
          <w:bCs/>
        </w:rPr>
      </w:pPr>
      <w:r w:rsidRPr="00397737">
        <w:rPr>
          <w:bCs/>
        </w:rPr>
        <w:t>2.3)</w:t>
      </w:r>
      <w:r w:rsidRPr="002A2D4E">
        <w:rPr>
          <w:b w:val="0"/>
          <w:bCs/>
        </w:rPr>
        <w:t xml:space="preserve"> hizo constar que l</w:t>
      </w:r>
      <w:r w:rsidR="00BC55FE" w:rsidRPr="002A2D4E">
        <w:rPr>
          <w:b w:val="0"/>
          <w:bCs/>
        </w:rPr>
        <w:t>a adjudicación se realiza</w:t>
      </w:r>
      <w:r w:rsidRPr="002A2D4E">
        <w:rPr>
          <w:b w:val="0"/>
          <w:bCs/>
        </w:rPr>
        <w:t>ría</w:t>
      </w:r>
      <w:r w:rsidR="00BC55FE" w:rsidRPr="002A2D4E">
        <w:rPr>
          <w:b w:val="0"/>
          <w:bCs/>
        </w:rPr>
        <w:t xml:space="preserve"> al amparo de lo dispuesto </w:t>
      </w:r>
      <w:r w:rsidR="00AA6311">
        <w:rPr>
          <w:b w:val="0"/>
          <w:bCs/>
        </w:rPr>
        <w:t>por el Artículo</w:t>
      </w:r>
      <w:r w:rsidR="00BC55FE" w:rsidRPr="002A2D4E">
        <w:rPr>
          <w:b w:val="0"/>
          <w:bCs/>
        </w:rPr>
        <w:t xml:space="preserve"> 19 del T.O.C.A.F. hasta</w:t>
      </w:r>
      <w:r w:rsidRPr="002A2D4E">
        <w:rPr>
          <w:b w:val="0"/>
          <w:bCs/>
        </w:rPr>
        <w:t xml:space="preserve"> tanto el </w:t>
      </w:r>
      <w:r w:rsidR="00BC55FE" w:rsidRPr="002A2D4E">
        <w:rPr>
          <w:b w:val="0"/>
          <w:bCs/>
        </w:rPr>
        <w:t>Fideicomiso</w:t>
      </w:r>
      <w:r w:rsidR="00AA6311">
        <w:rPr>
          <w:b w:val="0"/>
          <w:bCs/>
        </w:rPr>
        <w:t xml:space="preserve"> relacionado en el N</w:t>
      </w:r>
      <w:r w:rsidRPr="002A2D4E">
        <w:rPr>
          <w:b w:val="0"/>
          <w:bCs/>
        </w:rPr>
        <w:t>umeral anterior</w:t>
      </w:r>
      <w:r w:rsidR="00BC55FE" w:rsidRPr="002A2D4E">
        <w:rPr>
          <w:b w:val="0"/>
          <w:bCs/>
        </w:rPr>
        <w:t xml:space="preserve"> quede </w:t>
      </w:r>
      <w:r w:rsidR="00E35B90" w:rsidRPr="002A2D4E">
        <w:rPr>
          <w:b w:val="0"/>
          <w:bCs/>
        </w:rPr>
        <w:t>activo</w:t>
      </w:r>
      <w:r w:rsidR="00BC55FE" w:rsidRPr="002A2D4E">
        <w:rPr>
          <w:b w:val="0"/>
          <w:bCs/>
        </w:rPr>
        <w:t>;</w:t>
      </w:r>
    </w:p>
    <w:p w:rsidR="00AA6311" w:rsidRDefault="004A32DE" w:rsidP="00AA6311">
      <w:pPr>
        <w:pStyle w:val="Ttulo8"/>
        <w:numPr>
          <w:ilvl w:val="0"/>
          <w:numId w:val="0"/>
        </w:numPr>
        <w:ind w:firstLine="2835"/>
        <w:rPr>
          <w:b w:val="0"/>
          <w:bCs/>
        </w:rPr>
      </w:pPr>
      <w:r w:rsidRPr="004A32DE">
        <w:rPr>
          <w:bCs/>
        </w:rPr>
        <w:t>3)</w:t>
      </w:r>
      <w:r>
        <w:rPr>
          <w:bCs/>
        </w:rPr>
        <w:t xml:space="preserve"> </w:t>
      </w:r>
      <w:r w:rsidRPr="004A32DE">
        <w:rPr>
          <w:b w:val="0"/>
          <w:bCs/>
        </w:rPr>
        <w:t>que</w:t>
      </w:r>
      <w:r w:rsidR="00397737">
        <w:rPr>
          <w:b w:val="0"/>
          <w:bCs/>
        </w:rPr>
        <w:t xml:space="preserve"> este Tribunal, </w:t>
      </w:r>
      <w:r w:rsidR="00486857">
        <w:rPr>
          <w:b w:val="0"/>
          <w:bCs/>
        </w:rPr>
        <w:t xml:space="preserve">por Resolución Nº 2201/17 aprobada </w:t>
      </w:r>
      <w:r w:rsidR="00AA6311">
        <w:rPr>
          <w:b w:val="0"/>
          <w:bCs/>
        </w:rPr>
        <w:t>en S</w:t>
      </w:r>
      <w:r w:rsidR="00397737">
        <w:rPr>
          <w:b w:val="0"/>
          <w:bCs/>
        </w:rPr>
        <w:t>esión de fecha 12/07/017, acordó observar e</w:t>
      </w:r>
      <w:r w:rsidR="00AA6311">
        <w:rPr>
          <w:b w:val="0"/>
          <w:bCs/>
        </w:rPr>
        <w:t>l gasto en virtud de que el Artículo</w:t>
      </w:r>
      <w:r w:rsidR="00397737">
        <w:rPr>
          <w:b w:val="0"/>
          <w:bCs/>
        </w:rPr>
        <w:t xml:space="preserve"> 12 del Pliego que rigió la convocatoria, en lo que refiere a dos </w:t>
      </w:r>
      <w:r w:rsidR="00397737">
        <w:rPr>
          <w:b w:val="0"/>
          <w:bCs/>
        </w:rPr>
        <w:lastRenderedPageBreak/>
        <w:t xml:space="preserve">de </w:t>
      </w:r>
      <w:r w:rsidR="00397737" w:rsidRPr="00397737">
        <w:rPr>
          <w:b w:val="0"/>
          <w:bCs/>
        </w:rPr>
        <w:t>los factores de evaluación</w:t>
      </w:r>
      <w:r w:rsidR="00397737">
        <w:rPr>
          <w:b w:val="0"/>
          <w:bCs/>
        </w:rPr>
        <w:t xml:space="preserve"> previstos </w:t>
      </w:r>
      <w:r w:rsidR="00397737" w:rsidRPr="00397737">
        <w:rPr>
          <w:b w:val="0"/>
          <w:bCs/>
        </w:rPr>
        <w:t>(Antecedentes y Calidad)</w:t>
      </w:r>
      <w:r w:rsidR="00397737">
        <w:rPr>
          <w:b w:val="0"/>
          <w:bCs/>
        </w:rPr>
        <w:t xml:space="preserve">, </w:t>
      </w:r>
      <w:r w:rsidR="00397737" w:rsidRPr="00397737">
        <w:rPr>
          <w:b w:val="0"/>
          <w:bCs/>
        </w:rPr>
        <w:t xml:space="preserve">no establece pautas objetivas para adjudicar el puntaje a cada oferta, </w:t>
      </w:r>
      <w:r w:rsidR="00397737">
        <w:rPr>
          <w:b w:val="0"/>
          <w:bCs/>
        </w:rPr>
        <w:t>apartándose de las previsiones del A</w:t>
      </w:r>
      <w:r w:rsidR="00397737" w:rsidRPr="00397737">
        <w:rPr>
          <w:b w:val="0"/>
          <w:bCs/>
        </w:rPr>
        <w:t>rt</w:t>
      </w:r>
      <w:r w:rsidR="00AA6311">
        <w:rPr>
          <w:b w:val="0"/>
          <w:bCs/>
        </w:rPr>
        <w:t>ículo</w:t>
      </w:r>
      <w:r w:rsidR="00397737" w:rsidRPr="00397737">
        <w:rPr>
          <w:b w:val="0"/>
          <w:bCs/>
        </w:rPr>
        <w:t xml:space="preserve"> 48 </w:t>
      </w:r>
      <w:r w:rsidR="00397737">
        <w:rPr>
          <w:b w:val="0"/>
          <w:bCs/>
        </w:rPr>
        <w:t>L</w:t>
      </w:r>
      <w:r w:rsidR="00397737" w:rsidRPr="00397737">
        <w:rPr>
          <w:b w:val="0"/>
          <w:bCs/>
        </w:rPr>
        <w:t>it</w:t>
      </w:r>
      <w:r w:rsidR="00AA6311">
        <w:rPr>
          <w:b w:val="0"/>
          <w:bCs/>
        </w:rPr>
        <w:t>eral</w:t>
      </w:r>
      <w:r w:rsidR="00397737" w:rsidRPr="00397737">
        <w:rPr>
          <w:b w:val="0"/>
          <w:bCs/>
        </w:rPr>
        <w:t xml:space="preserve"> C) del T</w:t>
      </w:r>
      <w:r w:rsidR="00397737">
        <w:rPr>
          <w:b w:val="0"/>
          <w:bCs/>
        </w:rPr>
        <w:t>.</w:t>
      </w:r>
      <w:r w:rsidR="00397737" w:rsidRPr="00397737">
        <w:rPr>
          <w:b w:val="0"/>
          <w:bCs/>
        </w:rPr>
        <w:t>O</w:t>
      </w:r>
      <w:r w:rsidR="00397737">
        <w:rPr>
          <w:b w:val="0"/>
          <w:bCs/>
        </w:rPr>
        <w:t>.</w:t>
      </w:r>
      <w:r w:rsidR="00397737" w:rsidRPr="00397737">
        <w:rPr>
          <w:b w:val="0"/>
          <w:bCs/>
        </w:rPr>
        <w:t>C</w:t>
      </w:r>
      <w:r w:rsidR="00397737">
        <w:rPr>
          <w:b w:val="0"/>
          <w:bCs/>
        </w:rPr>
        <w:t>.</w:t>
      </w:r>
      <w:r w:rsidR="00397737" w:rsidRPr="00397737">
        <w:rPr>
          <w:b w:val="0"/>
          <w:bCs/>
        </w:rPr>
        <w:t>A</w:t>
      </w:r>
      <w:r w:rsidR="00397737">
        <w:rPr>
          <w:b w:val="0"/>
          <w:bCs/>
        </w:rPr>
        <w:t>.</w:t>
      </w:r>
      <w:r w:rsidR="00397737" w:rsidRPr="00397737">
        <w:rPr>
          <w:b w:val="0"/>
          <w:bCs/>
        </w:rPr>
        <w:t>F</w:t>
      </w:r>
      <w:r w:rsidR="00397737">
        <w:rPr>
          <w:b w:val="0"/>
          <w:bCs/>
        </w:rPr>
        <w:t>.</w:t>
      </w:r>
      <w:r w:rsidR="00397737" w:rsidRPr="00397737">
        <w:rPr>
          <w:b w:val="0"/>
          <w:bCs/>
        </w:rPr>
        <w:t>;</w:t>
      </w:r>
    </w:p>
    <w:p w:rsidR="00AA6311" w:rsidRDefault="0063403F" w:rsidP="00AA6311">
      <w:pPr>
        <w:pStyle w:val="Ttulo8"/>
        <w:numPr>
          <w:ilvl w:val="0"/>
          <w:numId w:val="0"/>
        </w:numPr>
        <w:ind w:firstLine="2835"/>
        <w:rPr>
          <w:b w:val="0"/>
          <w:bCs/>
        </w:rPr>
      </w:pPr>
      <w:r w:rsidRPr="006924F6">
        <w:t xml:space="preserve">4) </w:t>
      </w:r>
      <w:r w:rsidRPr="006924F6">
        <w:rPr>
          <w:b w:val="0"/>
        </w:rPr>
        <w:t>que en esta oportunidad, mediante Resolución N</w:t>
      </w:r>
      <w:r w:rsidR="00AA6311">
        <w:rPr>
          <w:b w:val="0"/>
        </w:rPr>
        <w:t>°</w:t>
      </w:r>
      <w:r>
        <w:rPr>
          <w:b w:val="0"/>
        </w:rPr>
        <w:t xml:space="preserve">17/05477 de fecha 4/08/018, el Ejecutivo Departamental dispuso la reiteración del gasto emergente de la Licitación Pública PU 2016-6, para la adquisición de equipamientos urbano para la mejora de los servicios de limpieza pública, por el monto total de </w:t>
      </w:r>
      <w:r>
        <w:rPr>
          <w:b w:val="0"/>
          <w:bCs/>
        </w:rPr>
        <w:t>U$S 2:701.649 conforme con lo dispuesto oportunamente por la resolución de adjudicación (Resultando 2.1), alegando necesida</w:t>
      </w:r>
      <w:r w:rsidR="00AA6311">
        <w:rPr>
          <w:b w:val="0"/>
          <w:bCs/>
        </w:rPr>
        <w:t>des impostergables de servicio;</w:t>
      </w:r>
    </w:p>
    <w:p w:rsidR="00CB7756" w:rsidRDefault="00D71541" w:rsidP="00CB7756">
      <w:pPr>
        <w:pStyle w:val="Ttulo8"/>
        <w:numPr>
          <w:ilvl w:val="0"/>
          <w:numId w:val="0"/>
        </w:numPr>
        <w:ind w:firstLine="851"/>
        <w:rPr>
          <w:rFonts w:eastAsia="Calibri"/>
          <w:b w:val="0"/>
          <w:color w:val="auto"/>
          <w:spacing w:val="-3"/>
          <w:szCs w:val="24"/>
          <w:lang w:eastAsia="en-US"/>
        </w:rPr>
      </w:pPr>
      <w:r w:rsidRPr="002B706C">
        <w:rPr>
          <w:bCs/>
        </w:rPr>
        <w:t>CONSIDERANDO:</w:t>
      </w:r>
      <w:r w:rsidR="00CA6B09" w:rsidRPr="002B706C">
        <w:rPr>
          <w:b w:val="0"/>
          <w:bCs/>
        </w:rPr>
        <w:t xml:space="preserve"> </w:t>
      </w:r>
      <w:r w:rsidR="00CA6B09" w:rsidRPr="002B706C">
        <w:rPr>
          <w:bCs/>
        </w:rPr>
        <w:t>1)</w:t>
      </w:r>
      <w:r w:rsidR="00CA6B09" w:rsidRPr="002B706C">
        <w:rPr>
          <w:b w:val="0"/>
          <w:bCs/>
        </w:rPr>
        <w:t xml:space="preserve"> </w:t>
      </w:r>
      <w:r w:rsidR="002B706C" w:rsidRPr="002B706C">
        <w:rPr>
          <w:rFonts w:eastAsia="Calibri"/>
          <w:b w:val="0"/>
          <w:color w:val="auto"/>
          <w:spacing w:val="-3"/>
          <w:szCs w:val="24"/>
          <w:lang w:eastAsia="en-US"/>
        </w:rPr>
        <w:t xml:space="preserve">que la Ley </w:t>
      </w:r>
      <w:r w:rsidR="00AA6311">
        <w:rPr>
          <w:rFonts w:eastAsia="Calibri"/>
          <w:b w:val="0"/>
          <w:color w:val="auto"/>
          <w:spacing w:val="-3"/>
          <w:szCs w:val="24"/>
          <w:lang w:eastAsia="en-US"/>
        </w:rPr>
        <w:t>Nº 17.296, en su Artículo</w:t>
      </w:r>
      <w:r w:rsidR="00486857">
        <w:rPr>
          <w:rFonts w:eastAsia="Calibri"/>
          <w:b w:val="0"/>
          <w:color w:val="auto"/>
          <w:spacing w:val="-3"/>
          <w:szCs w:val="24"/>
          <w:lang w:eastAsia="en-US"/>
        </w:rPr>
        <w:t xml:space="preserve"> </w:t>
      </w:r>
      <w:r w:rsidR="002B706C" w:rsidRPr="002B706C">
        <w:rPr>
          <w:rFonts w:eastAsia="Calibri"/>
          <w:b w:val="0"/>
          <w:color w:val="auto"/>
          <w:spacing w:val="-3"/>
          <w:szCs w:val="24"/>
          <w:lang w:eastAsia="en-US"/>
        </w:rPr>
        <w:t>475, establece que los Ordenadores de gastos y pagos, al ejercer la facultad de insistencia o rei</w:t>
      </w:r>
      <w:r w:rsidR="00AA6311">
        <w:rPr>
          <w:rFonts w:eastAsia="Calibri"/>
          <w:b w:val="0"/>
          <w:color w:val="auto"/>
          <w:spacing w:val="-3"/>
          <w:szCs w:val="24"/>
          <w:lang w:eastAsia="en-US"/>
        </w:rPr>
        <w:t>teración que les acuerda el Literal</w:t>
      </w:r>
      <w:r w:rsidR="002B706C" w:rsidRPr="002B706C">
        <w:rPr>
          <w:rFonts w:eastAsia="Calibri"/>
          <w:b w:val="0"/>
          <w:color w:val="auto"/>
          <w:spacing w:val="-3"/>
          <w:szCs w:val="24"/>
          <w:lang w:eastAsia="en-US"/>
        </w:rPr>
        <w:t xml:space="preserve"> B) del Art</w:t>
      </w:r>
      <w:r w:rsidR="00AA6311">
        <w:rPr>
          <w:rFonts w:eastAsia="Calibri"/>
          <w:b w:val="0"/>
          <w:color w:val="auto"/>
          <w:spacing w:val="-3"/>
          <w:szCs w:val="24"/>
          <w:lang w:eastAsia="en-US"/>
        </w:rPr>
        <w:t>ículo</w:t>
      </w:r>
      <w:r w:rsidR="002B706C" w:rsidRPr="002B706C">
        <w:rPr>
          <w:rFonts w:eastAsia="Calibri"/>
          <w:b w:val="0"/>
          <w:color w:val="auto"/>
          <w:spacing w:val="-3"/>
          <w:szCs w:val="24"/>
          <w:lang w:eastAsia="en-US"/>
        </w:rPr>
        <w:t xml:space="preserve"> 211 de la Constitución de la República, deben hacerlo en forma fundada,  expresando de manera detallada los motivos que justifican a su juicio seguir el curso del gasto;</w:t>
      </w:r>
    </w:p>
    <w:p w:rsidR="00571714" w:rsidRDefault="002B706C" w:rsidP="00CB7756">
      <w:pPr>
        <w:pStyle w:val="Ttulo8"/>
        <w:numPr>
          <w:ilvl w:val="0"/>
          <w:numId w:val="0"/>
        </w:numPr>
        <w:ind w:firstLine="3119"/>
        <w:rPr>
          <w:rFonts w:eastAsia="Calibri"/>
          <w:b w:val="0"/>
          <w:color w:val="auto"/>
          <w:spacing w:val="-3"/>
          <w:szCs w:val="24"/>
          <w:lang w:eastAsia="en-US"/>
        </w:rPr>
      </w:pPr>
      <w:r w:rsidRPr="002B706C">
        <w:rPr>
          <w:rFonts w:eastAsia="Calibri"/>
          <w:color w:val="auto"/>
          <w:spacing w:val="-3"/>
          <w:szCs w:val="24"/>
          <w:lang w:eastAsia="en-US"/>
        </w:rPr>
        <w:t>2)</w:t>
      </w:r>
      <w:r w:rsidRPr="002B706C">
        <w:rPr>
          <w:rFonts w:eastAsia="Calibri"/>
          <w:b w:val="0"/>
          <w:color w:val="auto"/>
          <w:spacing w:val="-3"/>
          <w:szCs w:val="24"/>
          <w:lang w:eastAsia="en-US"/>
        </w:rPr>
        <w:t xml:space="preserve"> que</w:t>
      </w:r>
      <w:r w:rsidR="00486857">
        <w:rPr>
          <w:rFonts w:eastAsia="Calibri"/>
          <w:b w:val="0"/>
          <w:color w:val="auto"/>
          <w:spacing w:val="-3"/>
          <w:szCs w:val="24"/>
          <w:lang w:eastAsia="en-US"/>
        </w:rPr>
        <w:t xml:space="preserve"> las razones alegadas por la Administración al reiterar el gasto refieren a la oportunidad o conveniencia, por lo</w:t>
      </w:r>
      <w:r w:rsidRPr="002B706C">
        <w:rPr>
          <w:rFonts w:eastAsia="Calibri"/>
          <w:b w:val="0"/>
          <w:color w:val="auto"/>
          <w:spacing w:val="-3"/>
          <w:szCs w:val="24"/>
          <w:lang w:eastAsia="en-US"/>
        </w:rPr>
        <w:t xml:space="preserve"> </w:t>
      </w:r>
      <w:r w:rsidR="00394933">
        <w:rPr>
          <w:rFonts w:eastAsia="Calibri"/>
          <w:b w:val="0"/>
          <w:color w:val="auto"/>
          <w:spacing w:val="-3"/>
          <w:szCs w:val="24"/>
          <w:lang w:eastAsia="en-US"/>
        </w:rPr>
        <w:t xml:space="preserve">que </w:t>
      </w:r>
      <w:bookmarkStart w:id="0" w:name="_GoBack"/>
      <w:bookmarkEnd w:id="0"/>
      <w:r w:rsidRPr="002B706C">
        <w:rPr>
          <w:rFonts w:eastAsia="Calibri"/>
          <w:b w:val="0"/>
          <w:color w:val="auto"/>
          <w:spacing w:val="-3"/>
          <w:szCs w:val="24"/>
          <w:lang w:eastAsia="en-US"/>
        </w:rPr>
        <w:t xml:space="preserve">se mantienen incambiadas las causales </w:t>
      </w:r>
      <w:r w:rsidR="00571714">
        <w:rPr>
          <w:rFonts w:eastAsia="Calibri"/>
          <w:b w:val="0"/>
          <w:color w:val="auto"/>
          <w:spacing w:val="-3"/>
          <w:szCs w:val="24"/>
          <w:lang w:eastAsia="en-US"/>
        </w:rPr>
        <w:t>de</w:t>
      </w:r>
      <w:r w:rsidR="00486857">
        <w:rPr>
          <w:rFonts w:eastAsia="Calibri"/>
          <w:b w:val="0"/>
          <w:color w:val="auto"/>
          <w:spacing w:val="-3"/>
          <w:szCs w:val="24"/>
          <w:lang w:eastAsia="en-US"/>
        </w:rPr>
        <w:t xml:space="preserve"> la o</w:t>
      </w:r>
      <w:r w:rsidRPr="002B706C">
        <w:rPr>
          <w:rFonts w:eastAsia="Calibri"/>
          <w:b w:val="0"/>
          <w:color w:val="auto"/>
          <w:spacing w:val="-3"/>
          <w:szCs w:val="24"/>
          <w:lang w:eastAsia="en-US"/>
        </w:rPr>
        <w:t xml:space="preserve">bservación </w:t>
      </w:r>
      <w:r w:rsidR="00486857">
        <w:rPr>
          <w:rFonts w:eastAsia="Calibri"/>
          <w:b w:val="0"/>
          <w:color w:val="auto"/>
          <w:spacing w:val="-3"/>
          <w:szCs w:val="24"/>
          <w:lang w:eastAsia="en-US"/>
        </w:rPr>
        <w:t>formulada por Resolución Nº2201/17  de fecha 12/07/017;</w:t>
      </w:r>
    </w:p>
    <w:p w:rsidR="00D71541" w:rsidRDefault="00D71541" w:rsidP="00CB7756">
      <w:pPr>
        <w:pStyle w:val="Ttulo"/>
        <w:ind w:firstLine="851"/>
        <w:jc w:val="both"/>
        <w:rPr>
          <w:b w:val="0"/>
          <w:bCs/>
          <w:u w:val="none"/>
        </w:rPr>
      </w:pPr>
      <w:r w:rsidRPr="00073FF7">
        <w:rPr>
          <w:u w:val="none"/>
        </w:rPr>
        <w:t xml:space="preserve">ATENTO: </w:t>
      </w:r>
      <w:r w:rsidRPr="00073FF7">
        <w:rPr>
          <w:b w:val="0"/>
          <w:bCs/>
          <w:u w:val="none"/>
        </w:rPr>
        <w:t xml:space="preserve">a lo precedentemente expuesto </w:t>
      </w:r>
      <w:r w:rsidRPr="00D0662C">
        <w:rPr>
          <w:b w:val="0"/>
          <w:bCs/>
          <w:u w:val="none"/>
        </w:rPr>
        <w:t>y a lo establecido en el Art</w:t>
      </w:r>
      <w:r w:rsidR="00CB7756">
        <w:rPr>
          <w:b w:val="0"/>
          <w:bCs/>
          <w:u w:val="none"/>
        </w:rPr>
        <w:t>ículo</w:t>
      </w:r>
      <w:r w:rsidRPr="00D0662C">
        <w:rPr>
          <w:b w:val="0"/>
          <w:bCs/>
          <w:u w:val="none"/>
        </w:rPr>
        <w:t xml:space="preserve"> 211 </w:t>
      </w:r>
      <w:r w:rsidR="00D0662C">
        <w:rPr>
          <w:b w:val="0"/>
          <w:bCs/>
          <w:u w:val="none"/>
        </w:rPr>
        <w:t>L</w:t>
      </w:r>
      <w:r w:rsidRPr="00D0662C">
        <w:rPr>
          <w:b w:val="0"/>
          <w:bCs/>
          <w:u w:val="none"/>
        </w:rPr>
        <w:t>it</w:t>
      </w:r>
      <w:r w:rsidR="00CB7756">
        <w:rPr>
          <w:b w:val="0"/>
          <w:bCs/>
          <w:u w:val="none"/>
        </w:rPr>
        <w:t>eral</w:t>
      </w:r>
      <w:r w:rsidRPr="00D0662C">
        <w:rPr>
          <w:b w:val="0"/>
          <w:bCs/>
          <w:u w:val="none"/>
        </w:rPr>
        <w:t xml:space="preserve"> B) d</w:t>
      </w:r>
      <w:r w:rsidRPr="00D0662C">
        <w:rPr>
          <w:b w:val="0"/>
          <w:bCs/>
          <w:i/>
          <w:u w:val="none"/>
        </w:rPr>
        <w:t>e</w:t>
      </w:r>
      <w:r w:rsidRPr="00D0662C">
        <w:rPr>
          <w:b w:val="0"/>
          <w:bCs/>
          <w:u w:val="none"/>
        </w:rPr>
        <w:t xml:space="preserve"> la Constitución de la República;</w:t>
      </w:r>
    </w:p>
    <w:p w:rsidR="00D71541" w:rsidRPr="00073FF7" w:rsidRDefault="00D71541">
      <w:pPr>
        <w:pStyle w:val="Ttulo2"/>
        <w:spacing w:line="360" w:lineRule="auto"/>
        <w:rPr>
          <w:lang w:val="es-UY"/>
        </w:rPr>
      </w:pPr>
      <w:r w:rsidRPr="00073FF7">
        <w:rPr>
          <w:lang w:val="es-UY"/>
        </w:rPr>
        <w:t>EL TRIBUNAL ACUERDA</w:t>
      </w:r>
    </w:p>
    <w:p w:rsidR="00F33FB3" w:rsidRPr="00F33FB3" w:rsidRDefault="00F33FB3" w:rsidP="00CB7756">
      <w:pPr>
        <w:pStyle w:val="Ttulo4"/>
        <w:numPr>
          <w:ilvl w:val="0"/>
          <w:numId w:val="29"/>
        </w:numPr>
        <w:ind w:left="284" w:hanging="284"/>
        <w:rPr>
          <w:u w:val="none"/>
        </w:rPr>
      </w:pPr>
      <w:r w:rsidRPr="00F33FB3">
        <w:rPr>
          <w:u w:val="none"/>
        </w:rPr>
        <w:t xml:space="preserve">Mantener la observación del gasto formulada </w:t>
      </w:r>
      <w:r w:rsidR="00486857">
        <w:rPr>
          <w:u w:val="none"/>
        </w:rPr>
        <w:t>por este Tribunal por Resolución Nº 2201/17</w:t>
      </w:r>
      <w:r w:rsidRPr="00F33FB3">
        <w:rPr>
          <w:u w:val="none"/>
        </w:rPr>
        <w:t xml:space="preserve"> fecha </w:t>
      </w:r>
      <w:r>
        <w:rPr>
          <w:u w:val="none"/>
        </w:rPr>
        <w:t>1</w:t>
      </w:r>
      <w:r w:rsidRPr="00F33FB3">
        <w:rPr>
          <w:u w:val="none"/>
        </w:rPr>
        <w:t>2</w:t>
      </w:r>
      <w:r>
        <w:rPr>
          <w:u w:val="none"/>
        </w:rPr>
        <w:t>/07/017</w:t>
      </w:r>
      <w:r w:rsidRPr="00F33FB3">
        <w:rPr>
          <w:u w:val="none"/>
        </w:rPr>
        <w:t>;</w:t>
      </w:r>
    </w:p>
    <w:p w:rsidR="00F33FB3" w:rsidRPr="00F33FB3" w:rsidRDefault="00F33FB3" w:rsidP="00CB7756">
      <w:pPr>
        <w:pStyle w:val="Ttulo4"/>
        <w:numPr>
          <w:ilvl w:val="0"/>
          <w:numId w:val="29"/>
        </w:numPr>
        <w:ind w:left="284" w:hanging="284"/>
        <w:rPr>
          <w:u w:val="none"/>
        </w:rPr>
      </w:pPr>
      <w:r w:rsidRPr="00F33FB3">
        <w:rPr>
          <w:u w:val="none"/>
        </w:rPr>
        <w:t xml:space="preserve">Dar cuenta a la Junta Departamental de Canelones; y </w:t>
      </w:r>
    </w:p>
    <w:p w:rsidR="00CB7756" w:rsidRPr="00CB7756" w:rsidRDefault="00F33FB3" w:rsidP="00CB7756">
      <w:pPr>
        <w:pStyle w:val="Ttulo4"/>
        <w:numPr>
          <w:ilvl w:val="0"/>
          <w:numId w:val="29"/>
        </w:numPr>
        <w:ind w:left="284" w:hanging="284"/>
        <w:rPr>
          <w:b/>
          <w:bCs w:val="0"/>
        </w:rPr>
      </w:pPr>
      <w:r w:rsidRPr="00F33FB3">
        <w:rPr>
          <w:u w:val="none"/>
        </w:rPr>
        <w:t xml:space="preserve"> </w:t>
      </w:r>
      <w:r>
        <w:rPr>
          <w:u w:val="none"/>
        </w:rPr>
        <w:t>C</w:t>
      </w:r>
      <w:r w:rsidRPr="00F33FB3">
        <w:rPr>
          <w:u w:val="none"/>
        </w:rPr>
        <w:t xml:space="preserve">omunicar a la </w:t>
      </w:r>
      <w:r>
        <w:rPr>
          <w:u w:val="none"/>
        </w:rPr>
        <w:t xml:space="preserve">Contadora Delegada ante la </w:t>
      </w:r>
      <w:r w:rsidRPr="00F33FB3">
        <w:rPr>
          <w:u w:val="none"/>
        </w:rPr>
        <w:t>Intendencia de Canelones</w:t>
      </w:r>
      <w:r>
        <w:rPr>
          <w:u w:val="none"/>
        </w:rPr>
        <w:t xml:space="preserve"> y a la </w:t>
      </w:r>
      <w:r w:rsidRPr="00F33FB3">
        <w:rPr>
          <w:u w:val="none"/>
        </w:rPr>
        <w:t>Intendencia de Canelones</w:t>
      </w:r>
      <w:r>
        <w:rPr>
          <w:u w:val="none"/>
        </w:rPr>
        <w:t>.</w:t>
      </w:r>
    </w:p>
    <w:p w:rsidR="00CB7756" w:rsidRDefault="00CB7756" w:rsidP="00CB7756">
      <w:pPr>
        <w:pStyle w:val="Ttulo4"/>
        <w:rPr>
          <w:u w:val="none"/>
        </w:rPr>
      </w:pPr>
    </w:p>
    <w:p w:rsidR="00D71541" w:rsidRDefault="00CB7756" w:rsidP="00CB7756">
      <w:pPr>
        <w:pStyle w:val="Ttulo4"/>
        <w:ind w:hanging="426"/>
        <w:rPr>
          <w:b/>
          <w:bCs w:val="0"/>
        </w:rPr>
      </w:pPr>
      <w:proofErr w:type="gramStart"/>
      <w:r>
        <w:rPr>
          <w:u w:val="none"/>
        </w:rPr>
        <w:t>dc</w:t>
      </w:r>
      <w:proofErr w:type="gramEnd"/>
      <w:r>
        <w:rPr>
          <w:b/>
          <w:bCs w:val="0"/>
        </w:rPr>
        <w:t xml:space="preserve"> </w:t>
      </w:r>
    </w:p>
    <w:sectPr w:rsidR="00D71541" w:rsidSect="00394933">
      <w:pgSz w:w="11906" w:h="16838" w:code="9"/>
      <w:pgMar w:top="3119" w:right="1701" w:bottom="1701" w:left="1701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5EDE"/>
    <w:multiLevelType w:val="hybridMultilevel"/>
    <w:tmpl w:val="78025BB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17405B"/>
    <w:multiLevelType w:val="hybridMultilevel"/>
    <w:tmpl w:val="4A7CDC86"/>
    <w:lvl w:ilvl="0" w:tplc="AED2305A">
      <w:start w:val="8"/>
      <w:numFmt w:val="upperRoman"/>
      <w:lvlText w:val="%1.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17C64EAA"/>
    <w:multiLevelType w:val="hybridMultilevel"/>
    <w:tmpl w:val="E64A4F58"/>
    <w:lvl w:ilvl="0" w:tplc="3D02DA00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3D259F"/>
    <w:multiLevelType w:val="hybridMultilevel"/>
    <w:tmpl w:val="0BC8710A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2063328A"/>
    <w:multiLevelType w:val="hybridMultilevel"/>
    <w:tmpl w:val="D27EE61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E94DB4"/>
    <w:multiLevelType w:val="hybridMultilevel"/>
    <w:tmpl w:val="78025BB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FA6EEB"/>
    <w:multiLevelType w:val="hybridMultilevel"/>
    <w:tmpl w:val="BFA6D1B6"/>
    <w:lvl w:ilvl="0" w:tplc="FC142EB8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25BA15C3"/>
    <w:multiLevelType w:val="hybridMultilevel"/>
    <w:tmpl w:val="119868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9C1EAF"/>
    <w:multiLevelType w:val="hybridMultilevel"/>
    <w:tmpl w:val="D27EE614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69112B"/>
    <w:multiLevelType w:val="hybridMultilevel"/>
    <w:tmpl w:val="41DCE4DA"/>
    <w:lvl w:ilvl="0" w:tplc="BDE8097C">
      <w:start w:val="8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44E5CAC"/>
    <w:multiLevelType w:val="hybridMultilevel"/>
    <w:tmpl w:val="33E2C458"/>
    <w:lvl w:ilvl="0" w:tplc="11960A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133A09"/>
    <w:multiLevelType w:val="hybridMultilevel"/>
    <w:tmpl w:val="10CCD0DE"/>
    <w:lvl w:ilvl="0" w:tplc="CFD6BCB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0829DF"/>
    <w:multiLevelType w:val="hybridMultilevel"/>
    <w:tmpl w:val="78025BB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92482D"/>
    <w:multiLevelType w:val="hybridMultilevel"/>
    <w:tmpl w:val="5A40D7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CD0BA3"/>
    <w:multiLevelType w:val="hybridMultilevel"/>
    <w:tmpl w:val="2FAC58B6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5BCF680E"/>
    <w:multiLevelType w:val="multilevel"/>
    <w:tmpl w:val="6AD4E0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618906A6"/>
    <w:multiLevelType w:val="hybridMultilevel"/>
    <w:tmpl w:val="C62640B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C16B4B"/>
    <w:multiLevelType w:val="hybridMultilevel"/>
    <w:tmpl w:val="D95C4090"/>
    <w:lvl w:ilvl="0" w:tplc="C4BCE344">
      <w:numFmt w:val="bullet"/>
      <w:lvlText w:val="-"/>
      <w:lvlJc w:val="left"/>
      <w:pPr>
        <w:tabs>
          <w:tab w:val="num" w:pos="870"/>
        </w:tabs>
        <w:ind w:left="870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>
    <w:nsid w:val="66AF2246"/>
    <w:multiLevelType w:val="hybridMultilevel"/>
    <w:tmpl w:val="E0F807A6"/>
    <w:lvl w:ilvl="0" w:tplc="BCC66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0C56DF"/>
    <w:multiLevelType w:val="singleLevel"/>
    <w:tmpl w:val="70E2E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F0F6148"/>
    <w:multiLevelType w:val="hybridMultilevel"/>
    <w:tmpl w:val="A4CEDA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6C36E09"/>
    <w:multiLevelType w:val="hybridMultilevel"/>
    <w:tmpl w:val="EA7ADE36"/>
    <w:lvl w:ilvl="0" w:tplc="0B482488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A30C8D"/>
    <w:multiLevelType w:val="hybridMultilevel"/>
    <w:tmpl w:val="5442ED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AC53D75"/>
    <w:multiLevelType w:val="hybridMultilevel"/>
    <w:tmpl w:val="F4502AE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B292EB6"/>
    <w:multiLevelType w:val="hybridMultilevel"/>
    <w:tmpl w:val="4BDC86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16"/>
  </w:num>
  <w:num w:numId="7">
    <w:abstractNumId w:val="19"/>
  </w:num>
  <w:num w:numId="8">
    <w:abstractNumId w:val="9"/>
  </w:num>
  <w:num w:numId="9">
    <w:abstractNumId w:val="5"/>
  </w:num>
  <w:num w:numId="10">
    <w:abstractNumId w:val="15"/>
  </w:num>
  <w:num w:numId="11">
    <w:abstractNumId w:val="22"/>
  </w:num>
  <w:num w:numId="12">
    <w:abstractNumId w:val="24"/>
  </w:num>
  <w:num w:numId="13">
    <w:abstractNumId w:val="26"/>
  </w:num>
  <w:num w:numId="14">
    <w:abstractNumId w:val="8"/>
  </w:num>
  <w:num w:numId="15">
    <w:abstractNumId w:val="18"/>
  </w:num>
  <w:num w:numId="16">
    <w:abstractNumId w:val="20"/>
  </w:num>
  <w:num w:numId="17">
    <w:abstractNumId w:val="23"/>
  </w:num>
  <w:num w:numId="18">
    <w:abstractNumId w:val="12"/>
  </w:num>
  <w:num w:numId="19">
    <w:abstractNumId w:val="13"/>
  </w:num>
  <w:num w:numId="20">
    <w:abstractNumId w:val="10"/>
  </w:num>
  <w:num w:numId="21">
    <w:abstractNumId w:val="2"/>
  </w:num>
  <w:num w:numId="22">
    <w:abstractNumId w:val="1"/>
  </w:num>
  <w:num w:numId="23">
    <w:abstractNumId w:val="13"/>
    <w:lvlOverride w:ilvl="0">
      <w:startOverride w:val="9"/>
    </w:lvlOverride>
  </w:num>
  <w:num w:numId="24">
    <w:abstractNumId w:val="0"/>
  </w:num>
  <w:num w:numId="25">
    <w:abstractNumId w:val="13"/>
    <w:lvlOverride w:ilvl="0">
      <w:startOverride w:val="1"/>
    </w:lvlOverride>
  </w:num>
  <w:num w:numId="26">
    <w:abstractNumId w:val="6"/>
  </w:num>
  <w:num w:numId="27">
    <w:abstractNumId w:val="14"/>
  </w:num>
  <w:num w:numId="28">
    <w:abstractNumId w:val="3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2B5"/>
    <w:rsid w:val="00030659"/>
    <w:rsid w:val="0003304C"/>
    <w:rsid w:val="00033E4E"/>
    <w:rsid w:val="000367DC"/>
    <w:rsid w:val="00041AEF"/>
    <w:rsid w:val="00073FF7"/>
    <w:rsid w:val="000753BE"/>
    <w:rsid w:val="000807A2"/>
    <w:rsid w:val="000843FA"/>
    <w:rsid w:val="000C3515"/>
    <w:rsid w:val="000C7CD4"/>
    <w:rsid w:val="00103D72"/>
    <w:rsid w:val="00145386"/>
    <w:rsid w:val="00153EAA"/>
    <w:rsid w:val="001E1660"/>
    <w:rsid w:val="00215506"/>
    <w:rsid w:val="002172C8"/>
    <w:rsid w:val="00221D15"/>
    <w:rsid w:val="0022674B"/>
    <w:rsid w:val="00247AC2"/>
    <w:rsid w:val="002538FF"/>
    <w:rsid w:val="00255E8E"/>
    <w:rsid w:val="0026752E"/>
    <w:rsid w:val="00276654"/>
    <w:rsid w:val="002817B9"/>
    <w:rsid w:val="0028749F"/>
    <w:rsid w:val="0029776B"/>
    <w:rsid w:val="002A2D4E"/>
    <w:rsid w:val="002A53D6"/>
    <w:rsid w:val="002A5D49"/>
    <w:rsid w:val="002B706C"/>
    <w:rsid w:val="002C08B6"/>
    <w:rsid w:val="002D16D0"/>
    <w:rsid w:val="002F6C66"/>
    <w:rsid w:val="003418E4"/>
    <w:rsid w:val="00357C56"/>
    <w:rsid w:val="00370AE9"/>
    <w:rsid w:val="00380750"/>
    <w:rsid w:val="00381082"/>
    <w:rsid w:val="00394933"/>
    <w:rsid w:val="00397737"/>
    <w:rsid w:val="003A3DBE"/>
    <w:rsid w:val="003A4D98"/>
    <w:rsid w:val="003B55FD"/>
    <w:rsid w:val="003B7EDC"/>
    <w:rsid w:val="00424813"/>
    <w:rsid w:val="004252C4"/>
    <w:rsid w:val="004400E6"/>
    <w:rsid w:val="0045600B"/>
    <w:rsid w:val="0046638C"/>
    <w:rsid w:val="004756BD"/>
    <w:rsid w:val="0047777E"/>
    <w:rsid w:val="004852D6"/>
    <w:rsid w:val="00486857"/>
    <w:rsid w:val="0049383C"/>
    <w:rsid w:val="004A32DE"/>
    <w:rsid w:val="004C7612"/>
    <w:rsid w:val="004C7AE3"/>
    <w:rsid w:val="004F5404"/>
    <w:rsid w:val="005009AF"/>
    <w:rsid w:val="00511625"/>
    <w:rsid w:val="005139E8"/>
    <w:rsid w:val="00531AC9"/>
    <w:rsid w:val="00544907"/>
    <w:rsid w:val="00555170"/>
    <w:rsid w:val="00571714"/>
    <w:rsid w:val="00572381"/>
    <w:rsid w:val="00586633"/>
    <w:rsid w:val="0058773D"/>
    <w:rsid w:val="005B102A"/>
    <w:rsid w:val="005C614C"/>
    <w:rsid w:val="005C67C0"/>
    <w:rsid w:val="005E1B90"/>
    <w:rsid w:val="005F7153"/>
    <w:rsid w:val="00613162"/>
    <w:rsid w:val="00622F2A"/>
    <w:rsid w:val="0063403F"/>
    <w:rsid w:val="00641177"/>
    <w:rsid w:val="006412FE"/>
    <w:rsid w:val="006531AD"/>
    <w:rsid w:val="006760ED"/>
    <w:rsid w:val="00687E64"/>
    <w:rsid w:val="006924F6"/>
    <w:rsid w:val="006B5E06"/>
    <w:rsid w:val="00721404"/>
    <w:rsid w:val="00722B0A"/>
    <w:rsid w:val="00736BEB"/>
    <w:rsid w:val="007B7B7A"/>
    <w:rsid w:val="007C203F"/>
    <w:rsid w:val="007F7E40"/>
    <w:rsid w:val="00800116"/>
    <w:rsid w:val="008057A5"/>
    <w:rsid w:val="00810780"/>
    <w:rsid w:val="0081088B"/>
    <w:rsid w:val="00823552"/>
    <w:rsid w:val="00825C11"/>
    <w:rsid w:val="0082793F"/>
    <w:rsid w:val="0083138D"/>
    <w:rsid w:val="0084090C"/>
    <w:rsid w:val="00846D56"/>
    <w:rsid w:val="00851000"/>
    <w:rsid w:val="00857B93"/>
    <w:rsid w:val="00862C9E"/>
    <w:rsid w:val="00867FD9"/>
    <w:rsid w:val="008A5111"/>
    <w:rsid w:val="008C1792"/>
    <w:rsid w:val="00912552"/>
    <w:rsid w:val="009200EF"/>
    <w:rsid w:val="009573E0"/>
    <w:rsid w:val="0096199C"/>
    <w:rsid w:val="00977744"/>
    <w:rsid w:val="00996B9D"/>
    <w:rsid w:val="0099710B"/>
    <w:rsid w:val="009B5592"/>
    <w:rsid w:val="009D016A"/>
    <w:rsid w:val="009E1E03"/>
    <w:rsid w:val="009F77FA"/>
    <w:rsid w:val="009F7A21"/>
    <w:rsid w:val="00A175B6"/>
    <w:rsid w:val="00A21B1E"/>
    <w:rsid w:val="00A22E53"/>
    <w:rsid w:val="00A355AE"/>
    <w:rsid w:val="00A5095A"/>
    <w:rsid w:val="00A84A70"/>
    <w:rsid w:val="00AA6311"/>
    <w:rsid w:val="00AD739F"/>
    <w:rsid w:val="00AF3FAC"/>
    <w:rsid w:val="00B21C4D"/>
    <w:rsid w:val="00B2365B"/>
    <w:rsid w:val="00B30A67"/>
    <w:rsid w:val="00B34AD6"/>
    <w:rsid w:val="00B472B5"/>
    <w:rsid w:val="00B558A7"/>
    <w:rsid w:val="00B67822"/>
    <w:rsid w:val="00B80643"/>
    <w:rsid w:val="00B912D5"/>
    <w:rsid w:val="00B95DBE"/>
    <w:rsid w:val="00BA56D3"/>
    <w:rsid w:val="00BC4A31"/>
    <w:rsid w:val="00BC55FE"/>
    <w:rsid w:val="00BC67AD"/>
    <w:rsid w:val="00BE53AE"/>
    <w:rsid w:val="00BF13F3"/>
    <w:rsid w:val="00C06AB7"/>
    <w:rsid w:val="00C2288F"/>
    <w:rsid w:val="00C41FA8"/>
    <w:rsid w:val="00C53D04"/>
    <w:rsid w:val="00C6499B"/>
    <w:rsid w:val="00C67E33"/>
    <w:rsid w:val="00C74518"/>
    <w:rsid w:val="00C7652B"/>
    <w:rsid w:val="00C8657C"/>
    <w:rsid w:val="00C92816"/>
    <w:rsid w:val="00CA6B09"/>
    <w:rsid w:val="00CB7756"/>
    <w:rsid w:val="00D0662C"/>
    <w:rsid w:val="00D10416"/>
    <w:rsid w:val="00D120C7"/>
    <w:rsid w:val="00D46623"/>
    <w:rsid w:val="00D519E1"/>
    <w:rsid w:val="00D5772F"/>
    <w:rsid w:val="00D6358B"/>
    <w:rsid w:val="00D71541"/>
    <w:rsid w:val="00D81917"/>
    <w:rsid w:val="00D87F22"/>
    <w:rsid w:val="00DC293A"/>
    <w:rsid w:val="00DF290B"/>
    <w:rsid w:val="00DF651D"/>
    <w:rsid w:val="00E11758"/>
    <w:rsid w:val="00E35B90"/>
    <w:rsid w:val="00E4192B"/>
    <w:rsid w:val="00E74804"/>
    <w:rsid w:val="00E835D5"/>
    <w:rsid w:val="00E8655F"/>
    <w:rsid w:val="00EB3438"/>
    <w:rsid w:val="00EB344F"/>
    <w:rsid w:val="00EC2DEE"/>
    <w:rsid w:val="00EF2C6C"/>
    <w:rsid w:val="00F05BA2"/>
    <w:rsid w:val="00F13343"/>
    <w:rsid w:val="00F13D47"/>
    <w:rsid w:val="00F16B8B"/>
    <w:rsid w:val="00F305F2"/>
    <w:rsid w:val="00F33FB3"/>
    <w:rsid w:val="00F37A83"/>
    <w:rsid w:val="00F43E89"/>
    <w:rsid w:val="00F8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/>
      <w:b/>
      <w:color w:val="000000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Cs/>
      <w:color w:val="auto"/>
      <w:szCs w:val="24"/>
      <w:lang w:val="es-ES_tradnl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/>
      <w:u w:val="single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lladoNotar-FtoPrrafo">
    <w:name w:val="Sellado Notar.-Fto.Párrafo."/>
    <w:pPr>
      <w:spacing w:line="546" w:lineRule="exact"/>
      <w:jc w:val="both"/>
    </w:pPr>
    <w:rPr>
      <w:rFonts w:ascii="GothicPS" w:hAnsi="GothicPS"/>
      <w:sz w:val="24"/>
      <w:lang w:val="es-ES_tradnl"/>
    </w:rPr>
  </w:style>
  <w:style w:type="paragraph" w:customStyle="1" w:styleId="Florete-FtoPrrafo">
    <w:name w:val="Florete-Fto.Párrafo."/>
    <w:pPr>
      <w:spacing w:line="520" w:lineRule="exact"/>
      <w:jc w:val="both"/>
    </w:pPr>
    <w:rPr>
      <w:rFonts w:ascii="GothicPS" w:hAnsi="GothicPS"/>
      <w:sz w:val="24"/>
      <w:lang w:val="es-ES_tradnl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rFonts w:ascii="Arial" w:hAnsi="Arial" w:cs="Arial"/>
      <w:b w:val="0"/>
      <w:bCs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ascii="Arial" w:hAnsi="Arial" w:cs="Arial"/>
      <w:lang w:val="es-ES_tradnl"/>
    </w:rPr>
  </w:style>
  <w:style w:type="paragraph" w:styleId="Sangra2detindependiente">
    <w:name w:val="Body Text Indent 2"/>
    <w:basedOn w:val="Normal"/>
    <w:semiHidden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ascii="Arial" w:hAnsi="Arial" w:cs="Arial"/>
    </w:rPr>
  </w:style>
  <w:style w:type="paragraph" w:styleId="Prrafodelista">
    <w:name w:val="List Paragraph"/>
    <w:basedOn w:val="Normal"/>
    <w:qFormat/>
    <w:pPr>
      <w:ind w:left="708"/>
    </w:pPr>
  </w:style>
  <w:style w:type="character" w:customStyle="1" w:styleId="TtuloCar">
    <w:name w:val="Título Car"/>
    <w:rPr>
      <w:rFonts w:ascii="Arial" w:hAnsi="Arial"/>
      <w:b/>
      <w:sz w:val="24"/>
      <w:szCs w:val="24"/>
      <w:u w:val="single"/>
      <w:lang w:val="es-U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3E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EAA"/>
    <w:rPr>
      <w:rFonts w:ascii="Tahoma" w:hAnsi="Tahoma" w:cs="Tahoma"/>
      <w:b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/>
      <w:b/>
      <w:color w:val="000000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Cs/>
      <w:color w:val="auto"/>
      <w:szCs w:val="24"/>
      <w:lang w:val="es-ES_tradnl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/>
      <w:u w:val="single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lladoNotar-FtoPrrafo">
    <w:name w:val="Sellado Notar.-Fto.Párrafo."/>
    <w:pPr>
      <w:spacing w:line="546" w:lineRule="exact"/>
      <w:jc w:val="both"/>
    </w:pPr>
    <w:rPr>
      <w:rFonts w:ascii="GothicPS" w:hAnsi="GothicPS"/>
      <w:sz w:val="24"/>
      <w:lang w:val="es-ES_tradnl"/>
    </w:rPr>
  </w:style>
  <w:style w:type="paragraph" w:customStyle="1" w:styleId="Florete-FtoPrrafo">
    <w:name w:val="Florete-Fto.Párrafo."/>
    <w:pPr>
      <w:spacing w:line="520" w:lineRule="exact"/>
      <w:jc w:val="both"/>
    </w:pPr>
    <w:rPr>
      <w:rFonts w:ascii="GothicPS" w:hAnsi="GothicPS"/>
      <w:sz w:val="24"/>
      <w:lang w:val="es-ES_tradnl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rFonts w:ascii="Arial" w:hAnsi="Arial" w:cs="Arial"/>
      <w:b w:val="0"/>
      <w:bCs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ascii="Arial" w:hAnsi="Arial" w:cs="Arial"/>
      <w:lang w:val="es-ES_tradnl"/>
    </w:rPr>
  </w:style>
  <w:style w:type="paragraph" w:styleId="Sangra2detindependiente">
    <w:name w:val="Body Text Indent 2"/>
    <w:basedOn w:val="Normal"/>
    <w:semiHidden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ascii="Arial" w:hAnsi="Arial" w:cs="Arial"/>
    </w:rPr>
  </w:style>
  <w:style w:type="paragraph" w:styleId="Prrafodelista">
    <w:name w:val="List Paragraph"/>
    <w:basedOn w:val="Normal"/>
    <w:qFormat/>
    <w:pPr>
      <w:ind w:left="708"/>
    </w:pPr>
  </w:style>
  <w:style w:type="character" w:customStyle="1" w:styleId="TtuloCar">
    <w:name w:val="Título Car"/>
    <w:rPr>
      <w:rFonts w:ascii="Arial" w:hAnsi="Arial"/>
      <w:b/>
      <w:sz w:val="24"/>
      <w:szCs w:val="24"/>
      <w:u w:val="single"/>
      <w:lang w:val="es-U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3E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EAA"/>
    <w:rPr>
      <w:rFonts w:ascii="Tahoma" w:hAnsi="Tahoma" w:cs="Tahoma"/>
      <w:b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8FA8B-2ABE-488A-BAEF-7BB600BE6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500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        de              de 2000</vt:lpstr>
    </vt:vector>
  </TitlesOfParts>
  <Company/>
  <LinksUpToDate>false</LinksUpToDate>
  <CharactersWithSpaces>3206</CharactersWithSpaces>
  <SharedDoc>false</SharedDoc>
  <HLinks>
    <vt:vector size="6" baseType="variant">
      <vt:variant>
        <vt:i4>852080</vt:i4>
      </vt:variant>
      <vt:variant>
        <vt:i4>0</vt:i4>
      </vt:variant>
      <vt:variant>
        <vt:i4>0</vt:i4>
      </vt:variant>
      <vt:variant>
        <vt:i4>5</vt:i4>
      </vt:variant>
      <vt:variant>
        <vt:lpwstr>\\Tcrnw03\vol1\USUARIOS\JUR-GDEP\Mis documentos\LICITACIONES\Canelones\2017-17-1-0003835-LP-Can-6-2016-AA.doc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        de              de 2000</dc:title>
  <dc:creator>.</dc:creator>
  <cp:lastModifiedBy>tribunal1</cp:lastModifiedBy>
  <cp:revision>3</cp:revision>
  <cp:lastPrinted>2018-06-04T14:24:00Z</cp:lastPrinted>
  <dcterms:created xsi:type="dcterms:W3CDTF">2018-06-01T17:47:00Z</dcterms:created>
  <dcterms:modified xsi:type="dcterms:W3CDTF">2018-06-04T14:24:00Z</dcterms:modified>
</cp:coreProperties>
</file>