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D" w:rsidRPr="00E0307D" w:rsidRDefault="00E0307D" w:rsidP="00E0307D">
      <w:pPr>
        <w:tabs>
          <w:tab w:val="center" w:pos="4253"/>
        </w:tabs>
        <w:suppressAutoHyphens/>
        <w:jc w:val="right"/>
        <w:rPr>
          <w:rFonts w:cs="Arial"/>
          <w:b/>
          <w:sz w:val="28"/>
          <w:szCs w:val="28"/>
          <w:lang w:val="es-ES_tradnl"/>
        </w:rPr>
      </w:pPr>
      <w:bookmarkStart w:id="0" w:name="_GoBack"/>
      <w:bookmarkEnd w:id="0"/>
      <w:r w:rsidRPr="00E0307D">
        <w:rPr>
          <w:rFonts w:cs="Arial"/>
          <w:b/>
          <w:sz w:val="28"/>
          <w:szCs w:val="28"/>
          <w:lang w:val="es-ES_tradnl"/>
        </w:rPr>
        <w:t xml:space="preserve">RES. </w:t>
      </w:r>
      <w:r w:rsidR="00FF4FF2">
        <w:rPr>
          <w:rFonts w:cs="Arial"/>
          <w:b/>
          <w:sz w:val="28"/>
          <w:szCs w:val="28"/>
          <w:lang w:val="es-ES_tradnl"/>
        </w:rPr>
        <w:t>1745</w:t>
      </w:r>
      <w:r w:rsidRPr="00E0307D">
        <w:rPr>
          <w:rFonts w:cs="Arial"/>
          <w:b/>
          <w:sz w:val="28"/>
          <w:szCs w:val="28"/>
          <w:lang w:val="es-ES_tradnl"/>
        </w:rPr>
        <w:t>/18</w:t>
      </w:r>
    </w:p>
    <w:p w:rsidR="00E0307D" w:rsidRPr="00E0307D" w:rsidRDefault="00E0307D" w:rsidP="00E0307D">
      <w:pPr>
        <w:tabs>
          <w:tab w:val="center" w:pos="4253"/>
        </w:tabs>
        <w:suppressAutoHyphens/>
        <w:jc w:val="center"/>
        <w:rPr>
          <w:rFonts w:cs="Arial"/>
          <w:b/>
          <w:lang w:val="es-ES_tradnl"/>
        </w:rPr>
      </w:pPr>
    </w:p>
    <w:p w:rsidR="00E0307D" w:rsidRPr="00E0307D" w:rsidRDefault="00E0307D" w:rsidP="00E0307D">
      <w:pPr>
        <w:tabs>
          <w:tab w:val="center" w:pos="4253"/>
        </w:tabs>
        <w:suppressAutoHyphens/>
        <w:jc w:val="center"/>
        <w:rPr>
          <w:rFonts w:ascii="Helvetica" w:hAnsi="Helvetica"/>
          <w:b/>
          <w:lang w:val="es-ES_tradnl"/>
        </w:rPr>
      </w:pPr>
      <w:r w:rsidRPr="00E0307D">
        <w:rPr>
          <w:rFonts w:ascii="Helvetica" w:hAnsi="Helvetica"/>
          <w:b/>
          <w:lang w:val="es-ES_tradnl"/>
        </w:rPr>
        <w:t>RESOLUCION ADOPTADA POR EL</w:t>
      </w:r>
    </w:p>
    <w:p w:rsidR="00E0307D" w:rsidRPr="00E0307D" w:rsidRDefault="00E0307D" w:rsidP="00E0307D">
      <w:pPr>
        <w:tabs>
          <w:tab w:val="left" w:pos="-720"/>
        </w:tabs>
        <w:suppressAutoHyphens/>
        <w:jc w:val="center"/>
        <w:rPr>
          <w:rFonts w:ascii="Helvetica" w:hAnsi="Helvetica"/>
          <w:b/>
          <w:lang w:val="es-ES_tradnl"/>
        </w:rPr>
      </w:pPr>
    </w:p>
    <w:p w:rsidR="00E0307D" w:rsidRPr="00E0307D" w:rsidRDefault="00E0307D" w:rsidP="00E0307D">
      <w:pPr>
        <w:tabs>
          <w:tab w:val="center" w:pos="4253"/>
        </w:tabs>
        <w:suppressAutoHyphens/>
        <w:jc w:val="center"/>
        <w:rPr>
          <w:rFonts w:ascii="Helvetica" w:hAnsi="Helvetica"/>
          <w:b/>
          <w:lang w:val="es-ES_tradnl"/>
        </w:rPr>
      </w:pPr>
      <w:r w:rsidRPr="00E0307D">
        <w:rPr>
          <w:rFonts w:ascii="Helvetica" w:hAnsi="Helvetica"/>
          <w:b/>
          <w:lang w:val="es-ES_tradnl"/>
        </w:rPr>
        <w:t>TRIBUNAL DE CUENTAS</w:t>
      </w:r>
    </w:p>
    <w:p w:rsidR="00E0307D" w:rsidRPr="00E0307D" w:rsidRDefault="00E0307D" w:rsidP="00E0307D">
      <w:pPr>
        <w:tabs>
          <w:tab w:val="left" w:pos="-720"/>
        </w:tabs>
        <w:suppressAutoHyphens/>
        <w:jc w:val="center"/>
        <w:rPr>
          <w:rFonts w:ascii="Helvetica" w:hAnsi="Helvetica"/>
          <w:b/>
          <w:lang w:val="es-ES_tradnl"/>
        </w:rPr>
      </w:pPr>
    </w:p>
    <w:p w:rsidR="00E0307D" w:rsidRPr="00E0307D" w:rsidRDefault="00E0307D" w:rsidP="00E0307D">
      <w:pPr>
        <w:tabs>
          <w:tab w:val="center" w:pos="4253"/>
        </w:tabs>
        <w:suppressAutoHyphens/>
        <w:jc w:val="center"/>
        <w:rPr>
          <w:rFonts w:ascii="Helvetica" w:hAnsi="Helvetica"/>
          <w:b/>
          <w:lang w:val="es-ES_tradnl"/>
        </w:rPr>
      </w:pPr>
      <w:r w:rsidRPr="00E0307D">
        <w:rPr>
          <w:rFonts w:ascii="Helvetica" w:hAnsi="Helvetica"/>
          <w:b/>
          <w:lang w:val="es-ES_tradnl"/>
        </w:rPr>
        <w:t>EN SESION DE FECHA 30 DE MAYO</w:t>
      </w:r>
      <w:r w:rsidRPr="00E0307D">
        <w:rPr>
          <w:rFonts w:cs="Arial"/>
          <w:b/>
          <w:lang w:val="es-ES_tradnl"/>
        </w:rPr>
        <w:t xml:space="preserve"> </w:t>
      </w:r>
      <w:r w:rsidRPr="00E0307D">
        <w:rPr>
          <w:rFonts w:ascii="Helvetica" w:hAnsi="Helvetica"/>
          <w:b/>
          <w:lang w:val="es-ES_tradnl"/>
        </w:rPr>
        <w:t>DE 2018</w:t>
      </w:r>
    </w:p>
    <w:p w:rsidR="00E0307D" w:rsidRPr="00E0307D" w:rsidRDefault="00E0307D" w:rsidP="00E0307D">
      <w:pPr>
        <w:tabs>
          <w:tab w:val="center" w:pos="4253"/>
        </w:tabs>
        <w:suppressAutoHyphens/>
        <w:jc w:val="center"/>
        <w:rPr>
          <w:rFonts w:ascii="Helvetica" w:hAnsi="Helvetica"/>
          <w:b/>
          <w:lang w:val="es-ES_tradnl"/>
        </w:rPr>
      </w:pPr>
    </w:p>
    <w:p w:rsidR="00E0307D" w:rsidRPr="00E0307D" w:rsidRDefault="00E0307D" w:rsidP="00E0307D">
      <w:pPr>
        <w:tabs>
          <w:tab w:val="center" w:pos="4253"/>
        </w:tabs>
        <w:suppressAutoHyphens/>
        <w:jc w:val="center"/>
        <w:rPr>
          <w:rFonts w:ascii="Helvetica" w:hAnsi="Helvetica"/>
          <w:b/>
        </w:rPr>
      </w:pPr>
      <w:r w:rsidRPr="00E0307D">
        <w:rPr>
          <w:rFonts w:ascii="Helvetica" w:hAnsi="Helvetica"/>
          <w:b/>
        </w:rPr>
        <w:t>(E. E. Nº 201</w:t>
      </w:r>
      <w:r w:rsidR="00FF4FF2">
        <w:rPr>
          <w:rFonts w:ascii="Helvetica" w:hAnsi="Helvetica"/>
          <w:b/>
        </w:rPr>
        <w:t>7</w:t>
      </w:r>
      <w:r w:rsidRPr="00E0307D">
        <w:rPr>
          <w:rFonts w:ascii="Helvetica" w:hAnsi="Helvetica"/>
          <w:b/>
        </w:rPr>
        <w:t>-17-1-000</w:t>
      </w:r>
      <w:r w:rsidR="00FF4FF2">
        <w:rPr>
          <w:rFonts w:ascii="Helvetica" w:hAnsi="Helvetica"/>
          <w:b/>
        </w:rPr>
        <w:t>6626</w:t>
      </w:r>
      <w:r w:rsidRPr="00E0307D">
        <w:rPr>
          <w:rFonts w:ascii="Helvetica" w:hAnsi="Helvetica"/>
          <w:b/>
        </w:rPr>
        <w:t xml:space="preserve">, </w:t>
      </w:r>
      <w:proofErr w:type="spellStart"/>
      <w:r w:rsidRPr="00E0307D">
        <w:rPr>
          <w:rFonts w:ascii="Helvetica" w:hAnsi="Helvetica"/>
          <w:b/>
        </w:rPr>
        <w:t>Ent</w:t>
      </w:r>
      <w:proofErr w:type="spellEnd"/>
      <w:r w:rsidRPr="00E0307D">
        <w:rPr>
          <w:rFonts w:ascii="Helvetica" w:hAnsi="Helvetica"/>
          <w:b/>
        </w:rPr>
        <w:t xml:space="preserve">. N° </w:t>
      </w:r>
      <w:r w:rsidR="00FF4FF2">
        <w:rPr>
          <w:rFonts w:ascii="Helvetica" w:hAnsi="Helvetica"/>
          <w:b/>
        </w:rPr>
        <w:t>2241</w:t>
      </w:r>
      <w:r w:rsidRPr="00E0307D">
        <w:rPr>
          <w:rFonts w:ascii="Helvetica" w:hAnsi="Helvetica"/>
          <w:b/>
        </w:rPr>
        <w:t>/</w:t>
      </w:r>
      <w:r w:rsidR="00FF4FF2">
        <w:rPr>
          <w:rFonts w:ascii="Helvetica" w:hAnsi="Helvetica"/>
          <w:b/>
        </w:rPr>
        <w:t>18</w:t>
      </w:r>
      <w:r w:rsidRPr="00E0307D">
        <w:rPr>
          <w:rFonts w:ascii="Helvetica" w:hAnsi="Helvetica"/>
          <w:b/>
        </w:rPr>
        <w:t>)</w:t>
      </w:r>
    </w:p>
    <w:p w:rsidR="00E0307D" w:rsidRPr="00E0307D" w:rsidRDefault="00E0307D" w:rsidP="00E0307D">
      <w:pPr>
        <w:tabs>
          <w:tab w:val="center" w:pos="4253"/>
        </w:tabs>
        <w:suppressAutoHyphens/>
        <w:jc w:val="center"/>
        <w:rPr>
          <w:rFonts w:cs="Arial"/>
          <w:b/>
        </w:rPr>
      </w:pPr>
    </w:p>
    <w:p w:rsidR="00FF4FF2" w:rsidRDefault="00FF4FF2" w:rsidP="00FF2819">
      <w:pPr>
        <w:pStyle w:val="Textoindependiente"/>
        <w:rPr>
          <w:b/>
        </w:rPr>
      </w:pPr>
    </w:p>
    <w:p w:rsidR="00FF2819" w:rsidRDefault="00FF2819" w:rsidP="00065ADE">
      <w:pPr>
        <w:pStyle w:val="Textoindependiente"/>
        <w:ind w:firstLine="851"/>
      </w:pPr>
      <w:r w:rsidRPr="00FF2819">
        <w:rPr>
          <w:b/>
        </w:rPr>
        <w:t>VISTO:</w:t>
      </w:r>
      <w:r>
        <w:t xml:space="preserve"> las actuaciones remitidas por la Contadora Auditora destacada ante la </w:t>
      </w:r>
      <w:r w:rsidR="0041292E">
        <w:t xml:space="preserve">Presidencia de la República, </w:t>
      </w:r>
      <w:r>
        <w:t xml:space="preserve">relacionadas </w:t>
      </w:r>
      <w:r w:rsidR="003B7F08" w:rsidRPr="003B7F08">
        <w:t xml:space="preserve">con la </w:t>
      </w:r>
      <w:r w:rsidR="0041292E" w:rsidRPr="0041292E">
        <w:t xml:space="preserve">Licitación Pública </w:t>
      </w:r>
      <w:r w:rsidR="00065ADE">
        <w:t xml:space="preserve">                  </w:t>
      </w:r>
      <w:r w:rsidR="0041292E" w:rsidRPr="0041292E">
        <w:t>Nº 73/2017, cuyo objeto es la “Contratación de Servicio de Limpieza para la Sede Principal de la Unidad Reguladora de Servicios de Comunicación (URSEC)”.</w:t>
      </w:r>
      <w:r>
        <w:t xml:space="preserve">;  </w:t>
      </w:r>
    </w:p>
    <w:p w:rsidR="00FF2819" w:rsidRDefault="00FF2819" w:rsidP="00065ADE">
      <w:pPr>
        <w:pStyle w:val="Textoindependiente"/>
        <w:ind w:firstLine="851"/>
      </w:pPr>
      <w:r w:rsidRPr="00FF2819">
        <w:rPr>
          <w:b/>
        </w:rPr>
        <w:t>RESULTANDO: 1)</w:t>
      </w:r>
      <w:r>
        <w:t xml:space="preserve"> que </w:t>
      </w:r>
      <w:r w:rsidR="006A37A4">
        <w:t xml:space="preserve">por Resolución de 14 de setiembre de 2017, la URSEC adjudicó el llamado, ad referéndum de este Tribunal a la empresa María Ramona Ibarra (ALI </w:t>
      </w:r>
      <w:proofErr w:type="spellStart"/>
      <w:r w:rsidR="006A37A4">
        <w:t>Service</w:t>
      </w:r>
      <w:proofErr w:type="spellEnd"/>
      <w:r w:rsidR="006A37A4">
        <w:t xml:space="preserve">), por el período de un año renovable automáticamente por hasta cuatro (4) años más;  y </w:t>
      </w:r>
      <w:r>
        <w:t>e</w:t>
      </w:r>
      <w:r w:rsidRPr="000E5930">
        <w:t xml:space="preserve">n </w:t>
      </w:r>
      <w:r w:rsidRPr="00FF2819">
        <w:t xml:space="preserve">Sesión de fecha </w:t>
      </w:r>
      <w:r w:rsidR="0041292E" w:rsidRPr="0041292E">
        <w:t>25 de octubre de 2017, este Tribunal acordó observar el gasto emer</w:t>
      </w:r>
      <w:r w:rsidR="0041292E">
        <w:t>gente,</w:t>
      </w:r>
      <w:r w:rsidR="0041292E" w:rsidRPr="0041292E">
        <w:t xml:space="preserve"> en virtud de que el Artículo 10 del Pliego de Condiciones Particulares</w:t>
      </w:r>
      <w:r w:rsidR="0041292E">
        <w:t xml:space="preserve"> que rigió el mismo</w:t>
      </w:r>
      <w:r w:rsidR="0041292E" w:rsidRPr="0041292E">
        <w:t>, si bien mencion</w:t>
      </w:r>
      <w:r w:rsidR="00141226">
        <w:t>a</w:t>
      </w:r>
      <w:r w:rsidR="0041292E" w:rsidRPr="0041292E">
        <w:t xml:space="preserve"> cuáles son los criterios </w:t>
      </w:r>
      <w:r w:rsidR="0041292E">
        <w:t xml:space="preserve">a utilizar por parte de </w:t>
      </w:r>
      <w:r w:rsidR="0041292E" w:rsidRPr="0041292E">
        <w:t>la Administración</w:t>
      </w:r>
      <w:r w:rsidR="0041292E">
        <w:t xml:space="preserve"> </w:t>
      </w:r>
      <w:r w:rsidR="0041292E" w:rsidRPr="0041292E">
        <w:t>a los efectos de comparar las ofertas, no establec</w:t>
      </w:r>
      <w:r w:rsidR="00141226">
        <w:t>e</w:t>
      </w:r>
      <w:r w:rsidR="0041292E" w:rsidRPr="0041292E">
        <w:t xml:space="preserve"> cómo ponderar, dentro de cada uno, a aquellas empresas que no alcancen el máximo de los porcentajes establecidos en el artículo, para cada factor o criterio, en contravención con lo dispuesto en el Artículo 48 </w:t>
      </w:r>
      <w:r w:rsidR="00065ADE">
        <w:t>L</w:t>
      </w:r>
      <w:r w:rsidR="0041292E" w:rsidRPr="0041292E">
        <w:t>iteral C) del TOCAF</w:t>
      </w:r>
      <w:r>
        <w:t xml:space="preserve">; </w:t>
      </w:r>
    </w:p>
    <w:p w:rsidR="00141226" w:rsidRDefault="00FF2819" w:rsidP="00065ADE">
      <w:pPr>
        <w:spacing w:line="360" w:lineRule="auto"/>
        <w:ind w:firstLine="2694"/>
        <w:jc w:val="both"/>
      </w:pPr>
      <w:r w:rsidRPr="00FF2819">
        <w:rPr>
          <w:b/>
        </w:rPr>
        <w:t>2)</w:t>
      </w:r>
      <w:r>
        <w:t xml:space="preserve"> que en la oportunidad</w:t>
      </w:r>
      <w:r w:rsidR="00141226">
        <w:t>, por nota de fecha 3 de mayo, la Contadora Auditora informa que con</w:t>
      </w:r>
      <w:r>
        <w:t xml:space="preserve"> </w:t>
      </w:r>
      <w:r w:rsidR="00141226">
        <w:t>fecha 13 de abril, intervino por reiteración el gasto anual de $ 2.732.160 más IVA, total $ 3.333.235, Afectación Nº 88/2018, Programa 261, Proyecto 000, Financiamiento 1.2 y Programa 482, Proyecto 000, Financiamiento 1.2;</w:t>
      </w:r>
    </w:p>
    <w:p w:rsidR="0041292E" w:rsidRDefault="00141226" w:rsidP="00065ADE">
      <w:pPr>
        <w:spacing w:line="360" w:lineRule="auto"/>
        <w:ind w:firstLine="2694"/>
        <w:jc w:val="both"/>
      </w:pPr>
      <w:r w:rsidRPr="00141226">
        <w:rPr>
          <w:b/>
        </w:rPr>
        <w:lastRenderedPageBreak/>
        <w:t>3)</w:t>
      </w:r>
      <w:r>
        <w:t xml:space="preserve"> que asimismo adjunta copia de la</w:t>
      </w:r>
      <w:r w:rsidR="0041292E">
        <w:t xml:space="preserve"> Resolución </w:t>
      </w:r>
      <w:r w:rsidR="00065ADE">
        <w:t xml:space="preserve">                             </w:t>
      </w:r>
      <w:r w:rsidR="0041292E">
        <w:t>Nº 184 adoptada por la URSEC con fecha 24 de noviembre de 2017</w:t>
      </w:r>
      <w:r>
        <w:t>,</w:t>
      </w:r>
      <w:r w:rsidR="0041292E">
        <w:t xml:space="preserve"> reiterando el gasto de referencia por el período de un año a partir de la firma del contrato respectivo y renovable por hasta cuatro</w:t>
      </w:r>
      <w:r w:rsidR="006A37A4">
        <w:t xml:space="preserve"> (4)</w:t>
      </w:r>
      <w:r w:rsidR="0041292E">
        <w:t xml:space="preserve"> años más, por un monto mensual de $ 227.680 más IVA</w:t>
      </w:r>
      <w:r w:rsidR="006A37A4">
        <w:t>, reajustable de acuerdo al Pliego, expresando que tendrá en cuenta la observación formulada para la realización de futuros Pliegos</w:t>
      </w:r>
      <w:r w:rsidR="0041292E">
        <w:t>;</w:t>
      </w:r>
    </w:p>
    <w:p w:rsidR="0041292E" w:rsidRDefault="00065ADE" w:rsidP="00065ADE">
      <w:pPr>
        <w:spacing w:line="360" w:lineRule="auto"/>
        <w:ind w:firstLine="2694"/>
        <w:jc w:val="both"/>
      </w:pPr>
      <w:r>
        <w:rPr>
          <w:b/>
        </w:rPr>
        <w:t>4</w:t>
      </w:r>
      <w:r w:rsidR="0041292E" w:rsidRPr="0041292E">
        <w:rPr>
          <w:b/>
        </w:rPr>
        <w:t>)</w:t>
      </w:r>
      <w:r w:rsidR="0041292E">
        <w:t xml:space="preserve"> que por Resolución Nº 043 adoptada por la URSEC con fecha 6 de abril de 2018 se dispuso modificar el numeral 1º de la Resolución Nº 184</w:t>
      </w:r>
      <w:r w:rsidR="006A37A4">
        <w:t xml:space="preserve"> de 24 de noviembre de 2017</w:t>
      </w:r>
      <w:r w:rsidR="0041292E">
        <w:t xml:space="preserve">, la que establece que el plazo de la contratación será de un año a partir de la firma del contrato respectivo y por hasta tres </w:t>
      </w:r>
      <w:r w:rsidR="006A37A4">
        <w:t xml:space="preserve">(3) </w:t>
      </w:r>
      <w:r w:rsidR="0041292E">
        <w:t>años más, por el mismo monto mensual. En el resultando de la misma se fundamenta tal modificación en virtud de que “dicha reiteración supera el monto autorizado para los ordenadores secundarios”;</w:t>
      </w:r>
    </w:p>
    <w:p w:rsidR="00D452B3" w:rsidRDefault="00B242F6" w:rsidP="00DF3664">
      <w:pPr>
        <w:spacing w:line="360" w:lineRule="auto"/>
        <w:ind w:firstLine="851"/>
        <w:jc w:val="both"/>
      </w:pPr>
      <w:r w:rsidRPr="000D6ADE">
        <w:rPr>
          <w:b/>
          <w:bCs/>
        </w:rPr>
        <w:t xml:space="preserve">CONSIDERANDO: </w:t>
      </w:r>
      <w:r w:rsidR="007C6705">
        <w:rPr>
          <w:b/>
          <w:bCs/>
        </w:rPr>
        <w:t xml:space="preserve">1) </w:t>
      </w:r>
      <w:r w:rsidRPr="000D6ADE">
        <w:t xml:space="preserve">que se mantienen incambiadas las razones por las cuales se observó el gasto de referencia, no esgrimiéndose por parte de la Administración argumentos que ameriten su reconsideración </w:t>
      </w:r>
      <w:r w:rsidR="00C00789">
        <w:t xml:space="preserve">y subsiguiente levantamiento;  </w:t>
      </w:r>
    </w:p>
    <w:p w:rsidR="003F5206" w:rsidRPr="00DD0967" w:rsidRDefault="007C6705" w:rsidP="00DF3664">
      <w:pPr>
        <w:spacing w:line="360" w:lineRule="auto"/>
        <w:ind w:firstLine="2977"/>
        <w:jc w:val="both"/>
        <w:rPr>
          <w:rFonts w:cs="Arial"/>
          <w:b/>
        </w:rPr>
      </w:pPr>
      <w:r w:rsidRPr="007C6705">
        <w:rPr>
          <w:b/>
        </w:rPr>
        <w:t>2)</w:t>
      </w:r>
      <w:r w:rsidR="003F5206" w:rsidRPr="00DD0967">
        <w:rPr>
          <w:rFonts w:cs="Arial"/>
          <w:b/>
        </w:rPr>
        <w:t xml:space="preserve"> </w:t>
      </w:r>
      <w:r w:rsidR="003F5206" w:rsidRPr="003F5206">
        <w:rPr>
          <w:rFonts w:cs="Arial"/>
        </w:rPr>
        <w:t>que el Artículo 114 del TOCAF establece que en caso de que el Ordenador reitere el gasto deberá comunicar tal resolución a este Tribunal, supuesto que no fue realizado en forma oportuna;</w:t>
      </w:r>
      <w:r w:rsidR="003F5206">
        <w:rPr>
          <w:rFonts w:cs="Arial"/>
          <w:b/>
        </w:rPr>
        <w:t xml:space="preserve"> </w:t>
      </w:r>
    </w:p>
    <w:p w:rsidR="004F5869" w:rsidRDefault="00150E2D" w:rsidP="004F5869">
      <w:pPr>
        <w:spacing w:line="360" w:lineRule="auto"/>
        <w:ind w:firstLine="851"/>
        <w:jc w:val="both"/>
        <w:rPr>
          <w:rFonts w:cs="Arial"/>
        </w:rPr>
      </w:pPr>
      <w:r w:rsidRPr="00150E2D">
        <w:rPr>
          <w:rFonts w:cs="Arial"/>
          <w:b/>
        </w:rPr>
        <w:t xml:space="preserve">ATENTO: </w:t>
      </w:r>
      <w:r w:rsidRPr="00150E2D">
        <w:rPr>
          <w:rFonts w:cs="Arial"/>
        </w:rPr>
        <w:t xml:space="preserve">a lo precedentemente expuesto y a lo dispuesto por el Artículo 211, </w:t>
      </w:r>
      <w:r w:rsidR="00DF3664">
        <w:rPr>
          <w:rFonts w:cs="Arial"/>
        </w:rPr>
        <w:t>L</w:t>
      </w:r>
      <w:r w:rsidRPr="00150E2D">
        <w:rPr>
          <w:rFonts w:cs="Arial"/>
        </w:rPr>
        <w:t xml:space="preserve">iteral B) de </w:t>
      </w:r>
      <w:r w:rsidR="004F5869">
        <w:rPr>
          <w:rFonts w:cs="Arial"/>
        </w:rPr>
        <w:t>la Constitución de la República;</w:t>
      </w:r>
    </w:p>
    <w:p w:rsidR="004F5869" w:rsidRDefault="00150E2D" w:rsidP="004F5869">
      <w:pPr>
        <w:spacing w:line="360" w:lineRule="auto"/>
        <w:ind w:firstLine="851"/>
        <w:jc w:val="center"/>
        <w:rPr>
          <w:b/>
        </w:rPr>
      </w:pPr>
      <w:r w:rsidRPr="004F5869">
        <w:rPr>
          <w:b/>
        </w:rPr>
        <w:t>EL TRIBUNAL ACUERDA</w:t>
      </w:r>
    </w:p>
    <w:p w:rsidR="004F5869" w:rsidRDefault="004F5869" w:rsidP="00237DC9">
      <w:pPr>
        <w:spacing w:line="360" w:lineRule="auto"/>
        <w:ind w:left="284" w:hanging="284"/>
        <w:rPr>
          <w:rFonts w:cs="Arial"/>
          <w:bCs/>
        </w:rPr>
      </w:pPr>
      <w:r w:rsidRPr="004F5869">
        <w:rPr>
          <w:rFonts w:cs="Arial"/>
          <w:b/>
          <w:bCs/>
          <w:lang w:val="es-ES_tradnl"/>
        </w:rPr>
        <w:t>1)</w:t>
      </w:r>
      <w:r>
        <w:rPr>
          <w:rFonts w:cs="Arial"/>
          <w:bCs/>
          <w:lang w:val="es-ES_tradnl"/>
        </w:rPr>
        <w:t xml:space="preserve"> </w:t>
      </w:r>
      <w:r w:rsidR="00150E2D" w:rsidRPr="004F5869">
        <w:rPr>
          <w:rFonts w:cs="Arial"/>
          <w:bCs/>
        </w:rPr>
        <w:t xml:space="preserve">Mantener la observación formulada por este Tribunal en Sesión de fecha </w:t>
      </w:r>
      <w:r w:rsidR="00D97297" w:rsidRPr="004F5869">
        <w:rPr>
          <w:rFonts w:cs="Arial"/>
          <w:bCs/>
        </w:rPr>
        <w:t>25 de octubre de 2017</w:t>
      </w:r>
      <w:r w:rsidR="00150E2D" w:rsidRPr="004F5869">
        <w:rPr>
          <w:rFonts w:cs="Arial"/>
          <w:bCs/>
        </w:rPr>
        <w:t xml:space="preserve">; </w:t>
      </w:r>
    </w:p>
    <w:p w:rsidR="004F5869" w:rsidRDefault="004F5869" w:rsidP="004F5869">
      <w:pPr>
        <w:spacing w:line="360" w:lineRule="auto"/>
        <w:rPr>
          <w:rFonts w:cs="Arial"/>
          <w:bCs/>
        </w:rPr>
      </w:pPr>
      <w:r w:rsidRPr="004F5869">
        <w:rPr>
          <w:rFonts w:cs="Arial"/>
          <w:b/>
          <w:bCs/>
          <w:lang w:val="es-MX"/>
        </w:rPr>
        <w:t>2)</w:t>
      </w:r>
      <w:r>
        <w:rPr>
          <w:rFonts w:cs="Arial"/>
          <w:bCs/>
          <w:lang w:val="es-MX"/>
        </w:rPr>
        <w:t xml:space="preserve"> </w:t>
      </w:r>
      <w:r w:rsidR="00AE7175" w:rsidRPr="004F5869">
        <w:rPr>
          <w:rFonts w:cs="Arial"/>
          <w:bCs/>
          <w:lang w:val="es-MX"/>
        </w:rPr>
        <w:t xml:space="preserve">Comunicar </w:t>
      </w:r>
      <w:r>
        <w:rPr>
          <w:rFonts w:cs="Arial"/>
          <w:bCs/>
          <w:lang w:val="es-MX"/>
        </w:rPr>
        <w:t xml:space="preserve">a </w:t>
      </w:r>
      <w:r w:rsidR="00757FDD" w:rsidRPr="004F5869">
        <w:rPr>
          <w:rFonts w:cs="Arial"/>
          <w:bCs/>
          <w:lang w:val="es-MX"/>
        </w:rPr>
        <w:t>la</w:t>
      </w:r>
      <w:r w:rsidR="00AE7175" w:rsidRPr="004F5869">
        <w:rPr>
          <w:rFonts w:cs="Arial"/>
          <w:bCs/>
          <w:lang w:val="es-MX"/>
        </w:rPr>
        <w:t xml:space="preserve"> </w:t>
      </w:r>
      <w:r w:rsidR="00150E2D" w:rsidRPr="004F5869">
        <w:rPr>
          <w:rFonts w:cs="Arial"/>
          <w:bCs/>
        </w:rPr>
        <w:t>Contador</w:t>
      </w:r>
      <w:r w:rsidR="00757FDD" w:rsidRPr="004F5869">
        <w:rPr>
          <w:rFonts w:cs="Arial"/>
          <w:bCs/>
        </w:rPr>
        <w:t>a</w:t>
      </w:r>
      <w:r w:rsidR="00150E2D" w:rsidRPr="004F5869">
        <w:rPr>
          <w:rFonts w:cs="Arial"/>
          <w:bCs/>
        </w:rPr>
        <w:t xml:space="preserve"> </w:t>
      </w:r>
      <w:r w:rsidR="0006186B" w:rsidRPr="004F5869">
        <w:rPr>
          <w:rFonts w:cs="Arial"/>
          <w:bCs/>
        </w:rPr>
        <w:t>Auditor</w:t>
      </w:r>
      <w:r w:rsidR="00757FDD" w:rsidRPr="004F5869">
        <w:rPr>
          <w:rFonts w:cs="Arial"/>
          <w:bCs/>
        </w:rPr>
        <w:t>a</w:t>
      </w:r>
      <w:r w:rsidR="00AE7175" w:rsidRPr="004F5869">
        <w:rPr>
          <w:rFonts w:cs="Arial"/>
          <w:bCs/>
        </w:rPr>
        <w:t>;</w:t>
      </w:r>
    </w:p>
    <w:p w:rsidR="004F5869" w:rsidRDefault="004F5869" w:rsidP="004F5869">
      <w:pPr>
        <w:spacing w:line="360" w:lineRule="auto"/>
        <w:rPr>
          <w:rFonts w:cs="Arial"/>
          <w:bCs/>
        </w:rPr>
      </w:pPr>
      <w:r w:rsidRPr="004F5869">
        <w:rPr>
          <w:rFonts w:cs="Arial"/>
          <w:b/>
          <w:bCs/>
        </w:rPr>
        <w:t>3)</w:t>
      </w:r>
      <w:r>
        <w:rPr>
          <w:rFonts w:cs="Arial"/>
          <w:bCs/>
        </w:rPr>
        <w:t xml:space="preserve"> </w:t>
      </w:r>
      <w:r w:rsidR="00174ECB" w:rsidRPr="004F5869">
        <w:rPr>
          <w:rFonts w:cs="Arial"/>
          <w:bCs/>
        </w:rPr>
        <w:t>Oficiar</w:t>
      </w:r>
      <w:r>
        <w:rPr>
          <w:rFonts w:cs="Arial"/>
          <w:bCs/>
        </w:rPr>
        <w:t>;</w:t>
      </w:r>
    </w:p>
    <w:p w:rsidR="004F5869" w:rsidRDefault="004F5869" w:rsidP="004F5869">
      <w:pPr>
        <w:spacing w:line="360" w:lineRule="auto"/>
        <w:rPr>
          <w:rFonts w:cs="Arial"/>
          <w:bCs/>
        </w:rPr>
      </w:pPr>
      <w:r w:rsidRPr="004F5869">
        <w:rPr>
          <w:rFonts w:cs="Arial"/>
          <w:b/>
          <w:bCs/>
        </w:rPr>
        <w:t>4)</w:t>
      </w:r>
      <w:r>
        <w:rPr>
          <w:rFonts w:cs="Arial"/>
          <w:bCs/>
        </w:rPr>
        <w:t xml:space="preserve"> Dar cuenta a la Asamblea General.</w:t>
      </w:r>
    </w:p>
    <w:p w:rsidR="004F5869" w:rsidRPr="004F5869" w:rsidRDefault="004F5869" w:rsidP="004F5869">
      <w:pPr>
        <w:spacing w:line="360" w:lineRule="auto"/>
        <w:rPr>
          <w:rFonts w:cs="Arial"/>
          <w:lang w:val="es-MX"/>
        </w:rPr>
      </w:pPr>
      <w:proofErr w:type="spellStart"/>
      <w:proofErr w:type="gramStart"/>
      <w:r>
        <w:rPr>
          <w:rFonts w:cs="Arial"/>
          <w:bCs/>
        </w:rPr>
        <w:t>ag</w:t>
      </w:r>
      <w:proofErr w:type="spellEnd"/>
      <w:proofErr w:type="gramEnd"/>
    </w:p>
    <w:sectPr w:rsidR="004F5869" w:rsidRPr="004F5869" w:rsidSect="004A4D4C">
      <w:footerReference w:type="even" r:id="rId9"/>
      <w:footerReference w:type="default" r:id="rId10"/>
      <w:pgSz w:w="11906" w:h="16838" w:code="9"/>
      <w:pgMar w:top="311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46" w:rsidRDefault="007B4946">
      <w:r>
        <w:separator/>
      </w:r>
    </w:p>
  </w:endnote>
  <w:endnote w:type="continuationSeparator" w:id="0">
    <w:p w:rsidR="007B4946" w:rsidRDefault="007B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4" w:rsidRDefault="006A37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A37A4" w:rsidRDefault="006A37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A4" w:rsidRDefault="006A37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4D4C">
      <w:rPr>
        <w:rStyle w:val="Nmerodepgina"/>
        <w:noProof/>
      </w:rPr>
      <w:t>1</w:t>
    </w:r>
    <w:r>
      <w:rPr>
        <w:rStyle w:val="Nmerodepgina"/>
      </w:rPr>
      <w:fldChar w:fldCharType="end"/>
    </w:r>
  </w:p>
  <w:p w:rsidR="006A37A4" w:rsidRDefault="006A37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46" w:rsidRDefault="007B4946">
      <w:r>
        <w:separator/>
      </w:r>
    </w:p>
  </w:footnote>
  <w:footnote w:type="continuationSeparator" w:id="0">
    <w:p w:rsidR="007B4946" w:rsidRDefault="007B4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E42"/>
    <w:multiLevelType w:val="multilevel"/>
    <w:tmpl w:val="641E6144"/>
    <w:lvl w:ilvl="0">
      <w:start w:val="1"/>
      <w:numFmt w:val="decimal"/>
      <w:lvlText w:val="%1."/>
      <w:lvlJc w:val="left"/>
      <w:pPr>
        <w:ind w:left="525" w:hanging="52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nsid w:val="25B53FE8"/>
    <w:multiLevelType w:val="hybridMultilevel"/>
    <w:tmpl w:val="AAE6BA96"/>
    <w:lvl w:ilvl="0" w:tplc="FF04E1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38351396"/>
    <w:multiLevelType w:val="hybridMultilevel"/>
    <w:tmpl w:val="0C42ABE6"/>
    <w:lvl w:ilvl="0" w:tplc="C09CB06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777431"/>
    <w:multiLevelType w:val="hybridMultilevel"/>
    <w:tmpl w:val="01BE2400"/>
    <w:lvl w:ilvl="0" w:tplc="97CCDAB2">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37D6236"/>
    <w:multiLevelType w:val="hybridMultilevel"/>
    <w:tmpl w:val="18746258"/>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24"/>
    <w:rsid w:val="00017DD0"/>
    <w:rsid w:val="00020212"/>
    <w:rsid w:val="000202E6"/>
    <w:rsid w:val="00037180"/>
    <w:rsid w:val="00054260"/>
    <w:rsid w:val="0006186B"/>
    <w:rsid w:val="00062640"/>
    <w:rsid w:val="00065ADE"/>
    <w:rsid w:val="000B7C17"/>
    <w:rsid w:val="000C3C07"/>
    <w:rsid w:val="000D6ADE"/>
    <w:rsid w:val="00117934"/>
    <w:rsid w:val="001361A6"/>
    <w:rsid w:val="00141226"/>
    <w:rsid w:val="00142088"/>
    <w:rsid w:val="00150E2D"/>
    <w:rsid w:val="00164ECF"/>
    <w:rsid w:val="00174ECB"/>
    <w:rsid w:val="00184672"/>
    <w:rsid w:val="001A3674"/>
    <w:rsid w:val="001F0FF6"/>
    <w:rsid w:val="001F2B67"/>
    <w:rsid w:val="001F4C0E"/>
    <w:rsid w:val="0023616C"/>
    <w:rsid w:val="0023651A"/>
    <w:rsid w:val="00237DC9"/>
    <w:rsid w:val="002419CD"/>
    <w:rsid w:val="00253597"/>
    <w:rsid w:val="00253E2B"/>
    <w:rsid w:val="00294C41"/>
    <w:rsid w:val="002B01F3"/>
    <w:rsid w:val="002C6F42"/>
    <w:rsid w:val="002F2AC2"/>
    <w:rsid w:val="00324784"/>
    <w:rsid w:val="003372FB"/>
    <w:rsid w:val="003B7F08"/>
    <w:rsid w:val="003F1FB7"/>
    <w:rsid w:val="003F5206"/>
    <w:rsid w:val="00406BFC"/>
    <w:rsid w:val="0041292E"/>
    <w:rsid w:val="00443630"/>
    <w:rsid w:val="004501C5"/>
    <w:rsid w:val="00462478"/>
    <w:rsid w:val="00470884"/>
    <w:rsid w:val="00473A53"/>
    <w:rsid w:val="004A4D4C"/>
    <w:rsid w:val="004C4E22"/>
    <w:rsid w:val="004D01CD"/>
    <w:rsid w:val="004D3615"/>
    <w:rsid w:val="004F5869"/>
    <w:rsid w:val="00511300"/>
    <w:rsid w:val="00511DC9"/>
    <w:rsid w:val="00516224"/>
    <w:rsid w:val="0052566D"/>
    <w:rsid w:val="00542A28"/>
    <w:rsid w:val="00577656"/>
    <w:rsid w:val="005B0F87"/>
    <w:rsid w:val="005B5C7E"/>
    <w:rsid w:val="00622BC6"/>
    <w:rsid w:val="00624606"/>
    <w:rsid w:val="00696162"/>
    <w:rsid w:val="006A37A4"/>
    <w:rsid w:val="006A4D8B"/>
    <w:rsid w:val="0070351A"/>
    <w:rsid w:val="00704E80"/>
    <w:rsid w:val="00745442"/>
    <w:rsid w:val="00746DB2"/>
    <w:rsid w:val="00757AC1"/>
    <w:rsid w:val="00757FDD"/>
    <w:rsid w:val="0077171F"/>
    <w:rsid w:val="007B4946"/>
    <w:rsid w:val="007C6705"/>
    <w:rsid w:val="007D715D"/>
    <w:rsid w:val="00822E9D"/>
    <w:rsid w:val="00825F39"/>
    <w:rsid w:val="00841AD4"/>
    <w:rsid w:val="00892D6C"/>
    <w:rsid w:val="0089371C"/>
    <w:rsid w:val="008A6D9E"/>
    <w:rsid w:val="008C0EBC"/>
    <w:rsid w:val="008C1EE3"/>
    <w:rsid w:val="008C323B"/>
    <w:rsid w:val="008C7743"/>
    <w:rsid w:val="00917BC0"/>
    <w:rsid w:val="009258B4"/>
    <w:rsid w:val="00930627"/>
    <w:rsid w:val="00931C03"/>
    <w:rsid w:val="009435B8"/>
    <w:rsid w:val="009744C7"/>
    <w:rsid w:val="009A3FD6"/>
    <w:rsid w:val="009E2584"/>
    <w:rsid w:val="009E2CD4"/>
    <w:rsid w:val="00A11035"/>
    <w:rsid w:val="00A3117B"/>
    <w:rsid w:val="00A46272"/>
    <w:rsid w:val="00A71B8E"/>
    <w:rsid w:val="00A823C5"/>
    <w:rsid w:val="00AC10A1"/>
    <w:rsid w:val="00AC7ED4"/>
    <w:rsid w:val="00AE2C7C"/>
    <w:rsid w:val="00AE7175"/>
    <w:rsid w:val="00B012FB"/>
    <w:rsid w:val="00B0699D"/>
    <w:rsid w:val="00B242F6"/>
    <w:rsid w:val="00B5351D"/>
    <w:rsid w:val="00B65F09"/>
    <w:rsid w:val="00BB0A97"/>
    <w:rsid w:val="00BD4168"/>
    <w:rsid w:val="00BE5865"/>
    <w:rsid w:val="00C00789"/>
    <w:rsid w:val="00C52406"/>
    <w:rsid w:val="00C72122"/>
    <w:rsid w:val="00C72CE9"/>
    <w:rsid w:val="00C9007C"/>
    <w:rsid w:val="00CD32EB"/>
    <w:rsid w:val="00D105E0"/>
    <w:rsid w:val="00D30796"/>
    <w:rsid w:val="00D452B3"/>
    <w:rsid w:val="00D74B25"/>
    <w:rsid w:val="00D91532"/>
    <w:rsid w:val="00D97297"/>
    <w:rsid w:val="00DC69BD"/>
    <w:rsid w:val="00DD7954"/>
    <w:rsid w:val="00DE6B2A"/>
    <w:rsid w:val="00DF3664"/>
    <w:rsid w:val="00E02061"/>
    <w:rsid w:val="00E0307D"/>
    <w:rsid w:val="00E62FDA"/>
    <w:rsid w:val="00E9267A"/>
    <w:rsid w:val="00EA425C"/>
    <w:rsid w:val="00F15B5E"/>
    <w:rsid w:val="00F3291F"/>
    <w:rsid w:val="00F52ACA"/>
    <w:rsid w:val="00F74BF9"/>
    <w:rsid w:val="00FB3615"/>
    <w:rsid w:val="00FC0F87"/>
    <w:rsid w:val="00FE4D10"/>
    <w:rsid w:val="00FF2819"/>
    <w:rsid w:val="00FF4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246">
      <w:bodyDiv w:val="1"/>
      <w:marLeft w:val="0"/>
      <w:marRight w:val="0"/>
      <w:marTop w:val="0"/>
      <w:marBottom w:val="0"/>
      <w:divBdr>
        <w:top w:val="none" w:sz="0" w:space="0" w:color="auto"/>
        <w:left w:val="none" w:sz="0" w:space="0" w:color="auto"/>
        <w:bottom w:val="none" w:sz="0" w:space="0" w:color="auto"/>
        <w:right w:val="none" w:sz="0" w:space="0" w:color="auto"/>
      </w:divBdr>
    </w:div>
    <w:div w:id="6893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FD316-21B5-400E-8DB3-28C6E9AD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MARIZA GONZALEZ PADILLA</dc:creator>
  <cp:lastModifiedBy>tribunal1</cp:lastModifiedBy>
  <cp:revision>11</cp:revision>
  <cp:lastPrinted>2018-06-01T19:13:00Z</cp:lastPrinted>
  <dcterms:created xsi:type="dcterms:W3CDTF">2018-05-30T18:23:00Z</dcterms:created>
  <dcterms:modified xsi:type="dcterms:W3CDTF">2018-06-01T19:13:00Z</dcterms:modified>
</cp:coreProperties>
</file>