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1" w:rsidRPr="00786EEB" w:rsidRDefault="001B56F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1681/18</w:t>
      </w:r>
    </w:p>
    <w:p w:rsidR="001B56F1" w:rsidRDefault="001B56F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1B56F1" w:rsidRPr="00762B34" w:rsidRDefault="001B56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1B56F1" w:rsidRPr="00762B34" w:rsidRDefault="001B56F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56F1" w:rsidRPr="00762B34" w:rsidRDefault="001B56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1B56F1" w:rsidRPr="00762B34" w:rsidRDefault="001B56F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1B56F1" w:rsidRPr="00762B34" w:rsidRDefault="001B56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24 DE MAYO </w:t>
      </w:r>
      <w:r>
        <w:rPr>
          <w:rFonts w:ascii="Helvetica" w:hAnsi="Helvetica"/>
          <w:b/>
          <w:lang w:val="es-ES_tradnl"/>
        </w:rPr>
        <w:t>DE 2018</w:t>
      </w:r>
    </w:p>
    <w:p w:rsidR="001B56F1" w:rsidRPr="00762B34" w:rsidRDefault="001B56F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1B56F1" w:rsidRPr="00692D04" w:rsidRDefault="001B56F1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692D04">
        <w:rPr>
          <w:rFonts w:cs="Arial"/>
          <w:b/>
          <w:lang w:val="es-UY"/>
        </w:rPr>
        <w:t xml:space="preserve">(E. E. Nº 2017-17-1-0004879, </w:t>
      </w:r>
      <w:proofErr w:type="spellStart"/>
      <w:r w:rsidRPr="00692D04">
        <w:rPr>
          <w:rFonts w:cs="Arial"/>
          <w:b/>
          <w:lang w:val="es-UY"/>
        </w:rPr>
        <w:t>Ent</w:t>
      </w:r>
      <w:proofErr w:type="spellEnd"/>
      <w:r w:rsidRPr="00692D04">
        <w:rPr>
          <w:rFonts w:cs="Arial"/>
          <w:b/>
          <w:lang w:val="es-UY"/>
        </w:rPr>
        <w:t>. N° 2395/18)</w:t>
      </w:r>
    </w:p>
    <w:p w:rsidR="001B56F1" w:rsidRDefault="001B56F1" w:rsidP="00FA4C24">
      <w:pPr>
        <w:pStyle w:val="Textoindependiente"/>
        <w:ind w:firstLine="708"/>
        <w:rPr>
          <w:b/>
          <w:bCs/>
        </w:rPr>
      </w:pPr>
    </w:p>
    <w:p w:rsidR="001B56F1" w:rsidRDefault="001B56F1" w:rsidP="00FA4C24">
      <w:pPr>
        <w:pStyle w:val="Textoindependiente"/>
        <w:ind w:firstLine="708"/>
        <w:rPr>
          <w:b/>
          <w:bCs/>
        </w:rPr>
      </w:pPr>
    </w:p>
    <w:p w:rsidR="007B505A" w:rsidRDefault="007B505A" w:rsidP="00FA4C24">
      <w:pPr>
        <w:pStyle w:val="Textoindependiente"/>
        <w:ind w:firstLine="708"/>
      </w:pPr>
      <w:r>
        <w:rPr>
          <w:b/>
          <w:bCs/>
        </w:rPr>
        <w:t>VISTO:</w:t>
      </w:r>
      <w:r>
        <w:t xml:space="preserve"> las actuaciones remitidas por el Ministerio de Economía y Finanzas, relacionadas con el contrato suscrito con el Dr. Daniel </w:t>
      </w:r>
      <w:proofErr w:type="spellStart"/>
      <w:r>
        <w:t>Ochs</w:t>
      </w:r>
      <w:proofErr w:type="spellEnd"/>
      <w:r>
        <w:t xml:space="preserve"> </w:t>
      </w:r>
      <w:proofErr w:type="spellStart"/>
      <w:r>
        <w:t>Olázabal</w:t>
      </w:r>
      <w:proofErr w:type="spellEnd"/>
      <w:r>
        <w:t>, en el marco del proceso arbitral internacional incoado por la empresa Conecta S</w:t>
      </w:r>
      <w:r w:rsidR="00B27834">
        <w:t>.</w:t>
      </w:r>
      <w:r>
        <w:t>A</w:t>
      </w:r>
      <w:r w:rsidR="00B27834">
        <w:t>.</w:t>
      </w:r>
      <w:r>
        <w:t xml:space="preserve">; </w:t>
      </w:r>
    </w:p>
    <w:p w:rsidR="007B505A" w:rsidRPr="00BC3169" w:rsidRDefault="007B505A" w:rsidP="00FA4C24">
      <w:pPr>
        <w:spacing w:line="360" w:lineRule="auto"/>
        <w:ind w:firstLine="708"/>
        <w:jc w:val="both"/>
        <w:rPr>
          <w:bCs/>
        </w:rPr>
      </w:pPr>
      <w:r>
        <w:rPr>
          <w:b/>
          <w:bCs/>
        </w:rPr>
        <w:t xml:space="preserve">RESULTANDO: 1) </w:t>
      </w:r>
      <w:r>
        <w:rPr>
          <w:bCs/>
        </w:rPr>
        <w:t>que con fecha 21 de abril de 2017, la empresa Conecta S.A. promovió un arbitraje ante la Corte Internacional de Arbitraje de la Cámara de Comercio Internacional (asunto 22753/ASM), contra el Estado Uruguayo, en vir</w:t>
      </w:r>
      <w:r w:rsidR="00B27834">
        <w:rPr>
          <w:bCs/>
        </w:rPr>
        <w:t>tud de los incumplimientos del “c</w:t>
      </w:r>
      <w:r>
        <w:rPr>
          <w:bCs/>
        </w:rPr>
        <w:t xml:space="preserve">ontrato de concesión para el proyecto, construcción y explotación de sistemas de distribución de gas por redes para el abastecimiento de localidades en los </w:t>
      </w:r>
      <w:r w:rsidR="008E3496">
        <w:rPr>
          <w:bCs/>
        </w:rPr>
        <w:t>D</w:t>
      </w:r>
      <w:r>
        <w:rPr>
          <w:bCs/>
        </w:rPr>
        <w:t xml:space="preserve">epartamentos de la República Oriental del Uruguay, con excepción del </w:t>
      </w:r>
      <w:r w:rsidR="00B27834">
        <w:rPr>
          <w:bCs/>
        </w:rPr>
        <w:t>D</w:t>
      </w:r>
      <w:r>
        <w:rPr>
          <w:bCs/>
        </w:rPr>
        <w:t>epartamento de Montevideo, en régimen de concesión de obra pública”, estimando el daño causado en U$S 50.000.000;</w:t>
      </w:r>
    </w:p>
    <w:p w:rsidR="00FA4C24" w:rsidRDefault="00FA4C24" w:rsidP="00FA4C24">
      <w:pPr>
        <w:tabs>
          <w:tab w:val="left" w:pos="1843"/>
        </w:tabs>
        <w:spacing w:line="360" w:lineRule="auto"/>
        <w:ind w:firstLine="2552"/>
        <w:jc w:val="both"/>
      </w:pPr>
      <w:r>
        <w:rPr>
          <w:b/>
          <w:bCs/>
        </w:rPr>
        <w:t xml:space="preserve"> </w:t>
      </w:r>
      <w:r w:rsidR="007B505A">
        <w:rPr>
          <w:b/>
          <w:bCs/>
        </w:rPr>
        <w:t xml:space="preserve">2) </w:t>
      </w:r>
      <w:r w:rsidR="007B505A" w:rsidRPr="00BC3169">
        <w:rPr>
          <w:bCs/>
        </w:rPr>
        <w:t xml:space="preserve">que </w:t>
      </w:r>
      <w:r w:rsidR="007B505A">
        <w:rPr>
          <w:bCs/>
        </w:rPr>
        <w:t xml:space="preserve">con fecha 5 de marzo de 2018, los Sres. Ministros de Relaciones Exteriores y de Industria, Energía y Minería y el Dr. Daniel </w:t>
      </w:r>
      <w:proofErr w:type="spellStart"/>
      <w:r w:rsidR="007B505A">
        <w:rPr>
          <w:bCs/>
        </w:rPr>
        <w:t>Ochs</w:t>
      </w:r>
      <w:proofErr w:type="spellEnd"/>
      <w:r w:rsidR="007B505A">
        <w:rPr>
          <w:bCs/>
        </w:rPr>
        <w:t xml:space="preserve"> </w:t>
      </w:r>
      <w:proofErr w:type="spellStart"/>
      <w:r w:rsidR="007B505A">
        <w:rPr>
          <w:bCs/>
        </w:rPr>
        <w:t>Olaz</w:t>
      </w:r>
      <w:r w:rsidR="008E3496">
        <w:rPr>
          <w:bCs/>
        </w:rPr>
        <w:t>á</w:t>
      </w:r>
      <w:r w:rsidR="007B505A">
        <w:rPr>
          <w:bCs/>
        </w:rPr>
        <w:t>bal</w:t>
      </w:r>
      <w:proofErr w:type="spellEnd"/>
      <w:r w:rsidR="007B505A">
        <w:t>, suscribieron contrato de prestación de servicios profesionales legales;</w:t>
      </w:r>
    </w:p>
    <w:p w:rsidR="00FA4C24" w:rsidRDefault="00FA4C24" w:rsidP="00FA4C24">
      <w:pPr>
        <w:tabs>
          <w:tab w:val="left" w:pos="1843"/>
        </w:tabs>
        <w:spacing w:line="360" w:lineRule="auto"/>
        <w:ind w:firstLine="2552"/>
        <w:jc w:val="both"/>
      </w:pPr>
      <w:r>
        <w:t xml:space="preserve"> </w:t>
      </w:r>
      <w:r w:rsidR="007B505A" w:rsidRPr="00BC3169">
        <w:rPr>
          <w:b/>
        </w:rPr>
        <w:t>3)</w:t>
      </w:r>
      <w:r w:rsidR="007B505A">
        <w:t xml:space="preserve">  que el objeto del mismo </w:t>
      </w:r>
      <w:r w:rsidR="00B63550">
        <w:t>consiste en</w:t>
      </w:r>
      <w:r w:rsidR="007B505A">
        <w:t xml:space="preserve"> l</w:t>
      </w:r>
      <w:r w:rsidR="00B63550">
        <w:t xml:space="preserve">a realización por parte del Dr. Daniel </w:t>
      </w:r>
      <w:proofErr w:type="spellStart"/>
      <w:r w:rsidR="00B63550">
        <w:t>Ochs</w:t>
      </w:r>
      <w:proofErr w:type="spellEnd"/>
      <w:r w:rsidR="00B63550">
        <w:t xml:space="preserve"> </w:t>
      </w:r>
      <w:proofErr w:type="spellStart"/>
      <w:r w:rsidR="00B63550">
        <w:t>Olaz</w:t>
      </w:r>
      <w:r w:rsidR="00B27834">
        <w:t>á</w:t>
      </w:r>
      <w:r w:rsidR="00B63550">
        <w:t>bal</w:t>
      </w:r>
      <w:proofErr w:type="spellEnd"/>
      <w:r w:rsidR="00B63550">
        <w:t xml:space="preserve"> de un informe </w:t>
      </w:r>
      <w:r w:rsidR="00B27834">
        <w:t xml:space="preserve"> jurídico </w:t>
      </w:r>
      <w:r w:rsidR="00B63550">
        <w:t xml:space="preserve"> de su especi</w:t>
      </w:r>
      <w:r w:rsidR="00B27834">
        <w:t>a</w:t>
      </w:r>
      <w:r w:rsidR="00B63550">
        <w:t>lidad</w:t>
      </w:r>
      <w:r w:rsidR="00B27834">
        <w:t>,</w:t>
      </w:r>
      <w:r w:rsidR="00B63550">
        <w:t xml:space="preserve"> para ser agr</w:t>
      </w:r>
      <w:r w:rsidR="00B27834">
        <w:t>e</w:t>
      </w:r>
      <w:r w:rsidR="00B63550">
        <w:t>g</w:t>
      </w:r>
      <w:r w:rsidR="00B27834">
        <w:t>a</w:t>
      </w:r>
      <w:r w:rsidR="00B63550">
        <w:t>do  al memorial de contes</w:t>
      </w:r>
      <w:r w:rsidR="00B27834">
        <w:t>tació</w:t>
      </w:r>
      <w:r w:rsidR="00B63550">
        <w:t>n de dema</w:t>
      </w:r>
      <w:r w:rsidR="00B27834">
        <w:t>n</w:t>
      </w:r>
      <w:r w:rsidR="00B63550">
        <w:t>d</w:t>
      </w:r>
      <w:r w:rsidR="00B27834">
        <w:t>a</w:t>
      </w:r>
      <w:r w:rsidR="00B63550">
        <w:t xml:space="preserve"> y deman</w:t>
      </w:r>
      <w:r w:rsidR="00B27834">
        <w:t>da</w:t>
      </w:r>
      <w:r w:rsidR="00B63550">
        <w:t xml:space="preserve"> de </w:t>
      </w:r>
      <w:r w:rsidR="00B27834">
        <w:t>reconvención, así como participar</w:t>
      </w:r>
      <w:r w:rsidR="00B63550">
        <w:t xml:space="preserve">, si le </w:t>
      </w:r>
      <w:r w:rsidR="00B27834">
        <w:t>fuera</w:t>
      </w:r>
      <w:r w:rsidR="00B63550">
        <w:t xml:space="preserve"> </w:t>
      </w:r>
      <w:r w:rsidR="00B27834">
        <w:t>requerido</w:t>
      </w:r>
      <w:r w:rsidR="00B63550">
        <w:t xml:space="preserve">, en las </w:t>
      </w:r>
      <w:r w:rsidR="00B27834">
        <w:lastRenderedPageBreak/>
        <w:t>audiencias</w:t>
      </w:r>
      <w:r w:rsidR="00B63550">
        <w:t xml:space="preserve"> del</w:t>
      </w:r>
      <w:r w:rsidR="00B27834">
        <w:t xml:space="preserve"> referido arbit</w:t>
      </w:r>
      <w:r w:rsidR="00B63550">
        <w:t>r</w:t>
      </w:r>
      <w:r w:rsidR="00B27834">
        <w:t>a</w:t>
      </w:r>
      <w:r w:rsidR="00B63550">
        <w:t>je a los efectos de acl</w:t>
      </w:r>
      <w:r w:rsidR="00B27834">
        <w:t>a</w:t>
      </w:r>
      <w:r w:rsidR="00B63550">
        <w:t>rar o ampliar puntos de su informe;</w:t>
      </w:r>
    </w:p>
    <w:p w:rsidR="00B63550" w:rsidRDefault="00FA4C24" w:rsidP="00FA4C24">
      <w:pPr>
        <w:tabs>
          <w:tab w:val="left" w:pos="1843"/>
        </w:tabs>
        <w:spacing w:line="360" w:lineRule="auto"/>
        <w:ind w:firstLine="2552"/>
        <w:jc w:val="both"/>
      </w:pPr>
      <w:r>
        <w:t xml:space="preserve"> </w:t>
      </w:r>
      <w:r w:rsidR="007B505A" w:rsidRPr="00B633F2">
        <w:rPr>
          <w:b/>
        </w:rPr>
        <w:t>4)</w:t>
      </w:r>
      <w:r w:rsidR="007B505A">
        <w:t xml:space="preserve"> que se</w:t>
      </w:r>
      <w:r w:rsidR="00B63550">
        <w:t>gún surge del contrato adjunto,  se</w:t>
      </w:r>
      <w:r w:rsidR="007B505A">
        <w:t xml:space="preserve"> acuerda que los honorarios </w:t>
      </w:r>
      <w:r w:rsidR="00B63550">
        <w:t xml:space="preserve">profesionales </w:t>
      </w:r>
      <w:r w:rsidR="007B505A">
        <w:t xml:space="preserve">a abonar por el Estado </w:t>
      </w:r>
      <w:r w:rsidR="00B63550">
        <w:t xml:space="preserve">ascenderán a U$S10.500 + IVA o su equivalente en pesos uruguayos al </w:t>
      </w:r>
      <w:r w:rsidR="00B27834">
        <w:t>momento</w:t>
      </w:r>
      <w:r w:rsidR="00B63550">
        <w:t xml:space="preserve"> del pago;</w:t>
      </w:r>
    </w:p>
    <w:p w:rsidR="00B01553" w:rsidRDefault="007B505A" w:rsidP="00FA4C24">
      <w:pPr>
        <w:spacing w:line="360" w:lineRule="auto"/>
        <w:ind w:firstLine="708"/>
        <w:jc w:val="both"/>
        <w:rPr>
          <w:rFonts w:cs="Arial"/>
          <w:bCs/>
          <w:lang w:val="es-MX"/>
        </w:rPr>
      </w:pPr>
      <w:r>
        <w:rPr>
          <w:b/>
          <w:bCs/>
        </w:rPr>
        <w:t>CONSIDERANDO: 1)</w:t>
      </w:r>
      <w:r>
        <w:t xml:space="preserve"> </w:t>
      </w:r>
      <w:r w:rsidR="00B01553">
        <w:rPr>
          <w:rFonts w:cs="Arial"/>
          <w:b/>
          <w:lang w:val="es-MX"/>
        </w:rPr>
        <w:t xml:space="preserve"> </w:t>
      </w:r>
      <w:r w:rsidR="00B01553">
        <w:rPr>
          <w:rFonts w:cs="Arial"/>
          <w:bCs/>
          <w:lang w:val="es-MX"/>
        </w:rPr>
        <w:t xml:space="preserve">que la Ordenanza del Tribunal de Cuentas N° 64, de 2 de marzo de 1988, preceptúa en su </w:t>
      </w:r>
      <w:r w:rsidR="00FA4C24">
        <w:rPr>
          <w:rFonts w:cs="Arial"/>
          <w:bCs/>
          <w:lang w:val="es-MX"/>
        </w:rPr>
        <w:t>A</w:t>
      </w:r>
      <w:r w:rsidR="00B01553">
        <w:rPr>
          <w:rFonts w:cs="Arial"/>
          <w:bCs/>
          <w:lang w:val="es-MX"/>
        </w:rPr>
        <w:t>rtículo 16 que los Contadores Delegados intervendrán preventivamente todos los gastos que no superen el monto establecido para proceder a la contratación por la vía de la licitación pública;</w:t>
      </w:r>
    </w:p>
    <w:p w:rsidR="00FA4C24" w:rsidRDefault="00B01553" w:rsidP="00FA4C24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2) </w:t>
      </w:r>
      <w:r>
        <w:rPr>
          <w:rFonts w:cs="Arial"/>
          <w:bCs/>
          <w:lang w:val="es-MX"/>
        </w:rPr>
        <w:t xml:space="preserve">que la Ordenanza del Tribunal de Cuentas N° 72, del 23 de mayo de 1996, en la redacción dada por Resolución adoptada por este Tribunal en sesión de fecha 9 de febrero de 2011, en su </w:t>
      </w:r>
      <w:r w:rsidR="00FA4C24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rtículo 5°, excluye de la intervención a cargo de los Auditores de este Tribunal y de los Contadores Delegados, únicamente las contrataciones de profesionales o técnicos en régimen de arrendamiento de obra (</w:t>
      </w:r>
      <w:r w:rsidR="00FA4C24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>rtículo 47 de la Ley Nº 18.719 de</w:t>
      </w:r>
      <w:r w:rsidR="00B27834">
        <w:rPr>
          <w:rFonts w:cs="Arial"/>
          <w:bCs/>
          <w:lang w:val="es-MX"/>
        </w:rPr>
        <w:t>l</w:t>
      </w:r>
      <w:r>
        <w:rPr>
          <w:rFonts w:cs="Arial"/>
          <w:bCs/>
          <w:lang w:val="es-MX"/>
        </w:rPr>
        <w:t xml:space="preserve"> 27</w:t>
      </w:r>
      <w:r w:rsidR="00B27834">
        <w:rPr>
          <w:rFonts w:cs="Arial"/>
          <w:bCs/>
          <w:lang w:val="es-MX"/>
        </w:rPr>
        <w:t xml:space="preserve"> de diciembre de 20</w:t>
      </w:r>
      <w:r>
        <w:rPr>
          <w:rFonts w:cs="Arial"/>
          <w:bCs/>
          <w:lang w:val="es-MX"/>
        </w:rPr>
        <w:t>10), cuando el monto anual del contrato exceda el triple del límite de la contratación directa;</w:t>
      </w:r>
    </w:p>
    <w:p w:rsidR="00FA4C24" w:rsidRDefault="00B01553" w:rsidP="00FA4C24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3) </w:t>
      </w:r>
      <w:r>
        <w:rPr>
          <w:rFonts w:cs="Arial"/>
          <w:lang w:val="es-MX"/>
        </w:rPr>
        <w:t xml:space="preserve">que </w:t>
      </w:r>
      <w:r w:rsidR="00B27834">
        <w:rPr>
          <w:rFonts w:cs="Arial"/>
          <w:lang w:val="es-MX"/>
        </w:rPr>
        <w:t>consistiendo</w:t>
      </w:r>
      <w:r>
        <w:rPr>
          <w:rFonts w:cs="Arial"/>
          <w:lang w:val="es-MX"/>
        </w:rPr>
        <w:t xml:space="preserve"> la contratación remitida </w:t>
      </w:r>
      <w:r w:rsidR="00B27834">
        <w:rPr>
          <w:rFonts w:cs="Arial"/>
          <w:lang w:val="es-MX"/>
        </w:rPr>
        <w:t xml:space="preserve">en </w:t>
      </w:r>
      <w:r>
        <w:rPr>
          <w:rFonts w:cs="Arial"/>
          <w:lang w:val="es-MX"/>
        </w:rPr>
        <w:t>un arrendam</w:t>
      </w:r>
      <w:r w:rsidR="00B27834">
        <w:rPr>
          <w:rFonts w:cs="Arial"/>
          <w:lang w:val="es-MX"/>
        </w:rPr>
        <w:t>ie</w:t>
      </w:r>
      <w:r>
        <w:rPr>
          <w:rFonts w:cs="Arial"/>
          <w:lang w:val="es-MX"/>
        </w:rPr>
        <w:t>n</w:t>
      </w:r>
      <w:r w:rsidR="00B27834">
        <w:rPr>
          <w:rFonts w:cs="Arial"/>
          <w:lang w:val="es-MX"/>
        </w:rPr>
        <w:t>t</w:t>
      </w:r>
      <w:r>
        <w:rPr>
          <w:rFonts w:cs="Arial"/>
          <w:lang w:val="es-MX"/>
        </w:rPr>
        <w:t xml:space="preserve">o de obra de un </w:t>
      </w:r>
      <w:r w:rsidR="00B27834">
        <w:rPr>
          <w:rFonts w:cs="Arial"/>
          <w:lang w:val="es-MX"/>
        </w:rPr>
        <w:t>profesional</w:t>
      </w:r>
      <w:r>
        <w:rPr>
          <w:rFonts w:cs="Arial"/>
          <w:lang w:val="es-MX"/>
        </w:rPr>
        <w:t xml:space="preserve"> cuyo monto total se </w:t>
      </w:r>
      <w:r w:rsidR="00B27834">
        <w:rPr>
          <w:rFonts w:cs="Arial"/>
          <w:lang w:val="es-MX"/>
        </w:rPr>
        <w:t>encuentra</w:t>
      </w:r>
      <w:r>
        <w:rPr>
          <w:rFonts w:cs="Arial"/>
          <w:lang w:val="es-MX"/>
        </w:rPr>
        <w:t xml:space="preserve"> por debajo d</w:t>
      </w:r>
      <w:r>
        <w:rPr>
          <w:rFonts w:cs="Arial"/>
          <w:bCs/>
          <w:lang w:val="es-MX"/>
        </w:rPr>
        <w:t>el triple del límite de la contratación directa</w:t>
      </w:r>
      <w:r>
        <w:rPr>
          <w:rFonts w:cs="Arial"/>
          <w:lang w:val="es-MX"/>
        </w:rPr>
        <w:t>, corresponde que la intervención del gasto  la realice el Contador Delegado, conforme con lo dispuesto por las Ordenanzas citadas</w:t>
      </w:r>
      <w:r>
        <w:rPr>
          <w:rFonts w:cs="Arial"/>
          <w:bCs/>
          <w:lang w:val="es-MX"/>
        </w:rPr>
        <w:t>;</w:t>
      </w:r>
    </w:p>
    <w:p w:rsidR="00B01553" w:rsidRPr="00FA4C24" w:rsidRDefault="00B01553" w:rsidP="00FA4C24">
      <w:pPr>
        <w:spacing w:line="360" w:lineRule="auto"/>
        <w:ind w:firstLine="2835"/>
        <w:jc w:val="both"/>
        <w:rPr>
          <w:rFonts w:cs="Arial"/>
          <w:bCs/>
          <w:lang w:val="es-MX"/>
        </w:rPr>
      </w:pPr>
      <w:r>
        <w:rPr>
          <w:rFonts w:cs="Arial"/>
          <w:b/>
          <w:lang w:val="es-MX"/>
        </w:rPr>
        <w:t xml:space="preserve">4) </w:t>
      </w:r>
      <w:r>
        <w:rPr>
          <w:rFonts w:cs="Arial"/>
          <w:bCs/>
          <w:lang w:val="es-MX"/>
        </w:rPr>
        <w:t>que, sin perjuicio de lo expresado, aquellos contratos que por su monto o naturaleza la intervención no le corresponde a este Tribunal, podrán ser remitidos en consulta a su consideración por los Contadores Delegados, cuando éstos lo estimen pertinente, a efectos de que se les impartan las directivas que correspondan (</w:t>
      </w:r>
      <w:r w:rsidR="00FA4C24">
        <w:rPr>
          <w:rFonts w:cs="Arial"/>
          <w:bCs/>
          <w:lang w:val="es-MX"/>
        </w:rPr>
        <w:t>A</w:t>
      </w:r>
      <w:r>
        <w:rPr>
          <w:rFonts w:cs="Arial"/>
          <w:bCs/>
          <w:lang w:val="es-MX"/>
        </w:rPr>
        <w:t xml:space="preserve">rtículo 12 de la Ordenanza Nº 64); </w:t>
      </w:r>
      <w:r>
        <w:rPr>
          <w:rFonts w:cs="Arial"/>
          <w:b/>
          <w:lang w:val="es-MX"/>
        </w:rPr>
        <w:t xml:space="preserve"> </w:t>
      </w:r>
      <w:r>
        <w:rPr>
          <w:rFonts w:cs="Arial"/>
          <w:lang w:val="es-MX"/>
        </w:rPr>
        <w:t xml:space="preserve">                      </w:t>
      </w:r>
    </w:p>
    <w:p w:rsidR="00B01553" w:rsidRDefault="00B01553" w:rsidP="00FA4C24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  <w:b/>
        </w:rPr>
        <w:lastRenderedPageBreak/>
        <w:t xml:space="preserve">ATENTO </w:t>
      </w:r>
      <w:r>
        <w:rPr>
          <w:rFonts w:cs="Arial"/>
          <w:lang w:val="es-MX"/>
        </w:rPr>
        <w:t xml:space="preserve">a lo precedentemente expuesto y a lo dispuesto por el </w:t>
      </w:r>
      <w:r w:rsidR="00FA4C24">
        <w:rPr>
          <w:rFonts w:cs="Arial"/>
          <w:lang w:val="es-MX"/>
        </w:rPr>
        <w:t>L</w:t>
      </w:r>
      <w:r>
        <w:rPr>
          <w:rFonts w:cs="Arial"/>
          <w:lang w:val="es-MX"/>
        </w:rPr>
        <w:t xml:space="preserve">iteral B) del </w:t>
      </w:r>
      <w:r w:rsidR="00FA4C24">
        <w:rPr>
          <w:rFonts w:cs="Arial"/>
          <w:lang w:val="es-MX"/>
        </w:rPr>
        <w:t>A</w:t>
      </w:r>
      <w:r>
        <w:rPr>
          <w:rFonts w:cs="Arial"/>
          <w:lang w:val="es-MX"/>
        </w:rPr>
        <w:t>rtículo 211 de la Constitución de la República y las Ordenanza</w:t>
      </w:r>
      <w:r w:rsidR="00692D04">
        <w:rPr>
          <w:rFonts w:cs="Arial"/>
          <w:lang w:val="es-MX"/>
        </w:rPr>
        <w:t>s</w:t>
      </w:r>
      <w:r>
        <w:rPr>
          <w:rFonts w:cs="Arial"/>
          <w:lang w:val="es-MX"/>
        </w:rPr>
        <w:t xml:space="preserve"> N° 64 y Nº 72 de este Tribunal</w:t>
      </w:r>
      <w:r>
        <w:rPr>
          <w:rFonts w:cs="Arial"/>
        </w:rPr>
        <w:t>;</w:t>
      </w:r>
    </w:p>
    <w:p w:rsidR="00B01553" w:rsidRDefault="00B01553" w:rsidP="00FA4C24">
      <w:pPr>
        <w:pStyle w:val="Ttulo2"/>
        <w:spacing w:before="0" w:line="360" w:lineRule="auto"/>
        <w:jc w:val="center"/>
        <w:rPr>
          <w:rFonts w:ascii="Arial" w:hAnsi="Arial" w:cs="Arial"/>
          <w:color w:val="auto"/>
        </w:rPr>
      </w:pPr>
      <w:r w:rsidRPr="00B01553">
        <w:rPr>
          <w:rFonts w:ascii="Arial" w:hAnsi="Arial" w:cs="Arial"/>
          <w:color w:val="auto"/>
        </w:rPr>
        <w:t>EL TRIBUNAL ACUERDA</w:t>
      </w:r>
    </w:p>
    <w:p w:rsidR="00B01553" w:rsidRDefault="00B01553" w:rsidP="00FA4C24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Devolver los antecedentes a la Administración actuante a los efectos de que el Contador </w:t>
      </w:r>
      <w:r w:rsidR="00692D04">
        <w:rPr>
          <w:rFonts w:cs="Arial"/>
          <w:lang w:val="es-MX"/>
        </w:rPr>
        <w:t>Auditor</w:t>
      </w:r>
      <w:r>
        <w:rPr>
          <w:rFonts w:cs="Arial"/>
          <w:lang w:val="es-MX"/>
        </w:rPr>
        <w:t xml:space="preserve"> controle la legalidad del gasto;</w:t>
      </w:r>
      <w:r w:rsidR="00FA4C24">
        <w:rPr>
          <w:rFonts w:cs="Arial"/>
          <w:lang w:val="es-MX"/>
        </w:rPr>
        <w:t xml:space="preserve"> y</w:t>
      </w:r>
    </w:p>
    <w:p w:rsidR="00B01553" w:rsidRDefault="00B01553" w:rsidP="00FA4C24">
      <w:pPr>
        <w:numPr>
          <w:ilvl w:val="0"/>
          <w:numId w:val="2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>
        <w:rPr>
          <w:rFonts w:cs="Arial"/>
          <w:lang w:val="es-MX"/>
        </w:rPr>
        <w:t xml:space="preserve">Comunicar al Contador </w:t>
      </w:r>
      <w:r w:rsidR="00692D04">
        <w:rPr>
          <w:rFonts w:cs="Arial"/>
          <w:lang w:val="es-MX"/>
        </w:rPr>
        <w:t>Auditor</w:t>
      </w:r>
      <w:r>
        <w:rPr>
          <w:rFonts w:cs="Arial"/>
          <w:lang w:val="es-MX"/>
        </w:rPr>
        <w:t>.</w:t>
      </w:r>
    </w:p>
    <w:p w:rsidR="00FA4C24" w:rsidRDefault="00FA4C24" w:rsidP="00FA4C24">
      <w:pPr>
        <w:spacing w:line="360" w:lineRule="auto"/>
        <w:rPr>
          <w:rFonts w:cs="Arial"/>
          <w:lang w:val="es-MX"/>
        </w:rPr>
      </w:pPr>
    </w:p>
    <w:p w:rsidR="00692D04" w:rsidRDefault="00FA4C24" w:rsidP="00FA4C24">
      <w:pPr>
        <w:spacing w:line="360" w:lineRule="auto"/>
        <w:rPr>
          <w:rFonts w:cs="Arial"/>
          <w:lang w:val="es-MX"/>
        </w:rPr>
      </w:pPr>
      <w:proofErr w:type="spellStart"/>
      <w:proofErr w:type="gramStart"/>
      <w:r>
        <w:rPr>
          <w:rFonts w:cs="Arial"/>
          <w:lang w:val="es-MX"/>
        </w:rPr>
        <w:t>aa</w:t>
      </w:r>
      <w:proofErr w:type="spellEnd"/>
      <w:proofErr w:type="gramEnd"/>
    </w:p>
    <w:p w:rsidR="00692D04" w:rsidRPr="00692D04" w:rsidRDefault="00692D04" w:rsidP="00692D04">
      <w:pPr>
        <w:rPr>
          <w:rFonts w:cs="Arial"/>
          <w:lang w:val="es-MX"/>
        </w:rPr>
      </w:pPr>
    </w:p>
    <w:p w:rsidR="00692D04" w:rsidRPr="00692D04" w:rsidRDefault="00692D04" w:rsidP="00692D04">
      <w:pPr>
        <w:rPr>
          <w:rFonts w:cs="Arial"/>
          <w:lang w:val="es-MX"/>
        </w:rPr>
      </w:pPr>
    </w:p>
    <w:p w:rsidR="00692D04" w:rsidRPr="00692D04" w:rsidRDefault="00692D04" w:rsidP="00692D04">
      <w:pPr>
        <w:rPr>
          <w:rFonts w:cs="Arial"/>
          <w:lang w:val="es-MX"/>
        </w:rPr>
      </w:pPr>
    </w:p>
    <w:p w:rsidR="00692D04" w:rsidRPr="00692D04" w:rsidRDefault="00692D04" w:rsidP="00692D04">
      <w:pPr>
        <w:rPr>
          <w:rFonts w:cs="Arial"/>
          <w:lang w:val="es-MX"/>
        </w:rPr>
      </w:pPr>
    </w:p>
    <w:p w:rsidR="00692D04" w:rsidRDefault="00692D04" w:rsidP="00692D04">
      <w:pPr>
        <w:rPr>
          <w:rFonts w:cs="Arial"/>
          <w:lang w:val="es-MX"/>
        </w:rPr>
      </w:pPr>
    </w:p>
    <w:p w:rsidR="00FA4C24" w:rsidRPr="00692D04" w:rsidRDefault="00692D04" w:rsidP="00692D04">
      <w:pPr>
        <w:tabs>
          <w:tab w:val="left" w:pos="2728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  <w:bookmarkStart w:id="0" w:name="_GoBack"/>
      <w:bookmarkEnd w:id="0"/>
    </w:p>
    <w:sectPr w:rsidR="00FA4C24" w:rsidRPr="00692D04" w:rsidSect="00842AAC">
      <w:pgSz w:w="11907" w:h="16840" w:code="9"/>
      <w:pgMar w:top="3402" w:right="1701" w:bottom="1134" w:left="1701" w:header="720" w:footer="720" w:gutter="0"/>
      <w:paperSrc w:first="260" w:other="26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B2C1B"/>
    <w:multiLevelType w:val="hybridMultilevel"/>
    <w:tmpl w:val="3C68B862"/>
    <w:lvl w:ilvl="0" w:tplc="058C0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5"/>
        </w:tabs>
        <w:ind w:left="109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5"/>
        </w:tabs>
        <w:ind w:left="181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5"/>
        </w:tabs>
        <w:ind w:left="253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5"/>
        </w:tabs>
        <w:ind w:left="325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5"/>
        </w:tabs>
        <w:ind w:left="397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5"/>
        </w:tabs>
        <w:ind w:left="469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5"/>
        </w:tabs>
        <w:ind w:left="541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5"/>
        </w:tabs>
        <w:ind w:left="6135" w:hanging="180"/>
      </w:pPr>
    </w:lvl>
  </w:abstractNum>
  <w:abstractNum w:abstractNumId="1">
    <w:nsid w:val="765E3611"/>
    <w:multiLevelType w:val="singleLevel"/>
    <w:tmpl w:val="94D649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05A"/>
    <w:rsid w:val="001B56F1"/>
    <w:rsid w:val="00680D2F"/>
    <w:rsid w:val="00692D04"/>
    <w:rsid w:val="007B505A"/>
    <w:rsid w:val="00842AAC"/>
    <w:rsid w:val="008E3496"/>
    <w:rsid w:val="00B01553"/>
    <w:rsid w:val="00B27834"/>
    <w:rsid w:val="00B63550"/>
    <w:rsid w:val="00FA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B505A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505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B505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B505A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C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C2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05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B505A"/>
    <w:pPr>
      <w:keepNext/>
      <w:tabs>
        <w:tab w:val="left" w:pos="-720"/>
      </w:tabs>
      <w:suppressAutoHyphens/>
      <w:spacing w:line="360" w:lineRule="auto"/>
      <w:jc w:val="center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1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B505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B505A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7B505A"/>
    <w:rPr>
      <w:rFonts w:ascii="Arial" w:eastAsia="Times New Roman" w:hAnsi="Arial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1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4C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4C2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FB7BA-28D0-4B45-8F31-BA2FDD2B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cp:lastPrinted>2018-05-28T19:09:00Z</cp:lastPrinted>
  <dcterms:created xsi:type="dcterms:W3CDTF">2018-05-28T16:51:00Z</dcterms:created>
  <dcterms:modified xsi:type="dcterms:W3CDTF">2018-05-28T19:10:00Z</dcterms:modified>
</cp:coreProperties>
</file>