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D41" w:rsidRPr="00786EEB" w:rsidRDefault="00A00D41" w:rsidP="00786EEB">
      <w:pPr>
        <w:tabs>
          <w:tab w:val="center" w:pos="4253"/>
        </w:tabs>
        <w:suppressAutoHyphens/>
        <w:jc w:val="right"/>
        <w:rPr>
          <w:rFonts w:cs="Arial"/>
          <w:b/>
          <w:sz w:val="28"/>
          <w:szCs w:val="28"/>
          <w:lang w:val="es-ES_tradnl"/>
        </w:rPr>
      </w:pPr>
      <w:bookmarkStart w:id="0" w:name="_GoBack"/>
      <w:bookmarkEnd w:id="0"/>
      <w:r>
        <w:rPr>
          <w:rFonts w:cs="Arial"/>
          <w:b/>
          <w:sz w:val="28"/>
          <w:szCs w:val="28"/>
          <w:lang w:val="es-ES_tradnl"/>
        </w:rPr>
        <w:t>RES. 1710/18</w:t>
      </w:r>
    </w:p>
    <w:p w:rsidR="00A00D41" w:rsidRDefault="00A00D41" w:rsidP="00786EEB">
      <w:pPr>
        <w:tabs>
          <w:tab w:val="center" w:pos="4253"/>
        </w:tabs>
        <w:suppressAutoHyphens/>
        <w:jc w:val="right"/>
        <w:rPr>
          <w:rFonts w:cs="Arial"/>
          <w:b/>
          <w:lang w:val="es-ES_tradnl"/>
        </w:rPr>
      </w:pPr>
    </w:p>
    <w:p w:rsidR="00A00D41" w:rsidRPr="00762B34" w:rsidRDefault="00A00D41">
      <w:pPr>
        <w:tabs>
          <w:tab w:val="center" w:pos="4253"/>
        </w:tabs>
        <w:suppressAutoHyphens/>
        <w:jc w:val="center"/>
        <w:rPr>
          <w:rFonts w:cs="Arial"/>
          <w:b/>
          <w:lang w:val="es-ES_tradnl"/>
        </w:rPr>
      </w:pPr>
      <w:r w:rsidRPr="00762B34">
        <w:rPr>
          <w:rFonts w:cs="Arial"/>
          <w:b/>
          <w:lang w:val="es-ES_tradnl"/>
        </w:rPr>
        <w:t>RESOLUCION ADOPTADA POR EL</w:t>
      </w:r>
    </w:p>
    <w:p w:rsidR="00A00D41" w:rsidRPr="00762B34" w:rsidRDefault="00A00D41">
      <w:pPr>
        <w:tabs>
          <w:tab w:val="left" w:pos="-720"/>
        </w:tabs>
        <w:suppressAutoHyphens/>
        <w:jc w:val="center"/>
        <w:rPr>
          <w:rFonts w:cs="Arial"/>
          <w:b/>
          <w:lang w:val="es-ES_tradnl"/>
        </w:rPr>
      </w:pPr>
    </w:p>
    <w:p w:rsidR="00A00D41" w:rsidRPr="00762B34" w:rsidRDefault="00A00D41">
      <w:pPr>
        <w:tabs>
          <w:tab w:val="center" w:pos="4253"/>
        </w:tabs>
        <w:suppressAutoHyphens/>
        <w:jc w:val="center"/>
        <w:rPr>
          <w:rFonts w:cs="Arial"/>
          <w:b/>
          <w:lang w:val="es-ES_tradnl"/>
        </w:rPr>
      </w:pPr>
      <w:r w:rsidRPr="00762B34">
        <w:rPr>
          <w:rFonts w:cs="Arial"/>
          <w:b/>
          <w:lang w:val="es-ES_tradnl"/>
        </w:rPr>
        <w:t>TRIBUNAL DE CUENTAS</w:t>
      </w:r>
    </w:p>
    <w:p w:rsidR="00A00D41" w:rsidRPr="00762B34" w:rsidRDefault="00A00D41">
      <w:pPr>
        <w:tabs>
          <w:tab w:val="left" w:pos="-720"/>
        </w:tabs>
        <w:suppressAutoHyphens/>
        <w:jc w:val="center"/>
        <w:rPr>
          <w:rFonts w:cs="Arial"/>
          <w:b/>
          <w:lang w:val="es-ES_tradnl"/>
        </w:rPr>
      </w:pPr>
    </w:p>
    <w:p w:rsidR="00A00D41" w:rsidRDefault="00A00D41">
      <w:pPr>
        <w:tabs>
          <w:tab w:val="center" w:pos="4253"/>
        </w:tabs>
        <w:suppressAutoHyphens/>
        <w:jc w:val="center"/>
        <w:rPr>
          <w:rFonts w:cs="Arial"/>
          <w:b/>
          <w:lang w:val="es-ES_tradnl"/>
        </w:rPr>
      </w:pPr>
      <w:r w:rsidRPr="00762B34">
        <w:rPr>
          <w:rFonts w:cs="Arial"/>
          <w:b/>
          <w:lang w:val="es-ES_tradnl"/>
        </w:rPr>
        <w:t xml:space="preserve">EN SESION </w:t>
      </w:r>
      <w:r>
        <w:rPr>
          <w:rFonts w:cs="Arial"/>
          <w:b/>
          <w:lang w:val="es-ES_tradnl"/>
        </w:rPr>
        <w:t xml:space="preserve">EXTRAORDINARIA </w:t>
      </w:r>
      <w:r w:rsidRPr="00762B34">
        <w:rPr>
          <w:rFonts w:cs="Arial"/>
          <w:b/>
          <w:lang w:val="es-ES_tradnl"/>
        </w:rPr>
        <w:t>DE</w:t>
      </w:r>
    </w:p>
    <w:p w:rsidR="00A00D41" w:rsidRDefault="00A00D41">
      <w:pPr>
        <w:tabs>
          <w:tab w:val="center" w:pos="4253"/>
        </w:tabs>
        <w:suppressAutoHyphens/>
        <w:jc w:val="center"/>
        <w:rPr>
          <w:rFonts w:cs="Arial"/>
          <w:b/>
          <w:lang w:val="es-ES_tradnl"/>
        </w:rPr>
      </w:pPr>
    </w:p>
    <w:p w:rsidR="00A00D41" w:rsidRPr="00762B34" w:rsidRDefault="00A00D41">
      <w:pPr>
        <w:tabs>
          <w:tab w:val="center" w:pos="4253"/>
        </w:tabs>
        <w:suppressAutoHyphens/>
        <w:jc w:val="center"/>
        <w:rPr>
          <w:rFonts w:cs="Arial"/>
          <w:b/>
          <w:lang w:val="es-ES_tradnl"/>
        </w:rPr>
      </w:pPr>
      <w:r w:rsidRPr="00762B34">
        <w:rPr>
          <w:rFonts w:cs="Arial"/>
          <w:b/>
          <w:lang w:val="es-ES_tradnl"/>
        </w:rPr>
        <w:t xml:space="preserve">FECHA </w:t>
      </w:r>
      <w:r>
        <w:rPr>
          <w:rFonts w:cs="Arial"/>
          <w:b/>
          <w:lang w:val="es-ES_tradnl"/>
        </w:rPr>
        <w:t xml:space="preserve">28 DE MAYO </w:t>
      </w:r>
      <w:r>
        <w:rPr>
          <w:rFonts w:ascii="Helvetica" w:hAnsi="Helvetica"/>
          <w:b/>
          <w:lang w:val="es-ES_tradnl"/>
        </w:rPr>
        <w:t>DE 2018</w:t>
      </w:r>
    </w:p>
    <w:p w:rsidR="00A00D41" w:rsidRPr="00762B34" w:rsidRDefault="00A00D41">
      <w:pPr>
        <w:tabs>
          <w:tab w:val="center" w:pos="4253"/>
        </w:tabs>
        <w:suppressAutoHyphens/>
        <w:jc w:val="center"/>
        <w:rPr>
          <w:rFonts w:cs="Arial"/>
          <w:b/>
          <w:lang w:val="es-ES_tradnl"/>
        </w:rPr>
      </w:pPr>
    </w:p>
    <w:p w:rsidR="00A00D41" w:rsidRPr="00F72D37" w:rsidRDefault="00A00D41">
      <w:pPr>
        <w:tabs>
          <w:tab w:val="center" w:pos="4253"/>
        </w:tabs>
        <w:suppressAutoHyphens/>
        <w:jc w:val="center"/>
        <w:rPr>
          <w:rFonts w:cs="Arial"/>
          <w:b/>
          <w:lang w:val="es-UY"/>
        </w:rPr>
      </w:pPr>
      <w:r w:rsidRPr="00F72D37">
        <w:rPr>
          <w:rFonts w:cs="Arial"/>
          <w:b/>
          <w:lang w:val="es-UY"/>
        </w:rPr>
        <w:t xml:space="preserve">(E. E. Nº 2018-17-1-0003242, </w:t>
      </w:r>
      <w:proofErr w:type="spellStart"/>
      <w:r w:rsidRPr="00F72D37">
        <w:rPr>
          <w:rFonts w:cs="Arial"/>
          <w:b/>
          <w:lang w:val="es-UY"/>
        </w:rPr>
        <w:t>Ent</w:t>
      </w:r>
      <w:proofErr w:type="spellEnd"/>
      <w:r w:rsidRPr="00F72D37">
        <w:rPr>
          <w:rFonts w:cs="Arial"/>
          <w:b/>
          <w:lang w:val="es-UY"/>
        </w:rPr>
        <w:t>. N° 2495/18)</w:t>
      </w:r>
    </w:p>
    <w:p w:rsidR="00A00D41" w:rsidRPr="00F72D37" w:rsidRDefault="00A00D41">
      <w:pPr>
        <w:tabs>
          <w:tab w:val="center" w:pos="4253"/>
        </w:tabs>
        <w:suppressAutoHyphens/>
        <w:jc w:val="center"/>
        <w:rPr>
          <w:rFonts w:ascii="Helvetica" w:hAnsi="Helvetica"/>
          <w:b/>
          <w:lang w:val="es-UY"/>
        </w:rPr>
      </w:pPr>
    </w:p>
    <w:p w:rsidR="001C65A8" w:rsidRPr="00C61D44" w:rsidRDefault="001C65A8" w:rsidP="001C65A8">
      <w:pPr>
        <w:rPr>
          <w:rFonts w:cs="Arial"/>
        </w:rPr>
      </w:pPr>
    </w:p>
    <w:p w:rsidR="008F1769" w:rsidRPr="00C61D44" w:rsidRDefault="001C65A8" w:rsidP="00F72D37">
      <w:pPr>
        <w:spacing w:line="360" w:lineRule="auto"/>
        <w:ind w:firstLine="851"/>
        <w:jc w:val="both"/>
        <w:rPr>
          <w:rFonts w:cs="Arial"/>
        </w:rPr>
      </w:pPr>
      <w:r w:rsidRPr="00C61D44">
        <w:rPr>
          <w:rFonts w:cs="Arial"/>
          <w:b/>
        </w:rPr>
        <w:t>V</w:t>
      </w:r>
      <w:r w:rsidR="008F1769" w:rsidRPr="00C61D44">
        <w:rPr>
          <w:rFonts w:cs="Arial"/>
          <w:b/>
        </w:rPr>
        <w:t>ISTO:</w:t>
      </w:r>
      <w:r w:rsidR="00A00D41">
        <w:rPr>
          <w:rFonts w:cs="Arial"/>
        </w:rPr>
        <w:t xml:space="preserve"> el p</w:t>
      </w:r>
      <w:r w:rsidR="008F1769" w:rsidRPr="00C61D44">
        <w:rPr>
          <w:rFonts w:cs="Arial"/>
        </w:rPr>
        <w:t xml:space="preserve">royecto de Modificación Presupuestal de la Junta </w:t>
      </w:r>
      <w:r w:rsidR="00A00D41">
        <w:rPr>
          <w:rFonts w:cs="Arial"/>
        </w:rPr>
        <w:t>D</w:t>
      </w:r>
      <w:r w:rsidR="008F1769" w:rsidRPr="00C61D44">
        <w:rPr>
          <w:rFonts w:cs="Arial"/>
        </w:rPr>
        <w:t xml:space="preserve">epartamental de </w:t>
      </w:r>
      <w:r w:rsidR="00690A0B" w:rsidRPr="00C61D44">
        <w:rPr>
          <w:rFonts w:cs="Arial"/>
        </w:rPr>
        <w:t>San José</w:t>
      </w:r>
      <w:r w:rsidR="008F1769" w:rsidRPr="00C61D44">
        <w:rPr>
          <w:rFonts w:cs="Arial"/>
        </w:rPr>
        <w:t xml:space="preserve"> para el período 2018-2020;</w:t>
      </w:r>
    </w:p>
    <w:p w:rsidR="00A00D41" w:rsidRDefault="008F1769" w:rsidP="00A00D41">
      <w:pPr>
        <w:pStyle w:val="Textoindependiente"/>
        <w:ind w:firstLine="851"/>
        <w:rPr>
          <w:rFonts w:cs="Arial"/>
          <w:bCs/>
        </w:rPr>
      </w:pPr>
      <w:r w:rsidRPr="00C61D44">
        <w:rPr>
          <w:rFonts w:cs="Arial"/>
          <w:b/>
        </w:rPr>
        <w:t xml:space="preserve">CONSIDERANDO: 1) </w:t>
      </w:r>
      <w:r w:rsidRPr="00C61D44">
        <w:rPr>
          <w:rFonts w:cs="Arial"/>
          <w:bCs/>
        </w:rPr>
        <w:t xml:space="preserve">que se ha dado cumplimiento </w:t>
      </w:r>
      <w:r w:rsidR="00A00D41">
        <w:rPr>
          <w:rFonts w:cs="Arial"/>
          <w:bCs/>
        </w:rPr>
        <w:t xml:space="preserve">con </w:t>
      </w:r>
      <w:r w:rsidRPr="00C61D44">
        <w:rPr>
          <w:rFonts w:cs="Arial"/>
          <w:bCs/>
        </w:rPr>
        <w:t>lo establecido en los Artículos 273 Numeral 6°) de la Constitución de la República y 483 de la Ley N° 17.296;</w:t>
      </w:r>
    </w:p>
    <w:p w:rsidR="008F1769" w:rsidRPr="00C61D44" w:rsidRDefault="00F72D37" w:rsidP="00F72D37">
      <w:pPr>
        <w:pStyle w:val="Textoindependiente"/>
        <w:ind w:firstLine="2977"/>
        <w:rPr>
          <w:rFonts w:cs="Arial"/>
        </w:rPr>
      </w:pPr>
      <w:r>
        <w:rPr>
          <w:rFonts w:cs="Arial"/>
          <w:b/>
          <w:bCs/>
        </w:rPr>
        <w:t xml:space="preserve"> </w:t>
      </w:r>
      <w:r w:rsidR="008F1769" w:rsidRPr="00C61D44">
        <w:rPr>
          <w:rFonts w:cs="Arial"/>
          <w:b/>
          <w:bCs/>
        </w:rPr>
        <w:t>2)</w:t>
      </w:r>
      <w:r w:rsidR="008F1769" w:rsidRPr="00C61D44">
        <w:rPr>
          <w:rFonts w:cs="Arial"/>
        </w:rPr>
        <w:t xml:space="preserve"> que las conclusiones y evidencias obtenidas son las que se expresan en el Dictamen que se adjunta;</w:t>
      </w:r>
    </w:p>
    <w:p w:rsidR="008F1769" w:rsidRPr="00C61D44" w:rsidRDefault="008F1769" w:rsidP="00A00D41">
      <w:pPr>
        <w:pStyle w:val="Textoindependiente"/>
        <w:ind w:firstLine="851"/>
        <w:rPr>
          <w:rFonts w:cs="Arial"/>
        </w:rPr>
      </w:pPr>
      <w:r w:rsidRPr="00C61D44">
        <w:rPr>
          <w:rFonts w:cs="Arial"/>
          <w:b/>
        </w:rPr>
        <w:t>ATENTO:</w:t>
      </w:r>
      <w:r w:rsidRPr="00C61D44">
        <w:rPr>
          <w:rFonts w:cs="Arial"/>
        </w:rPr>
        <w:t xml:space="preserve"> a lo dispuesto por los Artículos 211 Literal A) y 225 de la Constitución de la República y Artículo 483 de la Ley N° 17.296;</w:t>
      </w:r>
    </w:p>
    <w:p w:rsidR="008F1769" w:rsidRPr="00C61D44" w:rsidRDefault="008F1769" w:rsidP="008F1769">
      <w:pPr>
        <w:pStyle w:val="Textoindependiente"/>
        <w:jc w:val="center"/>
        <w:rPr>
          <w:rFonts w:cs="Arial"/>
          <w:b/>
        </w:rPr>
      </w:pPr>
      <w:r w:rsidRPr="00C61D44">
        <w:rPr>
          <w:rFonts w:cs="Arial"/>
          <w:b/>
        </w:rPr>
        <w:t>EL TRIBUNAL ACUERDA</w:t>
      </w:r>
    </w:p>
    <w:p w:rsidR="008F1769" w:rsidRPr="00C61D44" w:rsidRDefault="008F1769" w:rsidP="008F1769">
      <w:pPr>
        <w:pStyle w:val="Textoindependiente"/>
        <w:numPr>
          <w:ilvl w:val="0"/>
          <w:numId w:val="29"/>
        </w:numPr>
        <w:ind w:left="284" w:hanging="284"/>
        <w:rPr>
          <w:rFonts w:cs="Arial"/>
        </w:rPr>
      </w:pPr>
      <w:r w:rsidRPr="00C61D44">
        <w:rPr>
          <w:rFonts w:cs="Arial"/>
        </w:rPr>
        <w:t xml:space="preserve">Emitir </w:t>
      </w:r>
      <w:r w:rsidR="00A00D41">
        <w:rPr>
          <w:rFonts w:cs="Arial"/>
        </w:rPr>
        <w:t>su pronunciamiento respecto al p</w:t>
      </w:r>
      <w:r w:rsidRPr="00C61D44">
        <w:rPr>
          <w:rFonts w:cs="Arial"/>
        </w:rPr>
        <w:t xml:space="preserve">royecto de Modificación Presupuestal de la Junta Departamental de </w:t>
      </w:r>
      <w:r w:rsidR="00690A0B" w:rsidRPr="00C61D44">
        <w:rPr>
          <w:rFonts w:cs="Arial"/>
        </w:rPr>
        <w:t>San José</w:t>
      </w:r>
      <w:r w:rsidRPr="00C61D44">
        <w:rPr>
          <w:rFonts w:cs="Arial"/>
        </w:rPr>
        <w:t xml:space="preserve"> correspondiente al período 2018-2020, en los térmi</w:t>
      </w:r>
      <w:r w:rsidR="00A00D41">
        <w:rPr>
          <w:rFonts w:cs="Arial"/>
        </w:rPr>
        <w:t>nos del Dictamen que se adjunta;</w:t>
      </w:r>
    </w:p>
    <w:p w:rsidR="008F1769" w:rsidRPr="00C61D44" w:rsidRDefault="008F1769" w:rsidP="008F1769">
      <w:pPr>
        <w:pStyle w:val="Textoindependiente"/>
        <w:numPr>
          <w:ilvl w:val="0"/>
          <w:numId w:val="29"/>
        </w:numPr>
        <w:ind w:left="284" w:hanging="284"/>
        <w:rPr>
          <w:rFonts w:cs="Arial"/>
        </w:rPr>
      </w:pPr>
      <w:r w:rsidRPr="00C61D44">
        <w:rPr>
          <w:rFonts w:cs="Arial"/>
          <w:bCs/>
        </w:rPr>
        <w:t xml:space="preserve">Observar el referido documento por lo expresado en </w:t>
      </w:r>
      <w:r w:rsidR="000F026B" w:rsidRPr="00C61D44">
        <w:rPr>
          <w:rFonts w:cs="Arial"/>
          <w:bCs/>
        </w:rPr>
        <w:t xml:space="preserve">los </w:t>
      </w:r>
      <w:r w:rsidRPr="00C61D44">
        <w:rPr>
          <w:rFonts w:cs="Arial"/>
          <w:bCs/>
        </w:rPr>
        <w:t>párrafo</w:t>
      </w:r>
      <w:r w:rsidR="000F026B" w:rsidRPr="00C61D44">
        <w:rPr>
          <w:rFonts w:cs="Arial"/>
          <w:bCs/>
        </w:rPr>
        <w:t>s</w:t>
      </w:r>
      <w:r w:rsidRPr="00C61D44">
        <w:rPr>
          <w:rFonts w:cs="Arial"/>
          <w:bCs/>
        </w:rPr>
        <w:t xml:space="preserve"> </w:t>
      </w:r>
      <w:r w:rsidR="000F026B" w:rsidRPr="00C61D44">
        <w:rPr>
          <w:rFonts w:cs="Arial"/>
          <w:bCs/>
        </w:rPr>
        <w:t xml:space="preserve">2.2), </w:t>
      </w:r>
      <w:r w:rsidR="001C65A8" w:rsidRPr="00C61D44">
        <w:rPr>
          <w:rFonts w:cs="Arial"/>
          <w:bCs/>
        </w:rPr>
        <w:t>3.2</w:t>
      </w:r>
      <w:r w:rsidR="00040063" w:rsidRPr="00C61D44">
        <w:rPr>
          <w:rFonts w:cs="Arial"/>
          <w:bCs/>
        </w:rPr>
        <w:t>),</w:t>
      </w:r>
      <w:r w:rsidRPr="00C61D44">
        <w:rPr>
          <w:rFonts w:cs="Arial"/>
          <w:bCs/>
        </w:rPr>
        <w:t xml:space="preserve"> </w:t>
      </w:r>
      <w:r w:rsidR="001C65A8" w:rsidRPr="00C61D44">
        <w:rPr>
          <w:rFonts w:cs="Arial"/>
          <w:bCs/>
        </w:rPr>
        <w:t>3.3</w:t>
      </w:r>
      <w:r w:rsidR="00040063" w:rsidRPr="00C61D44">
        <w:rPr>
          <w:rFonts w:cs="Arial"/>
          <w:bCs/>
        </w:rPr>
        <w:t>) y 3.</w:t>
      </w:r>
      <w:r w:rsidR="000F026B" w:rsidRPr="00C61D44">
        <w:rPr>
          <w:rFonts w:cs="Arial"/>
          <w:bCs/>
        </w:rPr>
        <w:t>5</w:t>
      </w:r>
      <w:r w:rsidR="00040063" w:rsidRPr="00C61D44">
        <w:rPr>
          <w:rFonts w:cs="Arial"/>
          <w:bCs/>
        </w:rPr>
        <w:t>)</w:t>
      </w:r>
      <w:r w:rsidR="001C65A8" w:rsidRPr="00C61D44">
        <w:rPr>
          <w:rFonts w:cs="Arial"/>
          <w:bCs/>
        </w:rPr>
        <w:t xml:space="preserve"> </w:t>
      </w:r>
      <w:r w:rsidRPr="00C61D44">
        <w:rPr>
          <w:rFonts w:cs="Arial"/>
          <w:bCs/>
        </w:rPr>
        <w:t>del</w:t>
      </w:r>
      <w:r w:rsidR="00A00D41">
        <w:rPr>
          <w:rFonts w:cs="Arial"/>
        </w:rPr>
        <w:t xml:space="preserve"> Dictamen;</w:t>
      </w:r>
    </w:p>
    <w:p w:rsidR="000F026B" w:rsidRPr="00C61D44" w:rsidRDefault="000F026B" w:rsidP="008F1769">
      <w:pPr>
        <w:pStyle w:val="Textoindependiente"/>
        <w:numPr>
          <w:ilvl w:val="0"/>
          <w:numId w:val="29"/>
        </w:numPr>
        <w:ind w:left="284" w:hanging="284"/>
        <w:rPr>
          <w:rFonts w:cs="Arial"/>
        </w:rPr>
      </w:pPr>
      <w:r w:rsidRPr="00C61D44">
        <w:rPr>
          <w:rFonts w:cs="Arial"/>
        </w:rPr>
        <w:t>Téngase presente lo señal</w:t>
      </w:r>
      <w:r w:rsidR="00A00D41">
        <w:rPr>
          <w:rFonts w:cs="Arial"/>
        </w:rPr>
        <w:t>ado en los párrafos 3.4) y 3.6);</w:t>
      </w:r>
    </w:p>
    <w:p w:rsidR="00CD38A9" w:rsidRPr="00C61D44" w:rsidRDefault="00CD38A9" w:rsidP="008F1769">
      <w:pPr>
        <w:pStyle w:val="Textoindependiente"/>
        <w:numPr>
          <w:ilvl w:val="0"/>
          <w:numId w:val="29"/>
        </w:numPr>
        <w:ind w:left="284" w:hanging="284"/>
        <w:rPr>
          <w:rFonts w:cs="Arial"/>
        </w:rPr>
      </w:pPr>
      <w:r w:rsidRPr="00C61D44">
        <w:rPr>
          <w:rFonts w:cs="Arial"/>
        </w:rPr>
        <w:t>Señalar que las asignaciones presupuestales deberán ser financiad</w:t>
      </w:r>
      <w:r w:rsidR="00690A0B" w:rsidRPr="00C61D44">
        <w:rPr>
          <w:rFonts w:cs="Arial"/>
        </w:rPr>
        <w:t>as por la Intendencia de San José</w:t>
      </w:r>
      <w:r w:rsidR="00A00D41">
        <w:rPr>
          <w:rFonts w:cs="Arial"/>
        </w:rPr>
        <w:t>;</w:t>
      </w:r>
    </w:p>
    <w:p w:rsidR="008F1769" w:rsidRPr="00C61D44" w:rsidRDefault="008F1769" w:rsidP="008F1769">
      <w:pPr>
        <w:pStyle w:val="Textoindependiente"/>
        <w:numPr>
          <w:ilvl w:val="0"/>
          <w:numId w:val="29"/>
        </w:numPr>
        <w:ind w:left="284" w:hanging="284"/>
        <w:rPr>
          <w:rFonts w:cs="Arial"/>
        </w:rPr>
      </w:pPr>
      <w:r w:rsidRPr="00C61D44">
        <w:rPr>
          <w:rFonts w:cs="Arial"/>
        </w:rPr>
        <w:t>Comunicar la presente Resoluc</w:t>
      </w:r>
      <w:r w:rsidR="00CD38A9" w:rsidRPr="00C61D44">
        <w:rPr>
          <w:rFonts w:cs="Arial"/>
        </w:rPr>
        <w:t xml:space="preserve">ión a la </w:t>
      </w:r>
      <w:r w:rsidR="00040063" w:rsidRPr="00C61D44">
        <w:rPr>
          <w:rFonts w:cs="Arial"/>
        </w:rPr>
        <w:t xml:space="preserve">Intendencia de </w:t>
      </w:r>
      <w:r w:rsidR="00690A0B" w:rsidRPr="00C61D44">
        <w:rPr>
          <w:rFonts w:cs="Arial"/>
        </w:rPr>
        <w:t>San José</w:t>
      </w:r>
      <w:r w:rsidR="00472020">
        <w:rPr>
          <w:rFonts w:cs="Arial"/>
        </w:rPr>
        <w:t>;</w:t>
      </w:r>
    </w:p>
    <w:p w:rsidR="00921DD9" w:rsidRDefault="00E16E65" w:rsidP="00472020">
      <w:pPr>
        <w:pStyle w:val="Textoindependiente"/>
        <w:numPr>
          <w:ilvl w:val="0"/>
          <w:numId w:val="29"/>
        </w:numPr>
        <w:ind w:left="284" w:hanging="284"/>
        <w:rPr>
          <w:sz w:val="18"/>
          <w:szCs w:val="18"/>
        </w:rPr>
      </w:pPr>
      <w:r w:rsidRPr="00C61D44">
        <w:rPr>
          <w:rFonts w:cs="Arial"/>
        </w:rPr>
        <w:t xml:space="preserve">Devolver </w:t>
      </w:r>
      <w:r w:rsidR="001C086C" w:rsidRPr="00C61D44">
        <w:rPr>
          <w:rFonts w:cs="Arial"/>
        </w:rPr>
        <w:t>los</w:t>
      </w:r>
      <w:r w:rsidRPr="00C61D44">
        <w:rPr>
          <w:rFonts w:cs="Arial"/>
        </w:rPr>
        <w:t xml:space="preserve"> ante</w:t>
      </w:r>
      <w:r w:rsidR="001C086C" w:rsidRPr="00C61D44">
        <w:rPr>
          <w:rFonts w:cs="Arial"/>
        </w:rPr>
        <w:t>c</w:t>
      </w:r>
      <w:r w:rsidR="00521E07" w:rsidRPr="00C61D44">
        <w:rPr>
          <w:rFonts w:cs="Arial"/>
        </w:rPr>
        <w:t>edentes a l</w:t>
      </w:r>
      <w:r w:rsidR="00040063" w:rsidRPr="00C61D44">
        <w:rPr>
          <w:rFonts w:cs="Arial"/>
        </w:rPr>
        <w:t xml:space="preserve">a Junta </w:t>
      </w:r>
      <w:r w:rsidR="00690A0B" w:rsidRPr="00C61D44">
        <w:rPr>
          <w:rFonts w:cs="Arial"/>
        </w:rPr>
        <w:t>Departamental de San José</w:t>
      </w:r>
      <w:r w:rsidR="00521E07" w:rsidRPr="00C61D44">
        <w:rPr>
          <w:rFonts w:cs="Arial"/>
        </w:rPr>
        <w:t>.</w:t>
      </w:r>
    </w:p>
    <w:p w:rsidR="00472020" w:rsidRDefault="00472020" w:rsidP="00472020">
      <w:pPr>
        <w:pStyle w:val="Textoindependiente"/>
        <w:ind w:left="284" w:hanging="710"/>
      </w:pPr>
      <w:proofErr w:type="gramStart"/>
      <w:r w:rsidRPr="00472020">
        <w:t>dc</w:t>
      </w:r>
      <w:proofErr w:type="gramEnd"/>
    </w:p>
    <w:p w:rsidR="00F72D37" w:rsidRPr="00C53AB1" w:rsidRDefault="00F72D37" w:rsidP="00C53AB1">
      <w:pPr>
        <w:keepNext/>
        <w:spacing w:line="360" w:lineRule="auto"/>
        <w:jc w:val="center"/>
        <w:outlineLvl w:val="0"/>
        <w:rPr>
          <w:rFonts w:cs="Arial"/>
          <w:b/>
        </w:rPr>
      </w:pPr>
      <w:r w:rsidRPr="00C53AB1">
        <w:rPr>
          <w:rFonts w:cs="Arial"/>
          <w:b/>
        </w:rPr>
        <w:t>DICTAMEN</w:t>
      </w:r>
    </w:p>
    <w:p w:rsidR="00F72D37" w:rsidRPr="00C53AB1" w:rsidRDefault="00F72D37" w:rsidP="00C53AB1">
      <w:pPr>
        <w:keepNext/>
        <w:tabs>
          <w:tab w:val="left" w:pos="7080"/>
        </w:tabs>
        <w:jc w:val="right"/>
        <w:outlineLvl w:val="1"/>
        <w:rPr>
          <w:rFonts w:cs="Arial"/>
          <w:b/>
        </w:rPr>
      </w:pPr>
    </w:p>
    <w:p w:rsidR="00F72D37" w:rsidRPr="00C53AB1" w:rsidRDefault="00F72D37" w:rsidP="00C53AB1">
      <w:pPr>
        <w:spacing w:line="360" w:lineRule="auto"/>
        <w:jc w:val="both"/>
        <w:rPr>
          <w:rFonts w:cs="Arial"/>
          <w:highlight w:val="yellow"/>
        </w:rPr>
      </w:pPr>
      <w:r w:rsidRPr="00C53AB1">
        <w:rPr>
          <w:rFonts w:cs="Arial"/>
        </w:rPr>
        <w:t>El Tribunal de Cuentas ha exam</w:t>
      </w:r>
      <w:r>
        <w:rPr>
          <w:rFonts w:cs="Arial"/>
        </w:rPr>
        <w:t>inado el p</w:t>
      </w:r>
      <w:r w:rsidRPr="00C53AB1">
        <w:rPr>
          <w:rFonts w:cs="Arial"/>
        </w:rPr>
        <w:t>royecto de Modificación Presupuestal para el período 2018-2020 de la Junta Departamental de San José. Toda la  infor</w:t>
      </w:r>
      <w:r>
        <w:rPr>
          <w:rFonts w:cs="Arial"/>
        </w:rPr>
        <w:t>mación incluida en el referido p</w:t>
      </w:r>
      <w:r w:rsidRPr="00C53AB1">
        <w:rPr>
          <w:rFonts w:cs="Arial"/>
        </w:rPr>
        <w:t>royecto y los supuestos sobre los que se basa, son responsabilidad del Organismo que los emite. La responsabilidad del Tribunal de Cuentas es ex</w:t>
      </w:r>
      <w:r>
        <w:rPr>
          <w:rFonts w:cs="Arial"/>
        </w:rPr>
        <w:t>presar una opinión sobre dicho p</w:t>
      </w:r>
      <w:r w:rsidRPr="00C53AB1">
        <w:rPr>
          <w:rFonts w:cs="Arial"/>
        </w:rPr>
        <w:t>roye</w:t>
      </w:r>
      <w:r>
        <w:rPr>
          <w:rFonts w:cs="Arial"/>
        </w:rPr>
        <w:t>cto de Presupuesto, de acuerdo con</w:t>
      </w:r>
      <w:r w:rsidRPr="00C53AB1">
        <w:rPr>
          <w:rFonts w:cs="Arial"/>
        </w:rPr>
        <w:t xml:space="preserve"> lo dispuesto por los Artículos 211 Literal A) y 225 de la Constitución de la República y Artículo 483 de la Ley N° 17.296 y establecer, en caso que corresponda, los hallazgos realizados en relación con el cumplimiento de las normas constitucionales, legales y reglamentarias que resulten aplicables.</w:t>
      </w:r>
    </w:p>
    <w:p w:rsidR="00F72D37" w:rsidRPr="00C53AB1" w:rsidRDefault="00F72D37" w:rsidP="00C53AB1">
      <w:pPr>
        <w:spacing w:line="360" w:lineRule="auto"/>
        <w:jc w:val="both"/>
        <w:rPr>
          <w:rFonts w:cs="Arial"/>
          <w:b/>
        </w:rPr>
      </w:pPr>
    </w:p>
    <w:p w:rsidR="00F72D37" w:rsidRPr="00C53AB1" w:rsidRDefault="00F72D37" w:rsidP="00F72D37">
      <w:pPr>
        <w:numPr>
          <w:ilvl w:val="0"/>
          <w:numId w:val="30"/>
        </w:numPr>
        <w:spacing w:line="360" w:lineRule="auto"/>
        <w:ind w:left="426" w:hanging="426"/>
        <w:jc w:val="both"/>
        <w:rPr>
          <w:rFonts w:cs="Arial"/>
          <w:b/>
        </w:rPr>
      </w:pPr>
      <w:r w:rsidRPr="00C53AB1">
        <w:rPr>
          <w:rFonts w:cs="Arial"/>
          <w:b/>
        </w:rPr>
        <w:t>Antecedentes</w:t>
      </w:r>
    </w:p>
    <w:p w:rsidR="00F72D37" w:rsidRPr="00C53AB1" w:rsidRDefault="00F72D37" w:rsidP="00C53AB1">
      <w:pPr>
        <w:spacing w:line="360" w:lineRule="auto"/>
        <w:jc w:val="both"/>
        <w:rPr>
          <w:rFonts w:cs="Arial"/>
          <w:b/>
        </w:rPr>
      </w:pPr>
      <w:r w:rsidRPr="00C53AB1">
        <w:rPr>
          <w:rFonts w:cs="Arial"/>
          <w:b/>
        </w:rPr>
        <w:t xml:space="preserve">1.1) </w:t>
      </w:r>
      <w:r w:rsidRPr="00C53AB1">
        <w:rPr>
          <w:rFonts w:cs="Arial"/>
        </w:rPr>
        <w:t>La Junta Departamental de San José, en Sesión de fecha 14 de mayo de    2018,</w:t>
      </w:r>
      <w:r>
        <w:rPr>
          <w:rFonts w:cs="Arial"/>
        </w:rPr>
        <w:t xml:space="preserve"> </w:t>
      </w:r>
      <w:r w:rsidRPr="00C53AB1">
        <w:rPr>
          <w:rFonts w:cs="Arial"/>
        </w:rPr>
        <w:t xml:space="preserve"> a</w:t>
      </w:r>
      <w:r>
        <w:rPr>
          <w:rFonts w:cs="Arial"/>
        </w:rPr>
        <w:t>probó, de conformidad con el Artículo</w:t>
      </w:r>
      <w:r w:rsidRPr="00C53AB1">
        <w:rPr>
          <w:rFonts w:cs="Arial"/>
        </w:rPr>
        <w:t xml:space="preserve"> 273 N</w:t>
      </w:r>
      <w:r>
        <w:rPr>
          <w:rFonts w:cs="Arial"/>
        </w:rPr>
        <w:t>ume</w:t>
      </w:r>
      <w:r w:rsidRPr="00C53AB1">
        <w:rPr>
          <w:rFonts w:cs="Arial"/>
        </w:rPr>
        <w:t>ral 6 de la C</w:t>
      </w:r>
      <w:r>
        <w:rPr>
          <w:rFonts w:cs="Arial"/>
        </w:rPr>
        <w:t>onstitución de la República el p</w:t>
      </w:r>
      <w:r w:rsidRPr="00C53AB1">
        <w:rPr>
          <w:rFonts w:cs="Arial"/>
        </w:rPr>
        <w:t>royecto de Modificación Presupuestal de esa Corporación para el período 2018-2020, en general por unanimidad de 26 votos en 26 Ediles presentes en</w:t>
      </w:r>
      <w:r>
        <w:rPr>
          <w:rFonts w:cs="Arial"/>
        </w:rPr>
        <w:t xml:space="preserve"> Sala, y en particular, los Artículos</w:t>
      </w:r>
      <w:r w:rsidRPr="00C53AB1">
        <w:rPr>
          <w:rFonts w:cs="Arial"/>
        </w:rPr>
        <w:t xml:space="preserve"> 1 a 5 por unanimidad de 26 votos en 26 Ediles presentes en Sala,</w:t>
      </w:r>
      <w:r>
        <w:rPr>
          <w:rFonts w:cs="Arial"/>
        </w:rPr>
        <w:t xml:space="preserve"> el Artículo</w:t>
      </w:r>
      <w:r w:rsidRPr="00C53AB1">
        <w:rPr>
          <w:rFonts w:cs="Arial"/>
        </w:rPr>
        <w:t xml:space="preserve"> 6 por mayoría de 19 votos en 26 Ediles presente y el </w:t>
      </w:r>
      <w:proofErr w:type="spellStart"/>
      <w:r w:rsidRPr="00C53AB1">
        <w:rPr>
          <w:rFonts w:cs="Arial"/>
        </w:rPr>
        <w:t>Planillado</w:t>
      </w:r>
      <w:proofErr w:type="spellEnd"/>
      <w:r w:rsidRPr="00C53AB1">
        <w:rPr>
          <w:rFonts w:cs="Arial"/>
        </w:rPr>
        <w:t xml:space="preserve"> Adjunto por mayoría de 19 votos en 26 Ediles </w:t>
      </w:r>
      <w:r>
        <w:rPr>
          <w:rFonts w:cs="Arial"/>
        </w:rPr>
        <w:t>presentes.</w:t>
      </w:r>
    </w:p>
    <w:p w:rsidR="00F72D37" w:rsidRPr="00C53AB1" w:rsidRDefault="00F72D37" w:rsidP="00C53AB1">
      <w:pPr>
        <w:keepNext/>
        <w:spacing w:line="360" w:lineRule="auto"/>
        <w:jc w:val="both"/>
        <w:outlineLvl w:val="0"/>
        <w:rPr>
          <w:rFonts w:cs="Arial"/>
        </w:rPr>
      </w:pPr>
      <w:r w:rsidRPr="00C53AB1">
        <w:rPr>
          <w:rFonts w:cs="Arial"/>
          <w:b/>
        </w:rPr>
        <w:t>1.2)</w:t>
      </w:r>
      <w:r w:rsidRPr="00C53AB1">
        <w:rPr>
          <w:rFonts w:cs="Arial"/>
        </w:rPr>
        <w:t xml:space="preserve"> Por Oficio Nº 4456/2018, de fecha 14/05/2018, la Junta Departamental de San José remitió las actuaciones a efectos de recabar el Dictamen de este Tribunal, ingresando oficialmente en Sesión del 16/05/018 (Ordenanzas Nº 51 -de fecha 22/11/19</w:t>
      </w:r>
      <w:r>
        <w:rPr>
          <w:rFonts w:cs="Arial"/>
        </w:rPr>
        <w:t>72 y 69 de fecha 20/07/1994).</w:t>
      </w:r>
    </w:p>
    <w:p w:rsidR="00F72D37" w:rsidRDefault="00F72D37" w:rsidP="00C53AB1">
      <w:pPr>
        <w:spacing w:line="360" w:lineRule="auto"/>
        <w:jc w:val="both"/>
        <w:rPr>
          <w:rFonts w:cs="Arial"/>
        </w:rPr>
      </w:pPr>
    </w:p>
    <w:p w:rsidR="00F72D37" w:rsidRDefault="00F72D37" w:rsidP="00C53AB1">
      <w:pPr>
        <w:spacing w:line="360" w:lineRule="auto"/>
        <w:jc w:val="both"/>
        <w:rPr>
          <w:rFonts w:cs="Arial"/>
        </w:rPr>
      </w:pPr>
    </w:p>
    <w:p w:rsidR="00F72D37" w:rsidRDefault="00F72D37" w:rsidP="00C53AB1">
      <w:pPr>
        <w:spacing w:line="360" w:lineRule="auto"/>
        <w:jc w:val="both"/>
        <w:rPr>
          <w:rFonts w:cs="Arial"/>
        </w:rPr>
      </w:pPr>
    </w:p>
    <w:p w:rsidR="00F72D37" w:rsidRPr="00C53AB1" w:rsidRDefault="00F72D37" w:rsidP="00C53AB1">
      <w:pPr>
        <w:spacing w:line="360" w:lineRule="auto"/>
        <w:jc w:val="both"/>
        <w:rPr>
          <w:rFonts w:cs="Arial"/>
        </w:rPr>
      </w:pPr>
    </w:p>
    <w:p w:rsidR="00F72D37" w:rsidRPr="00C53AB1" w:rsidRDefault="00F72D37" w:rsidP="00C53AB1">
      <w:pPr>
        <w:spacing w:line="360" w:lineRule="auto"/>
        <w:jc w:val="both"/>
        <w:rPr>
          <w:rFonts w:cs="Arial"/>
          <w:b/>
        </w:rPr>
      </w:pPr>
      <w:r w:rsidRPr="00C53AB1">
        <w:rPr>
          <w:rFonts w:cs="Arial"/>
          <w:b/>
          <w:lang w:val="es-ES_tradnl"/>
        </w:rPr>
        <w:t>2)</w:t>
      </w:r>
      <w:r w:rsidRPr="00C53AB1">
        <w:rPr>
          <w:rFonts w:cs="Arial"/>
          <w:b/>
        </w:rPr>
        <w:t xml:space="preserve"> Análisis de las asignaciones presupuestales proyectadas</w:t>
      </w:r>
    </w:p>
    <w:p w:rsidR="00F72D37" w:rsidRDefault="00F72D37" w:rsidP="00C53AB1">
      <w:pPr>
        <w:spacing w:line="360" w:lineRule="auto"/>
        <w:jc w:val="both"/>
        <w:rPr>
          <w:rFonts w:cs="Arial"/>
          <w:snapToGrid w:val="0"/>
        </w:rPr>
      </w:pPr>
      <w:r w:rsidRPr="00C53AB1">
        <w:rPr>
          <w:rFonts w:cs="Arial"/>
          <w:b/>
          <w:snapToGrid w:val="0"/>
        </w:rPr>
        <w:t xml:space="preserve">2.1) </w:t>
      </w:r>
      <w:r w:rsidRPr="00C53AB1">
        <w:rPr>
          <w:rFonts w:cs="Arial"/>
          <w:snapToGrid w:val="0"/>
        </w:rPr>
        <w:t>Las asignaciones presupuestales se exponen a nivel de objeto, presentándose en forma comparativa con las vigentes.</w:t>
      </w:r>
      <w:r w:rsidRPr="00C53AB1">
        <w:rPr>
          <w:rFonts w:cs="Arial"/>
          <w:b/>
          <w:snapToGrid w:val="0"/>
        </w:rPr>
        <w:t xml:space="preserve"> </w:t>
      </w:r>
      <w:r w:rsidRPr="00C53AB1">
        <w:rPr>
          <w:rFonts w:cs="Arial"/>
          <w:snapToGrid w:val="0"/>
        </w:rPr>
        <w:t>No se establece en forma explícita a valores de qué fecha se expresan las mismas</w:t>
      </w:r>
      <w:r>
        <w:rPr>
          <w:rFonts w:cs="Arial"/>
          <w:snapToGrid w:val="0"/>
        </w:rPr>
        <w:t>. De acuerdo con</w:t>
      </w:r>
      <w:r w:rsidRPr="00C53AB1">
        <w:rPr>
          <w:rFonts w:cs="Arial"/>
          <w:snapToGrid w:val="0"/>
        </w:rPr>
        <w:t xml:space="preserve"> las planillas anexas que forman parte de la Modificación Presupuestal 2018-2020, se infiere que las del Grupo 0 son expresadas a valores de 01/01/2018 y  las de los demás Grupos a valores de 01/01/2017. Su</w:t>
      </w:r>
      <w:r w:rsidRPr="00C53AB1">
        <w:rPr>
          <w:rFonts w:cs="Arial"/>
          <w:snapToGrid w:val="0"/>
          <w:sz w:val="20"/>
          <w:szCs w:val="20"/>
        </w:rPr>
        <w:t xml:space="preserve"> </w:t>
      </w:r>
      <w:r w:rsidRPr="00C53AB1">
        <w:rPr>
          <w:rFonts w:cs="Arial"/>
          <w:snapToGrid w:val="0"/>
        </w:rPr>
        <w:t>resumen, a nivel de grupos se ajusta al siguiente detalle:</w:t>
      </w:r>
    </w:p>
    <w:p w:rsidR="00F72D37" w:rsidRDefault="00F72D37" w:rsidP="00C53AB1">
      <w:pPr>
        <w:spacing w:line="360" w:lineRule="auto"/>
        <w:jc w:val="both"/>
        <w:rPr>
          <w:rFonts w:cs="Arial"/>
          <w:snapToGrid w:val="0"/>
        </w:rPr>
      </w:pPr>
    </w:p>
    <w:tbl>
      <w:tblPr>
        <w:tblW w:w="8460" w:type="dxa"/>
        <w:tblInd w:w="55" w:type="dxa"/>
        <w:tblCellMar>
          <w:left w:w="70" w:type="dxa"/>
          <w:right w:w="70" w:type="dxa"/>
        </w:tblCellMar>
        <w:tblLook w:val="04A0" w:firstRow="1" w:lastRow="0" w:firstColumn="1" w:lastColumn="0" w:noHBand="0" w:noVBand="1"/>
      </w:tblPr>
      <w:tblGrid>
        <w:gridCol w:w="2820"/>
        <w:gridCol w:w="1320"/>
        <w:gridCol w:w="1480"/>
        <w:gridCol w:w="1480"/>
        <w:gridCol w:w="1360"/>
      </w:tblGrid>
      <w:tr w:rsidR="00F72D37" w:rsidRPr="00C53AB1" w:rsidTr="00955C90">
        <w:trPr>
          <w:trHeight w:val="300"/>
        </w:trPr>
        <w:tc>
          <w:tcPr>
            <w:tcW w:w="2820" w:type="dxa"/>
            <w:tcBorders>
              <w:top w:val="nil"/>
              <w:left w:val="nil"/>
              <w:bottom w:val="nil"/>
              <w:right w:val="nil"/>
            </w:tcBorders>
            <w:shd w:val="clear" w:color="auto" w:fill="auto"/>
            <w:noWrap/>
            <w:vAlign w:val="bottom"/>
            <w:hideMark/>
          </w:tcPr>
          <w:p w:rsidR="00F72D37" w:rsidRPr="00C53AB1" w:rsidRDefault="00F72D37" w:rsidP="00C53AB1">
            <w:pPr>
              <w:jc w:val="center"/>
              <w:rPr>
                <w:rFonts w:cs="Arial"/>
                <w:b/>
                <w:bCs/>
                <w:sz w:val="20"/>
                <w:szCs w:val="20"/>
              </w:rPr>
            </w:pPr>
            <w:r w:rsidRPr="00C53AB1">
              <w:rPr>
                <w:rFonts w:cs="Arial"/>
                <w:b/>
                <w:bCs/>
                <w:sz w:val="20"/>
                <w:szCs w:val="20"/>
              </w:rPr>
              <w:t>Grupo</w:t>
            </w:r>
          </w:p>
        </w:tc>
        <w:tc>
          <w:tcPr>
            <w:tcW w:w="1320" w:type="dxa"/>
            <w:tcBorders>
              <w:top w:val="nil"/>
              <w:left w:val="nil"/>
              <w:bottom w:val="nil"/>
              <w:right w:val="nil"/>
            </w:tcBorders>
            <w:shd w:val="clear" w:color="auto" w:fill="auto"/>
            <w:noWrap/>
            <w:vAlign w:val="bottom"/>
            <w:hideMark/>
          </w:tcPr>
          <w:p w:rsidR="00F72D37" w:rsidRPr="00C53AB1" w:rsidRDefault="00F72D37" w:rsidP="00C53AB1">
            <w:pPr>
              <w:jc w:val="center"/>
              <w:rPr>
                <w:rFonts w:cs="Arial"/>
                <w:b/>
                <w:bCs/>
                <w:sz w:val="20"/>
                <w:szCs w:val="20"/>
              </w:rPr>
            </w:pPr>
            <w:r w:rsidRPr="00C53AB1">
              <w:rPr>
                <w:rFonts w:cs="Arial"/>
                <w:b/>
                <w:bCs/>
                <w:sz w:val="20"/>
                <w:szCs w:val="20"/>
              </w:rPr>
              <w:t xml:space="preserve"> Vigente  </w:t>
            </w:r>
          </w:p>
        </w:tc>
        <w:tc>
          <w:tcPr>
            <w:tcW w:w="1480" w:type="dxa"/>
            <w:tcBorders>
              <w:top w:val="nil"/>
              <w:left w:val="nil"/>
              <w:bottom w:val="nil"/>
              <w:right w:val="nil"/>
            </w:tcBorders>
            <w:shd w:val="clear" w:color="auto" w:fill="auto"/>
            <w:noWrap/>
            <w:vAlign w:val="bottom"/>
            <w:hideMark/>
          </w:tcPr>
          <w:p w:rsidR="00F72D37" w:rsidRPr="00C53AB1" w:rsidRDefault="00F72D37" w:rsidP="00C53AB1">
            <w:pPr>
              <w:jc w:val="center"/>
              <w:rPr>
                <w:rFonts w:cs="Arial"/>
                <w:b/>
                <w:bCs/>
                <w:sz w:val="20"/>
                <w:szCs w:val="20"/>
              </w:rPr>
            </w:pPr>
            <w:r w:rsidRPr="00C53AB1">
              <w:rPr>
                <w:rFonts w:cs="Arial"/>
                <w:b/>
                <w:bCs/>
                <w:sz w:val="20"/>
                <w:szCs w:val="20"/>
              </w:rPr>
              <w:t xml:space="preserve"> Proyectado  </w:t>
            </w:r>
          </w:p>
        </w:tc>
        <w:tc>
          <w:tcPr>
            <w:tcW w:w="1480" w:type="dxa"/>
            <w:tcBorders>
              <w:top w:val="nil"/>
              <w:left w:val="nil"/>
              <w:bottom w:val="nil"/>
              <w:right w:val="nil"/>
            </w:tcBorders>
            <w:shd w:val="clear" w:color="auto" w:fill="auto"/>
            <w:noWrap/>
            <w:vAlign w:val="bottom"/>
            <w:hideMark/>
          </w:tcPr>
          <w:p w:rsidR="00F72D37" w:rsidRPr="00C53AB1" w:rsidRDefault="00F72D37" w:rsidP="00C53AB1">
            <w:pPr>
              <w:jc w:val="center"/>
              <w:rPr>
                <w:rFonts w:cs="Arial"/>
                <w:b/>
                <w:bCs/>
                <w:sz w:val="20"/>
                <w:szCs w:val="20"/>
              </w:rPr>
            </w:pPr>
            <w:r w:rsidRPr="00C53AB1">
              <w:rPr>
                <w:rFonts w:cs="Arial"/>
                <w:b/>
                <w:bCs/>
                <w:sz w:val="20"/>
                <w:szCs w:val="20"/>
              </w:rPr>
              <w:t xml:space="preserve"> Proyectado  </w:t>
            </w:r>
          </w:p>
        </w:tc>
        <w:tc>
          <w:tcPr>
            <w:tcW w:w="1360" w:type="dxa"/>
            <w:tcBorders>
              <w:top w:val="nil"/>
              <w:left w:val="nil"/>
              <w:bottom w:val="nil"/>
              <w:right w:val="nil"/>
            </w:tcBorders>
            <w:shd w:val="clear" w:color="auto" w:fill="auto"/>
            <w:noWrap/>
            <w:vAlign w:val="bottom"/>
            <w:hideMark/>
          </w:tcPr>
          <w:p w:rsidR="00F72D37" w:rsidRPr="00C53AB1" w:rsidRDefault="00F72D37" w:rsidP="00C53AB1">
            <w:pPr>
              <w:jc w:val="center"/>
              <w:rPr>
                <w:rFonts w:cs="Arial"/>
                <w:b/>
                <w:bCs/>
                <w:sz w:val="20"/>
                <w:szCs w:val="20"/>
              </w:rPr>
            </w:pPr>
            <w:r w:rsidRPr="00C53AB1">
              <w:rPr>
                <w:rFonts w:cs="Arial"/>
                <w:b/>
                <w:bCs/>
                <w:sz w:val="20"/>
                <w:szCs w:val="20"/>
              </w:rPr>
              <w:t xml:space="preserve">Proyectado </w:t>
            </w:r>
          </w:p>
        </w:tc>
      </w:tr>
      <w:tr w:rsidR="00F72D37" w:rsidRPr="00C53AB1" w:rsidTr="00955C90">
        <w:trPr>
          <w:trHeight w:val="300"/>
        </w:trPr>
        <w:tc>
          <w:tcPr>
            <w:tcW w:w="2820" w:type="dxa"/>
            <w:tcBorders>
              <w:top w:val="nil"/>
              <w:left w:val="nil"/>
              <w:bottom w:val="nil"/>
              <w:right w:val="nil"/>
            </w:tcBorders>
            <w:shd w:val="clear" w:color="auto" w:fill="auto"/>
            <w:noWrap/>
            <w:vAlign w:val="bottom"/>
            <w:hideMark/>
          </w:tcPr>
          <w:p w:rsidR="00F72D37" w:rsidRPr="00C53AB1" w:rsidRDefault="00F72D37" w:rsidP="00C53AB1">
            <w:pPr>
              <w:jc w:val="center"/>
              <w:rPr>
                <w:rFonts w:cs="Arial"/>
                <w:sz w:val="20"/>
                <w:szCs w:val="20"/>
              </w:rPr>
            </w:pPr>
          </w:p>
        </w:tc>
        <w:tc>
          <w:tcPr>
            <w:tcW w:w="1320" w:type="dxa"/>
            <w:tcBorders>
              <w:top w:val="nil"/>
              <w:left w:val="nil"/>
              <w:bottom w:val="nil"/>
              <w:right w:val="nil"/>
            </w:tcBorders>
            <w:shd w:val="clear" w:color="auto" w:fill="auto"/>
            <w:noWrap/>
            <w:vAlign w:val="bottom"/>
            <w:hideMark/>
          </w:tcPr>
          <w:p w:rsidR="00F72D37" w:rsidRPr="00C53AB1" w:rsidRDefault="00F72D37" w:rsidP="00C53AB1">
            <w:pPr>
              <w:jc w:val="center"/>
              <w:rPr>
                <w:rFonts w:cs="Arial"/>
                <w:b/>
                <w:bCs/>
                <w:sz w:val="20"/>
                <w:szCs w:val="20"/>
              </w:rPr>
            </w:pPr>
          </w:p>
        </w:tc>
        <w:tc>
          <w:tcPr>
            <w:tcW w:w="1480" w:type="dxa"/>
            <w:tcBorders>
              <w:top w:val="nil"/>
              <w:left w:val="nil"/>
              <w:bottom w:val="nil"/>
              <w:right w:val="nil"/>
            </w:tcBorders>
            <w:shd w:val="clear" w:color="auto" w:fill="auto"/>
            <w:noWrap/>
            <w:vAlign w:val="bottom"/>
            <w:hideMark/>
          </w:tcPr>
          <w:p w:rsidR="00F72D37" w:rsidRPr="00C53AB1" w:rsidRDefault="00F72D37" w:rsidP="00C53AB1">
            <w:pPr>
              <w:jc w:val="center"/>
              <w:rPr>
                <w:rFonts w:cs="Arial"/>
                <w:b/>
                <w:bCs/>
                <w:sz w:val="20"/>
                <w:szCs w:val="20"/>
              </w:rPr>
            </w:pPr>
            <w:r w:rsidRPr="00C53AB1">
              <w:rPr>
                <w:rFonts w:cs="Arial"/>
                <w:b/>
                <w:bCs/>
                <w:sz w:val="20"/>
                <w:szCs w:val="20"/>
              </w:rPr>
              <w:t>2018</w:t>
            </w:r>
          </w:p>
        </w:tc>
        <w:tc>
          <w:tcPr>
            <w:tcW w:w="1480" w:type="dxa"/>
            <w:tcBorders>
              <w:top w:val="nil"/>
              <w:left w:val="nil"/>
              <w:bottom w:val="nil"/>
              <w:right w:val="nil"/>
            </w:tcBorders>
            <w:shd w:val="clear" w:color="auto" w:fill="auto"/>
            <w:noWrap/>
            <w:vAlign w:val="bottom"/>
            <w:hideMark/>
          </w:tcPr>
          <w:p w:rsidR="00F72D37" w:rsidRPr="00C53AB1" w:rsidRDefault="00F72D37" w:rsidP="00C53AB1">
            <w:pPr>
              <w:jc w:val="center"/>
              <w:rPr>
                <w:rFonts w:cs="Arial"/>
                <w:b/>
                <w:bCs/>
                <w:sz w:val="20"/>
                <w:szCs w:val="20"/>
              </w:rPr>
            </w:pPr>
            <w:r w:rsidRPr="00C53AB1">
              <w:rPr>
                <w:rFonts w:cs="Arial"/>
                <w:b/>
                <w:bCs/>
                <w:sz w:val="20"/>
                <w:szCs w:val="20"/>
              </w:rPr>
              <w:t>2019</w:t>
            </w:r>
          </w:p>
        </w:tc>
        <w:tc>
          <w:tcPr>
            <w:tcW w:w="1360" w:type="dxa"/>
            <w:tcBorders>
              <w:top w:val="nil"/>
              <w:left w:val="nil"/>
              <w:bottom w:val="nil"/>
              <w:right w:val="nil"/>
            </w:tcBorders>
            <w:shd w:val="clear" w:color="auto" w:fill="auto"/>
            <w:noWrap/>
            <w:vAlign w:val="bottom"/>
            <w:hideMark/>
          </w:tcPr>
          <w:p w:rsidR="00F72D37" w:rsidRPr="00C53AB1" w:rsidRDefault="00F72D37" w:rsidP="00C53AB1">
            <w:pPr>
              <w:jc w:val="center"/>
              <w:rPr>
                <w:rFonts w:cs="Arial"/>
                <w:b/>
                <w:bCs/>
                <w:sz w:val="20"/>
                <w:szCs w:val="20"/>
              </w:rPr>
            </w:pPr>
            <w:r w:rsidRPr="00C53AB1">
              <w:rPr>
                <w:rFonts w:cs="Arial"/>
                <w:b/>
                <w:bCs/>
                <w:sz w:val="20"/>
                <w:szCs w:val="20"/>
              </w:rPr>
              <w:t>2020</w:t>
            </w:r>
          </w:p>
        </w:tc>
      </w:tr>
      <w:tr w:rsidR="00F72D37" w:rsidRPr="00C53AB1" w:rsidTr="00955C90">
        <w:trPr>
          <w:trHeight w:val="300"/>
        </w:trPr>
        <w:tc>
          <w:tcPr>
            <w:tcW w:w="2820" w:type="dxa"/>
            <w:tcBorders>
              <w:top w:val="nil"/>
              <w:left w:val="nil"/>
              <w:bottom w:val="nil"/>
              <w:right w:val="nil"/>
            </w:tcBorders>
            <w:shd w:val="clear" w:color="auto" w:fill="auto"/>
            <w:noWrap/>
            <w:vAlign w:val="bottom"/>
            <w:hideMark/>
          </w:tcPr>
          <w:p w:rsidR="00F72D37" w:rsidRPr="00C53AB1" w:rsidRDefault="00F72D37" w:rsidP="00C53AB1">
            <w:pPr>
              <w:rPr>
                <w:rFonts w:cs="Arial"/>
                <w:sz w:val="20"/>
                <w:szCs w:val="20"/>
              </w:rPr>
            </w:pPr>
            <w:r w:rsidRPr="00C53AB1">
              <w:rPr>
                <w:rFonts w:cs="Arial"/>
                <w:sz w:val="20"/>
                <w:szCs w:val="20"/>
              </w:rPr>
              <w:t>0- "Servicios personales</w:t>
            </w:r>
          </w:p>
        </w:tc>
        <w:tc>
          <w:tcPr>
            <w:tcW w:w="1320" w:type="dxa"/>
            <w:tcBorders>
              <w:top w:val="nil"/>
              <w:left w:val="nil"/>
              <w:bottom w:val="nil"/>
              <w:right w:val="nil"/>
            </w:tcBorders>
            <w:shd w:val="clear" w:color="auto" w:fill="auto"/>
            <w:noWrap/>
            <w:vAlign w:val="bottom"/>
            <w:hideMark/>
          </w:tcPr>
          <w:p w:rsidR="00F72D37" w:rsidRPr="00C53AB1" w:rsidRDefault="00F72D37" w:rsidP="00C53AB1">
            <w:pPr>
              <w:rPr>
                <w:rFonts w:cs="Arial"/>
                <w:sz w:val="20"/>
                <w:szCs w:val="20"/>
              </w:rPr>
            </w:pPr>
            <w:r w:rsidRPr="00C53AB1">
              <w:rPr>
                <w:rFonts w:cs="Arial"/>
                <w:sz w:val="20"/>
                <w:szCs w:val="20"/>
              </w:rPr>
              <w:t xml:space="preserve"> 30.201.084   </w:t>
            </w:r>
          </w:p>
        </w:tc>
        <w:tc>
          <w:tcPr>
            <w:tcW w:w="1480" w:type="dxa"/>
            <w:tcBorders>
              <w:top w:val="nil"/>
              <w:left w:val="nil"/>
              <w:bottom w:val="nil"/>
              <w:right w:val="nil"/>
            </w:tcBorders>
            <w:shd w:val="clear" w:color="auto" w:fill="auto"/>
            <w:noWrap/>
            <w:vAlign w:val="bottom"/>
            <w:hideMark/>
          </w:tcPr>
          <w:p w:rsidR="00F72D37" w:rsidRPr="00C53AB1" w:rsidRDefault="00F72D37" w:rsidP="00C53AB1">
            <w:pPr>
              <w:rPr>
                <w:rFonts w:cs="Arial"/>
                <w:sz w:val="20"/>
                <w:szCs w:val="20"/>
              </w:rPr>
            </w:pPr>
            <w:r w:rsidRPr="00C53AB1">
              <w:rPr>
                <w:rFonts w:cs="Arial"/>
                <w:sz w:val="20"/>
                <w:szCs w:val="20"/>
              </w:rPr>
              <w:t xml:space="preserve">      39.250.218 </w:t>
            </w:r>
          </w:p>
        </w:tc>
        <w:tc>
          <w:tcPr>
            <w:tcW w:w="1480" w:type="dxa"/>
            <w:tcBorders>
              <w:top w:val="nil"/>
              <w:left w:val="nil"/>
              <w:bottom w:val="nil"/>
              <w:right w:val="nil"/>
            </w:tcBorders>
            <w:shd w:val="clear" w:color="auto" w:fill="auto"/>
            <w:noWrap/>
            <w:vAlign w:val="bottom"/>
            <w:hideMark/>
          </w:tcPr>
          <w:p w:rsidR="00F72D37" w:rsidRPr="00C53AB1" w:rsidRDefault="00F72D37" w:rsidP="00C53AB1">
            <w:pPr>
              <w:rPr>
                <w:rFonts w:cs="Arial"/>
                <w:sz w:val="20"/>
                <w:szCs w:val="20"/>
              </w:rPr>
            </w:pPr>
            <w:r w:rsidRPr="00C53AB1">
              <w:rPr>
                <w:rFonts w:cs="Arial"/>
                <w:sz w:val="20"/>
                <w:szCs w:val="20"/>
              </w:rPr>
              <w:t xml:space="preserve">      40.951.341 </w:t>
            </w:r>
          </w:p>
        </w:tc>
        <w:tc>
          <w:tcPr>
            <w:tcW w:w="1360" w:type="dxa"/>
            <w:tcBorders>
              <w:top w:val="nil"/>
              <w:left w:val="nil"/>
              <w:bottom w:val="nil"/>
              <w:right w:val="nil"/>
            </w:tcBorders>
            <w:shd w:val="clear" w:color="auto" w:fill="auto"/>
            <w:noWrap/>
            <w:vAlign w:val="bottom"/>
            <w:hideMark/>
          </w:tcPr>
          <w:p w:rsidR="00F72D37" w:rsidRPr="00C53AB1" w:rsidRDefault="00F72D37" w:rsidP="00C53AB1">
            <w:pPr>
              <w:jc w:val="right"/>
              <w:rPr>
                <w:rFonts w:cs="Arial"/>
                <w:sz w:val="20"/>
                <w:szCs w:val="20"/>
              </w:rPr>
            </w:pPr>
            <w:r w:rsidRPr="00C53AB1">
              <w:rPr>
                <w:rFonts w:cs="Arial"/>
                <w:sz w:val="20"/>
                <w:szCs w:val="20"/>
              </w:rPr>
              <w:t>38.489.875</w:t>
            </w:r>
          </w:p>
        </w:tc>
      </w:tr>
      <w:tr w:rsidR="00F72D37" w:rsidRPr="00C53AB1" w:rsidTr="00955C90">
        <w:trPr>
          <w:trHeight w:val="300"/>
        </w:trPr>
        <w:tc>
          <w:tcPr>
            <w:tcW w:w="2820" w:type="dxa"/>
            <w:tcBorders>
              <w:top w:val="nil"/>
              <w:left w:val="nil"/>
              <w:bottom w:val="nil"/>
              <w:right w:val="nil"/>
            </w:tcBorders>
            <w:shd w:val="clear" w:color="auto" w:fill="auto"/>
            <w:noWrap/>
            <w:vAlign w:val="bottom"/>
            <w:hideMark/>
          </w:tcPr>
          <w:p w:rsidR="00F72D37" w:rsidRPr="00C53AB1" w:rsidRDefault="00F72D37" w:rsidP="00C53AB1">
            <w:pPr>
              <w:rPr>
                <w:rFonts w:cs="Arial"/>
                <w:sz w:val="20"/>
                <w:szCs w:val="20"/>
              </w:rPr>
            </w:pPr>
            <w:r w:rsidRPr="00C53AB1">
              <w:rPr>
                <w:rFonts w:cs="Arial"/>
                <w:sz w:val="20"/>
                <w:szCs w:val="20"/>
              </w:rPr>
              <w:t>1- "Bienes de consumo"</w:t>
            </w:r>
          </w:p>
        </w:tc>
        <w:tc>
          <w:tcPr>
            <w:tcW w:w="1320" w:type="dxa"/>
            <w:tcBorders>
              <w:top w:val="nil"/>
              <w:left w:val="nil"/>
              <w:bottom w:val="nil"/>
              <w:right w:val="nil"/>
            </w:tcBorders>
            <w:shd w:val="clear" w:color="auto" w:fill="auto"/>
            <w:noWrap/>
            <w:vAlign w:val="bottom"/>
            <w:hideMark/>
          </w:tcPr>
          <w:p w:rsidR="00F72D37" w:rsidRPr="00C53AB1" w:rsidRDefault="00F72D37" w:rsidP="00C53AB1">
            <w:pPr>
              <w:rPr>
                <w:rFonts w:cs="Arial"/>
                <w:sz w:val="20"/>
                <w:szCs w:val="20"/>
              </w:rPr>
            </w:pPr>
            <w:r w:rsidRPr="00C53AB1">
              <w:rPr>
                <w:rFonts w:cs="Arial"/>
                <w:sz w:val="20"/>
                <w:szCs w:val="20"/>
              </w:rPr>
              <w:t xml:space="preserve"> 14.354.887   </w:t>
            </w:r>
          </w:p>
        </w:tc>
        <w:tc>
          <w:tcPr>
            <w:tcW w:w="1480" w:type="dxa"/>
            <w:tcBorders>
              <w:top w:val="nil"/>
              <w:left w:val="nil"/>
              <w:bottom w:val="nil"/>
              <w:right w:val="nil"/>
            </w:tcBorders>
            <w:shd w:val="clear" w:color="auto" w:fill="auto"/>
            <w:noWrap/>
            <w:vAlign w:val="bottom"/>
            <w:hideMark/>
          </w:tcPr>
          <w:p w:rsidR="00F72D37" w:rsidRPr="00C53AB1" w:rsidRDefault="00F72D37" w:rsidP="00C53AB1">
            <w:pPr>
              <w:rPr>
                <w:rFonts w:cs="Arial"/>
                <w:sz w:val="20"/>
                <w:szCs w:val="20"/>
              </w:rPr>
            </w:pPr>
            <w:r w:rsidRPr="00C53AB1">
              <w:rPr>
                <w:rFonts w:cs="Arial"/>
                <w:sz w:val="20"/>
                <w:szCs w:val="20"/>
              </w:rPr>
              <w:t xml:space="preserve">      14.354.887 </w:t>
            </w:r>
          </w:p>
        </w:tc>
        <w:tc>
          <w:tcPr>
            <w:tcW w:w="1480" w:type="dxa"/>
            <w:tcBorders>
              <w:top w:val="nil"/>
              <w:left w:val="nil"/>
              <w:bottom w:val="nil"/>
              <w:right w:val="nil"/>
            </w:tcBorders>
            <w:shd w:val="clear" w:color="auto" w:fill="auto"/>
            <w:noWrap/>
            <w:vAlign w:val="bottom"/>
            <w:hideMark/>
          </w:tcPr>
          <w:p w:rsidR="00F72D37" w:rsidRPr="00C53AB1" w:rsidRDefault="00F72D37" w:rsidP="00C53AB1">
            <w:pPr>
              <w:rPr>
                <w:rFonts w:cs="Arial"/>
                <w:sz w:val="20"/>
                <w:szCs w:val="20"/>
              </w:rPr>
            </w:pPr>
            <w:r w:rsidRPr="00C53AB1">
              <w:rPr>
                <w:rFonts w:cs="Arial"/>
                <w:sz w:val="20"/>
                <w:szCs w:val="20"/>
              </w:rPr>
              <w:t xml:space="preserve">      13.230.494 </w:t>
            </w:r>
          </w:p>
        </w:tc>
        <w:tc>
          <w:tcPr>
            <w:tcW w:w="1360" w:type="dxa"/>
            <w:tcBorders>
              <w:top w:val="nil"/>
              <w:left w:val="nil"/>
              <w:bottom w:val="nil"/>
              <w:right w:val="nil"/>
            </w:tcBorders>
            <w:shd w:val="clear" w:color="auto" w:fill="auto"/>
            <w:noWrap/>
            <w:vAlign w:val="bottom"/>
            <w:hideMark/>
          </w:tcPr>
          <w:p w:rsidR="00F72D37" w:rsidRPr="00C53AB1" w:rsidRDefault="00F72D37" w:rsidP="00C53AB1">
            <w:pPr>
              <w:jc w:val="right"/>
              <w:rPr>
                <w:rFonts w:cs="Arial"/>
                <w:sz w:val="20"/>
                <w:szCs w:val="20"/>
              </w:rPr>
            </w:pPr>
            <w:r w:rsidRPr="00C53AB1">
              <w:rPr>
                <w:rFonts w:cs="Arial"/>
                <w:sz w:val="20"/>
                <w:szCs w:val="20"/>
              </w:rPr>
              <w:t>13.230.494</w:t>
            </w:r>
          </w:p>
        </w:tc>
      </w:tr>
      <w:tr w:rsidR="00F72D37" w:rsidRPr="00C53AB1" w:rsidTr="00955C90">
        <w:trPr>
          <w:trHeight w:val="300"/>
        </w:trPr>
        <w:tc>
          <w:tcPr>
            <w:tcW w:w="2820" w:type="dxa"/>
            <w:tcBorders>
              <w:top w:val="nil"/>
              <w:left w:val="nil"/>
              <w:bottom w:val="nil"/>
              <w:right w:val="nil"/>
            </w:tcBorders>
            <w:shd w:val="clear" w:color="auto" w:fill="auto"/>
            <w:noWrap/>
            <w:vAlign w:val="bottom"/>
            <w:hideMark/>
          </w:tcPr>
          <w:p w:rsidR="00F72D37" w:rsidRPr="00C53AB1" w:rsidRDefault="00F72D37" w:rsidP="00C53AB1">
            <w:pPr>
              <w:rPr>
                <w:rFonts w:cs="Arial"/>
                <w:sz w:val="20"/>
                <w:szCs w:val="20"/>
              </w:rPr>
            </w:pPr>
            <w:r w:rsidRPr="00C53AB1">
              <w:rPr>
                <w:rFonts w:cs="Arial"/>
                <w:sz w:val="20"/>
                <w:szCs w:val="20"/>
              </w:rPr>
              <w:t>2- " Servicios no personales"</w:t>
            </w:r>
          </w:p>
        </w:tc>
        <w:tc>
          <w:tcPr>
            <w:tcW w:w="1320" w:type="dxa"/>
            <w:tcBorders>
              <w:top w:val="nil"/>
              <w:left w:val="nil"/>
              <w:bottom w:val="nil"/>
              <w:right w:val="nil"/>
            </w:tcBorders>
            <w:shd w:val="clear" w:color="auto" w:fill="auto"/>
            <w:noWrap/>
            <w:vAlign w:val="bottom"/>
            <w:hideMark/>
          </w:tcPr>
          <w:p w:rsidR="00F72D37" w:rsidRPr="00C53AB1" w:rsidRDefault="00F72D37" w:rsidP="00C53AB1">
            <w:pPr>
              <w:rPr>
                <w:rFonts w:cs="Arial"/>
                <w:sz w:val="20"/>
                <w:szCs w:val="20"/>
              </w:rPr>
            </w:pPr>
            <w:r w:rsidRPr="00C53AB1">
              <w:rPr>
                <w:rFonts w:cs="Arial"/>
                <w:sz w:val="20"/>
                <w:szCs w:val="20"/>
              </w:rPr>
              <w:t xml:space="preserve">   4.617.816   </w:t>
            </w:r>
          </w:p>
        </w:tc>
        <w:tc>
          <w:tcPr>
            <w:tcW w:w="1480" w:type="dxa"/>
            <w:tcBorders>
              <w:top w:val="nil"/>
              <w:left w:val="nil"/>
              <w:bottom w:val="nil"/>
              <w:right w:val="nil"/>
            </w:tcBorders>
            <w:shd w:val="clear" w:color="auto" w:fill="auto"/>
            <w:noWrap/>
            <w:vAlign w:val="bottom"/>
            <w:hideMark/>
          </w:tcPr>
          <w:p w:rsidR="00F72D37" w:rsidRPr="00C53AB1" w:rsidRDefault="00F72D37" w:rsidP="00C53AB1">
            <w:pPr>
              <w:rPr>
                <w:rFonts w:cs="Arial"/>
                <w:sz w:val="20"/>
                <w:szCs w:val="20"/>
              </w:rPr>
            </w:pPr>
            <w:r w:rsidRPr="00C53AB1">
              <w:rPr>
                <w:rFonts w:cs="Arial"/>
                <w:sz w:val="20"/>
                <w:szCs w:val="20"/>
              </w:rPr>
              <w:t xml:space="preserve">        4.617.816 </w:t>
            </w:r>
          </w:p>
        </w:tc>
        <w:tc>
          <w:tcPr>
            <w:tcW w:w="1480" w:type="dxa"/>
            <w:tcBorders>
              <w:top w:val="nil"/>
              <w:left w:val="nil"/>
              <w:bottom w:val="nil"/>
              <w:right w:val="nil"/>
            </w:tcBorders>
            <w:shd w:val="clear" w:color="auto" w:fill="auto"/>
            <w:noWrap/>
            <w:vAlign w:val="bottom"/>
            <w:hideMark/>
          </w:tcPr>
          <w:p w:rsidR="00F72D37" w:rsidRPr="00C53AB1" w:rsidRDefault="00F72D37" w:rsidP="00C53AB1">
            <w:pPr>
              <w:rPr>
                <w:rFonts w:cs="Arial"/>
                <w:sz w:val="20"/>
                <w:szCs w:val="20"/>
              </w:rPr>
            </w:pPr>
            <w:r w:rsidRPr="00C53AB1">
              <w:rPr>
                <w:rFonts w:cs="Arial"/>
                <w:sz w:val="20"/>
                <w:szCs w:val="20"/>
              </w:rPr>
              <w:t xml:space="preserve">        4.800.955 </w:t>
            </w:r>
          </w:p>
        </w:tc>
        <w:tc>
          <w:tcPr>
            <w:tcW w:w="1360" w:type="dxa"/>
            <w:tcBorders>
              <w:top w:val="nil"/>
              <w:left w:val="nil"/>
              <w:bottom w:val="nil"/>
              <w:right w:val="nil"/>
            </w:tcBorders>
            <w:shd w:val="clear" w:color="auto" w:fill="auto"/>
            <w:noWrap/>
            <w:vAlign w:val="bottom"/>
            <w:hideMark/>
          </w:tcPr>
          <w:p w:rsidR="00F72D37" w:rsidRPr="00C53AB1" w:rsidRDefault="00F72D37" w:rsidP="00C53AB1">
            <w:pPr>
              <w:jc w:val="right"/>
              <w:rPr>
                <w:rFonts w:cs="Arial"/>
                <w:sz w:val="20"/>
                <w:szCs w:val="20"/>
              </w:rPr>
            </w:pPr>
            <w:r w:rsidRPr="00C53AB1">
              <w:rPr>
                <w:rFonts w:cs="Arial"/>
                <w:sz w:val="20"/>
                <w:szCs w:val="20"/>
              </w:rPr>
              <w:t>4.800.955</w:t>
            </w:r>
          </w:p>
        </w:tc>
      </w:tr>
      <w:tr w:rsidR="00F72D37" w:rsidRPr="00C53AB1" w:rsidTr="00955C90">
        <w:trPr>
          <w:trHeight w:val="300"/>
        </w:trPr>
        <w:tc>
          <w:tcPr>
            <w:tcW w:w="2820" w:type="dxa"/>
            <w:tcBorders>
              <w:top w:val="nil"/>
              <w:left w:val="nil"/>
              <w:bottom w:val="nil"/>
              <w:right w:val="nil"/>
            </w:tcBorders>
            <w:shd w:val="clear" w:color="auto" w:fill="auto"/>
            <w:noWrap/>
            <w:vAlign w:val="bottom"/>
            <w:hideMark/>
          </w:tcPr>
          <w:p w:rsidR="00F72D37" w:rsidRPr="00C53AB1" w:rsidRDefault="00F72D37" w:rsidP="00C53AB1">
            <w:pPr>
              <w:rPr>
                <w:rFonts w:cs="Arial"/>
                <w:sz w:val="20"/>
                <w:szCs w:val="20"/>
              </w:rPr>
            </w:pPr>
            <w:r w:rsidRPr="00C53AB1">
              <w:rPr>
                <w:rFonts w:cs="Arial"/>
                <w:sz w:val="20"/>
                <w:szCs w:val="20"/>
              </w:rPr>
              <w:t>3- " Bienes de uso"</w:t>
            </w:r>
          </w:p>
        </w:tc>
        <w:tc>
          <w:tcPr>
            <w:tcW w:w="1320" w:type="dxa"/>
            <w:tcBorders>
              <w:top w:val="nil"/>
              <w:left w:val="nil"/>
              <w:bottom w:val="nil"/>
              <w:right w:val="nil"/>
            </w:tcBorders>
            <w:shd w:val="clear" w:color="auto" w:fill="auto"/>
            <w:noWrap/>
            <w:vAlign w:val="bottom"/>
            <w:hideMark/>
          </w:tcPr>
          <w:p w:rsidR="00F72D37" w:rsidRPr="00C53AB1" w:rsidRDefault="00F72D37" w:rsidP="00C53AB1">
            <w:pPr>
              <w:rPr>
                <w:rFonts w:cs="Arial"/>
                <w:sz w:val="20"/>
                <w:szCs w:val="20"/>
              </w:rPr>
            </w:pPr>
            <w:r w:rsidRPr="00C53AB1">
              <w:rPr>
                <w:rFonts w:cs="Arial"/>
                <w:sz w:val="20"/>
                <w:szCs w:val="20"/>
              </w:rPr>
              <w:t xml:space="preserve">      163.031   </w:t>
            </w:r>
          </w:p>
        </w:tc>
        <w:tc>
          <w:tcPr>
            <w:tcW w:w="1480" w:type="dxa"/>
            <w:tcBorders>
              <w:top w:val="nil"/>
              <w:left w:val="nil"/>
              <w:bottom w:val="nil"/>
              <w:right w:val="nil"/>
            </w:tcBorders>
            <w:shd w:val="clear" w:color="auto" w:fill="auto"/>
            <w:noWrap/>
            <w:vAlign w:val="bottom"/>
            <w:hideMark/>
          </w:tcPr>
          <w:p w:rsidR="00F72D37" w:rsidRPr="00C53AB1" w:rsidRDefault="00F72D37" w:rsidP="00C53AB1">
            <w:pPr>
              <w:rPr>
                <w:rFonts w:cs="Arial"/>
                <w:sz w:val="20"/>
                <w:szCs w:val="20"/>
              </w:rPr>
            </w:pPr>
            <w:r w:rsidRPr="00C53AB1">
              <w:rPr>
                <w:rFonts w:cs="Arial"/>
                <w:sz w:val="20"/>
                <w:szCs w:val="20"/>
              </w:rPr>
              <w:t xml:space="preserve">           163.031 </w:t>
            </w:r>
          </w:p>
        </w:tc>
        <w:tc>
          <w:tcPr>
            <w:tcW w:w="1480" w:type="dxa"/>
            <w:tcBorders>
              <w:top w:val="nil"/>
              <w:left w:val="nil"/>
              <w:bottom w:val="nil"/>
              <w:right w:val="nil"/>
            </w:tcBorders>
            <w:shd w:val="clear" w:color="auto" w:fill="auto"/>
            <w:noWrap/>
            <w:vAlign w:val="bottom"/>
            <w:hideMark/>
          </w:tcPr>
          <w:p w:rsidR="00F72D37" w:rsidRPr="00C53AB1" w:rsidRDefault="00F72D37" w:rsidP="00C53AB1">
            <w:pPr>
              <w:rPr>
                <w:rFonts w:cs="Arial"/>
                <w:sz w:val="20"/>
                <w:szCs w:val="20"/>
              </w:rPr>
            </w:pPr>
            <w:r w:rsidRPr="00C53AB1">
              <w:rPr>
                <w:rFonts w:cs="Arial"/>
                <w:sz w:val="20"/>
                <w:szCs w:val="20"/>
              </w:rPr>
              <w:t xml:space="preserve">           164.400 </w:t>
            </w:r>
          </w:p>
        </w:tc>
        <w:tc>
          <w:tcPr>
            <w:tcW w:w="1360" w:type="dxa"/>
            <w:tcBorders>
              <w:top w:val="nil"/>
              <w:left w:val="nil"/>
              <w:bottom w:val="nil"/>
              <w:right w:val="nil"/>
            </w:tcBorders>
            <w:shd w:val="clear" w:color="auto" w:fill="auto"/>
            <w:noWrap/>
            <w:vAlign w:val="bottom"/>
            <w:hideMark/>
          </w:tcPr>
          <w:p w:rsidR="00F72D37" w:rsidRPr="00C53AB1" w:rsidRDefault="00F72D37" w:rsidP="00C53AB1">
            <w:pPr>
              <w:jc w:val="right"/>
              <w:rPr>
                <w:rFonts w:cs="Arial"/>
                <w:sz w:val="20"/>
                <w:szCs w:val="20"/>
              </w:rPr>
            </w:pPr>
            <w:r w:rsidRPr="00C53AB1">
              <w:rPr>
                <w:rFonts w:cs="Arial"/>
                <w:sz w:val="20"/>
                <w:szCs w:val="20"/>
              </w:rPr>
              <w:t>164.400</w:t>
            </w:r>
          </w:p>
        </w:tc>
      </w:tr>
      <w:tr w:rsidR="00F72D37" w:rsidRPr="00C53AB1" w:rsidTr="00955C90">
        <w:trPr>
          <w:trHeight w:val="300"/>
        </w:trPr>
        <w:tc>
          <w:tcPr>
            <w:tcW w:w="2820" w:type="dxa"/>
            <w:tcBorders>
              <w:top w:val="nil"/>
              <w:left w:val="nil"/>
              <w:bottom w:val="nil"/>
              <w:right w:val="nil"/>
            </w:tcBorders>
            <w:shd w:val="clear" w:color="auto" w:fill="auto"/>
            <w:noWrap/>
            <w:vAlign w:val="bottom"/>
            <w:hideMark/>
          </w:tcPr>
          <w:p w:rsidR="00F72D37" w:rsidRPr="00C53AB1" w:rsidRDefault="00F72D37" w:rsidP="00C53AB1">
            <w:pPr>
              <w:rPr>
                <w:rFonts w:cs="Arial"/>
                <w:sz w:val="20"/>
                <w:szCs w:val="20"/>
              </w:rPr>
            </w:pPr>
            <w:r w:rsidRPr="00C53AB1">
              <w:rPr>
                <w:rFonts w:cs="Arial"/>
                <w:sz w:val="20"/>
                <w:szCs w:val="20"/>
              </w:rPr>
              <w:t>5- " Transferencias"</w:t>
            </w:r>
          </w:p>
        </w:tc>
        <w:tc>
          <w:tcPr>
            <w:tcW w:w="1320" w:type="dxa"/>
            <w:tcBorders>
              <w:top w:val="nil"/>
              <w:left w:val="nil"/>
              <w:bottom w:val="nil"/>
              <w:right w:val="nil"/>
            </w:tcBorders>
            <w:shd w:val="clear" w:color="auto" w:fill="auto"/>
            <w:noWrap/>
            <w:vAlign w:val="bottom"/>
            <w:hideMark/>
          </w:tcPr>
          <w:p w:rsidR="00F72D37" w:rsidRPr="00C53AB1" w:rsidRDefault="00F72D37" w:rsidP="00C53AB1">
            <w:pPr>
              <w:rPr>
                <w:rFonts w:cs="Arial"/>
                <w:sz w:val="20"/>
                <w:szCs w:val="20"/>
              </w:rPr>
            </w:pPr>
            <w:r w:rsidRPr="00C53AB1">
              <w:rPr>
                <w:rFonts w:cs="Arial"/>
                <w:sz w:val="20"/>
                <w:szCs w:val="20"/>
              </w:rPr>
              <w:t xml:space="preserve">   2.327.192   </w:t>
            </w:r>
          </w:p>
        </w:tc>
        <w:tc>
          <w:tcPr>
            <w:tcW w:w="1480" w:type="dxa"/>
            <w:tcBorders>
              <w:top w:val="nil"/>
              <w:left w:val="nil"/>
              <w:bottom w:val="nil"/>
              <w:right w:val="nil"/>
            </w:tcBorders>
            <w:shd w:val="clear" w:color="auto" w:fill="auto"/>
            <w:noWrap/>
            <w:vAlign w:val="bottom"/>
            <w:hideMark/>
          </w:tcPr>
          <w:p w:rsidR="00F72D37" w:rsidRPr="00C53AB1" w:rsidRDefault="00F72D37" w:rsidP="00C53AB1">
            <w:pPr>
              <w:rPr>
                <w:rFonts w:cs="Arial"/>
                <w:sz w:val="20"/>
                <w:szCs w:val="20"/>
              </w:rPr>
            </w:pPr>
            <w:r w:rsidRPr="00C53AB1">
              <w:rPr>
                <w:rFonts w:cs="Arial"/>
                <w:sz w:val="20"/>
                <w:szCs w:val="20"/>
              </w:rPr>
              <w:t xml:space="preserve">        2.327.192 </w:t>
            </w:r>
          </w:p>
        </w:tc>
        <w:tc>
          <w:tcPr>
            <w:tcW w:w="1480" w:type="dxa"/>
            <w:tcBorders>
              <w:top w:val="nil"/>
              <w:left w:val="nil"/>
              <w:bottom w:val="nil"/>
              <w:right w:val="nil"/>
            </w:tcBorders>
            <w:shd w:val="clear" w:color="auto" w:fill="auto"/>
            <w:noWrap/>
            <w:vAlign w:val="bottom"/>
            <w:hideMark/>
          </w:tcPr>
          <w:p w:rsidR="00F72D37" w:rsidRPr="00C53AB1" w:rsidRDefault="00F72D37" w:rsidP="00C53AB1">
            <w:pPr>
              <w:rPr>
                <w:rFonts w:cs="Arial"/>
                <w:sz w:val="20"/>
                <w:szCs w:val="20"/>
              </w:rPr>
            </w:pPr>
            <w:r w:rsidRPr="00C53AB1">
              <w:rPr>
                <w:rFonts w:cs="Arial"/>
                <w:sz w:val="20"/>
                <w:szCs w:val="20"/>
              </w:rPr>
              <w:t xml:space="preserve">        1.014.753 </w:t>
            </w:r>
          </w:p>
        </w:tc>
        <w:tc>
          <w:tcPr>
            <w:tcW w:w="1360" w:type="dxa"/>
            <w:tcBorders>
              <w:top w:val="nil"/>
              <w:left w:val="nil"/>
              <w:bottom w:val="nil"/>
              <w:right w:val="nil"/>
            </w:tcBorders>
            <w:shd w:val="clear" w:color="auto" w:fill="auto"/>
            <w:noWrap/>
            <w:vAlign w:val="bottom"/>
            <w:hideMark/>
          </w:tcPr>
          <w:p w:rsidR="00F72D37" w:rsidRPr="00C53AB1" w:rsidRDefault="00F72D37" w:rsidP="00C53AB1">
            <w:pPr>
              <w:jc w:val="right"/>
              <w:rPr>
                <w:rFonts w:cs="Arial"/>
                <w:sz w:val="20"/>
                <w:szCs w:val="20"/>
              </w:rPr>
            </w:pPr>
            <w:r w:rsidRPr="00C53AB1">
              <w:rPr>
                <w:rFonts w:cs="Arial"/>
                <w:sz w:val="20"/>
                <w:szCs w:val="20"/>
              </w:rPr>
              <w:t>811.317</w:t>
            </w:r>
          </w:p>
        </w:tc>
      </w:tr>
      <w:tr w:rsidR="00F72D37" w:rsidRPr="00C53AB1" w:rsidTr="00955C90">
        <w:trPr>
          <w:trHeight w:val="300"/>
        </w:trPr>
        <w:tc>
          <w:tcPr>
            <w:tcW w:w="2820" w:type="dxa"/>
            <w:tcBorders>
              <w:top w:val="nil"/>
              <w:left w:val="nil"/>
              <w:bottom w:val="nil"/>
              <w:right w:val="nil"/>
            </w:tcBorders>
            <w:shd w:val="clear" w:color="auto" w:fill="auto"/>
            <w:noWrap/>
            <w:vAlign w:val="bottom"/>
            <w:hideMark/>
          </w:tcPr>
          <w:p w:rsidR="00F72D37" w:rsidRPr="00C53AB1" w:rsidRDefault="00F72D37" w:rsidP="00C53AB1">
            <w:pPr>
              <w:rPr>
                <w:rFonts w:cs="Arial"/>
                <w:sz w:val="20"/>
                <w:szCs w:val="20"/>
              </w:rPr>
            </w:pPr>
            <w:r w:rsidRPr="00C53AB1">
              <w:rPr>
                <w:rFonts w:cs="Arial"/>
                <w:sz w:val="20"/>
                <w:szCs w:val="20"/>
              </w:rPr>
              <w:t>7- "Sentencias Judiciales"</w:t>
            </w:r>
          </w:p>
        </w:tc>
        <w:tc>
          <w:tcPr>
            <w:tcW w:w="1320" w:type="dxa"/>
            <w:tcBorders>
              <w:top w:val="nil"/>
              <w:left w:val="nil"/>
              <w:bottom w:val="nil"/>
              <w:right w:val="nil"/>
            </w:tcBorders>
            <w:shd w:val="clear" w:color="auto" w:fill="auto"/>
            <w:noWrap/>
            <w:vAlign w:val="bottom"/>
            <w:hideMark/>
          </w:tcPr>
          <w:p w:rsidR="00F72D37" w:rsidRPr="00C53AB1" w:rsidRDefault="00F72D37" w:rsidP="00C53AB1">
            <w:pPr>
              <w:rPr>
                <w:rFonts w:cs="Arial"/>
                <w:sz w:val="20"/>
                <w:szCs w:val="20"/>
              </w:rPr>
            </w:pPr>
            <w:r w:rsidRPr="00C53AB1">
              <w:rPr>
                <w:rFonts w:cs="Arial"/>
                <w:sz w:val="20"/>
                <w:szCs w:val="20"/>
              </w:rPr>
              <w:t xml:space="preserve">              -     </w:t>
            </w:r>
          </w:p>
        </w:tc>
        <w:tc>
          <w:tcPr>
            <w:tcW w:w="1480" w:type="dxa"/>
            <w:tcBorders>
              <w:top w:val="nil"/>
              <w:left w:val="nil"/>
              <w:bottom w:val="nil"/>
              <w:right w:val="nil"/>
            </w:tcBorders>
            <w:shd w:val="clear" w:color="auto" w:fill="auto"/>
            <w:noWrap/>
            <w:vAlign w:val="bottom"/>
            <w:hideMark/>
          </w:tcPr>
          <w:p w:rsidR="00F72D37" w:rsidRPr="00C53AB1" w:rsidRDefault="00F72D37" w:rsidP="00C53AB1">
            <w:pPr>
              <w:rPr>
                <w:rFonts w:cs="Arial"/>
                <w:sz w:val="20"/>
                <w:szCs w:val="20"/>
              </w:rPr>
            </w:pPr>
            <w:r w:rsidRPr="00C53AB1">
              <w:rPr>
                <w:rFonts w:cs="Arial"/>
                <w:sz w:val="20"/>
                <w:szCs w:val="20"/>
              </w:rPr>
              <w:t xml:space="preserve">                     - </w:t>
            </w:r>
          </w:p>
        </w:tc>
        <w:tc>
          <w:tcPr>
            <w:tcW w:w="1480" w:type="dxa"/>
            <w:tcBorders>
              <w:top w:val="nil"/>
              <w:left w:val="nil"/>
              <w:bottom w:val="nil"/>
              <w:right w:val="nil"/>
            </w:tcBorders>
            <w:shd w:val="clear" w:color="auto" w:fill="auto"/>
            <w:noWrap/>
            <w:vAlign w:val="bottom"/>
            <w:hideMark/>
          </w:tcPr>
          <w:p w:rsidR="00F72D37" w:rsidRPr="00C53AB1" w:rsidRDefault="00F72D37" w:rsidP="00C53AB1">
            <w:pPr>
              <w:rPr>
                <w:rFonts w:cs="Arial"/>
                <w:sz w:val="20"/>
                <w:szCs w:val="20"/>
              </w:rPr>
            </w:pPr>
            <w:r w:rsidRPr="00C53AB1">
              <w:rPr>
                <w:rFonts w:cs="Arial"/>
                <w:sz w:val="20"/>
                <w:szCs w:val="20"/>
              </w:rPr>
              <w:t xml:space="preserve">                     - </w:t>
            </w:r>
          </w:p>
        </w:tc>
        <w:tc>
          <w:tcPr>
            <w:tcW w:w="1360" w:type="dxa"/>
            <w:tcBorders>
              <w:top w:val="nil"/>
              <w:left w:val="nil"/>
              <w:bottom w:val="nil"/>
              <w:right w:val="nil"/>
            </w:tcBorders>
            <w:shd w:val="clear" w:color="auto" w:fill="auto"/>
            <w:noWrap/>
            <w:vAlign w:val="bottom"/>
            <w:hideMark/>
          </w:tcPr>
          <w:p w:rsidR="00F72D37" w:rsidRPr="00C53AB1" w:rsidRDefault="00F72D37" w:rsidP="00C53AB1">
            <w:pPr>
              <w:jc w:val="right"/>
              <w:rPr>
                <w:rFonts w:cs="Arial"/>
                <w:sz w:val="20"/>
                <w:szCs w:val="20"/>
              </w:rPr>
            </w:pPr>
            <w:r w:rsidRPr="00C53AB1">
              <w:rPr>
                <w:rFonts w:cs="Arial"/>
                <w:sz w:val="20"/>
                <w:szCs w:val="20"/>
              </w:rPr>
              <w:t>756.000</w:t>
            </w:r>
          </w:p>
        </w:tc>
      </w:tr>
      <w:tr w:rsidR="00F72D37" w:rsidRPr="00C53AB1" w:rsidTr="00955C90">
        <w:trPr>
          <w:trHeight w:val="300"/>
        </w:trPr>
        <w:tc>
          <w:tcPr>
            <w:tcW w:w="2820" w:type="dxa"/>
            <w:tcBorders>
              <w:top w:val="nil"/>
              <w:left w:val="nil"/>
              <w:bottom w:val="nil"/>
              <w:right w:val="nil"/>
            </w:tcBorders>
            <w:shd w:val="clear" w:color="auto" w:fill="auto"/>
            <w:noWrap/>
            <w:vAlign w:val="bottom"/>
            <w:hideMark/>
          </w:tcPr>
          <w:p w:rsidR="00F72D37" w:rsidRPr="00C53AB1" w:rsidRDefault="00F72D37" w:rsidP="00C53AB1">
            <w:pPr>
              <w:rPr>
                <w:rFonts w:cs="Arial"/>
                <w:sz w:val="20"/>
                <w:szCs w:val="20"/>
              </w:rPr>
            </w:pPr>
          </w:p>
        </w:tc>
        <w:tc>
          <w:tcPr>
            <w:tcW w:w="1320" w:type="dxa"/>
            <w:tcBorders>
              <w:top w:val="nil"/>
              <w:left w:val="nil"/>
              <w:bottom w:val="nil"/>
              <w:right w:val="nil"/>
            </w:tcBorders>
            <w:shd w:val="clear" w:color="auto" w:fill="auto"/>
            <w:noWrap/>
            <w:vAlign w:val="bottom"/>
            <w:hideMark/>
          </w:tcPr>
          <w:p w:rsidR="00F72D37" w:rsidRPr="00C53AB1" w:rsidRDefault="00F72D37" w:rsidP="00C53AB1">
            <w:pPr>
              <w:rPr>
                <w:rFonts w:cs="Arial"/>
                <w:b/>
                <w:bCs/>
                <w:sz w:val="20"/>
                <w:szCs w:val="20"/>
              </w:rPr>
            </w:pPr>
          </w:p>
        </w:tc>
        <w:tc>
          <w:tcPr>
            <w:tcW w:w="1480" w:type="dxa"/>
            <w:tcBorders>
              <w:top w:val="nil"/>
              <w:left w:val="nil"/>
              <w:bottom w:val="nil"/>
              <w:right w:val="nil"/>
            </w:tcBorders>
            <w:shd w:val="clear" w:color="auto" w:fill="auto"/>
            <w:noWrap/>
            <w:vAlign w:val="bottom"/>
            <w:hideMark/>
          </w:tcPr>
          <w:p w:rsidR="00F72D37" w:rsidRPr="00C53AB1" w:rsidRDefault="00F72D37" w:rsidP="00C53AB1">
            <w:pPr>
              <w:rPr>
                <w:rFonts w:cs="Arial"/>
                <w:b/>
                <w:bCs/>
                <w:sz w:val="20"/>
                <w:szCs w:val="20"/>
              </w:rPr>
            </w:pPr>
          </w:p>
        </w:tc>
        <w:tc>
          <w:tcPr>
            <w:tcW w:w="1480" w:type="dxa"/>
            <w:tcBorders>
              <w:top w:val="nil"/>
              <w:left w:val="nil"/>
              <w:bottom w:val="nil"/>
              <w:right w:val="nil"/>
            </w:tcBorders>
            <w:shd w:val="clear" w:color="auto" w:fill="auto"/>
            <w:noWrap/>
            <w:vAlign w:val="bottom"/>
            <w:hideMark/>
          </w:tcPr>
          <w:p w:rsidR="00F72D37" w:rsidRPr="00C53AB1" w:rsidRDefault="00F72D37" w:rsidP="00C53AB1">
            <w:pPr>
              <w:rPr>
                <w:rFonts w:cs="Arial"/>
                <w:b/>
                <w:bCs/>
                <w:sz w:val="20"/>
                <w:szCs w:val="20"/>
              </w:rPr>
            </w:pPr>
          </w:p>
        </w:tc>
        <w:tc>
          <w:tcPr>
            <w:tcW w:w="1360" w:type="dxa"/>
            <w:tcBorders>
              <w:top w:val="nil"/>
              <w:left w:val="nil"/>
              <w:bottom w:val="nil"/>
              <w:right w:val="nil"/>
            </w:tcBorders>
            <w:shd w:val="clear" w:color="auto" w:fill="auto"/>
            <w:noWrap/>
            <w:vAlign w:val="bottom"/>
            <w:hideMark/>
          </w:tcPr>
          <w:p w:rsidR="00F72D37" w:rsidRPr="00C53AB1" w:rsidRDefault="00F72D37" w:rsidP="00C53AB1">
            <w:pPr>
              <w:rPr>
                <w:rFonts w:cs="Arial"/>
                <w:b/>
                <w:bCs/>
                <w:sz w:val="20"/>
                <w:szCs w:val="20"/>
              </w:rPr>
            </w:pPr>
          </w:p>
        </w:tc>
      </w:tr>
      <w:tr w:rsidR="00F72D37" w:rsidRPr="00C53AB1" w:rsidTr="00955C90">
        <w:trPr>
          <w:trHeight w:val="300"/>
        </w:trPr>
        <w:tc>
          <w:tcPr>
            <w:tcW w:w="2820" w:type="dxa"/>
            <w:tcBorders>
              <w:top w:val="nil"/>
              <w:left w:val="nil"/>
              <w:bottom w:val="nil"/>
              <w:right w:val="nil"/>
            </w:tcBorders>
            <w:shd w:val="clear" w:color="auto" w:fill="auto"/>
            <w:noWrap/>
            <w:vAlign w:val="bottom"/>
            <w:hideMark/>
          </w:tcPr>
          <w:p w:rsidR="00F72D37" w:rsidRPr="00C53AB1" w:rsidRDefault="00F72D37" w:rsidP="00C53AB1">
            <w:pPr>
              <w:rPr>
                <w:rFonts w:cs="Arial"/>
                <w:b/>
                <w:bCs/>
                <w:sz w:val="20"/>
                <w:szCs w:val="20"/>
              </w:rPr>
            </w:pPr>
            <w:r w:rsidRPr="00C53AB1">
              <w:rPr>
                <w:rFonts w:cs="Arial"/>
                <w:b/>
                <w:bCs/>
                <w:sz w:val="20"/>
                <w:szCs w:val="20"/>
              </w:rPr>
              <w:t>TOTALES</w:t>
            </w:r>
          </w:p>
        </w:tc>
        <w:tc>
          <w:tcPr>
            <w:tcW w:w="1320" w:type="dxa"/>
            <w:tcBorders>
              <w:top w:val="nil"/>
              <w:left w:val="nil"/>
              <w:bottom w:val="nil"/>
              <w:right w:val="nil"/>
            </w:tcBorders>
            <w:shd w:val="clear" w:color="auto" w:fill="auto"/>
            <w:noWrap/>
            <w:vAlign w:val="bottom"/>
            <w:hideMark/>
          </w:tcPr>
          <w:p w:rsidR="00F72D37" w:rsidRPr="00C53AB1" w:rsidRDefault="00F72D37" w:rsidP="00C53AB1">
            <w:pPr>
              <w:rPr>
                <w:rFonts w:cs="Arial"/>
                <w:b/>
                <w:bCs/>
                <w:sz w:val="20"/>
                <w:szCs w:val="20"/>
              </w:rPr>
            </w:pPr>
            <w:r w:rsidRPr="00C53AB1">
              <w:rPr>
                <w:rFonts w:cs="Arial"/>
                <w:b/>
                <w:bCs/>
                <w:sz w:val="20"/>
                <w:szCs w:val="20"/>
              </w:rPr>
              <w:t xml:space="preserve"> 51.664.010   </w:t>
            </w:r>
          </w:p>
        </w:tc>
        <w:tc>
          <w:tcPr>
            <w:tcW w:w="1480" w:type="dxa"/>
            <w:tcBorders>
              <w:top w:val="nil"/>
              <w:left w:val="nil"/>
              <w:bottom w:val="nil"/>
              <w:right w:val="nil"/>
            </w:tcBorders>
            <w:shd w:val="clear" w:color="auto" w:fill="auto"/>
            <w:noWrap/>
            <w:vAlign w:val="bottom"/>
            <w:hideMark/>
          </w:tcPr>
          <w:p w:rsidR="00F72D37" w:rsidRPr="00C53AB1" w:rsidRDefault="00F72D37" w:rsidP="00C53AB1">
            <w:pPr>
              <w:rPr>
                <w:rFonts w:cs="Arial"/>
                <w:b/>
                <w:bCs/>
                <w:sz w:val="20"/>
                <w:szCs w:val="20"/>
              </w:rPr>
            </w:pPr>
            <w:r w:rsidRPr="00C53AB1">
              <w:rPr>
                <w:rFonts w:cs="Arial"/>
                <w:b/>
                <w:bCs/>
                <w:sz w:val="20"/>
                <w:szCs w:val="20"/>
              </w:rPr>
              <w:t xml:space="preserve">    60.713.144   </w:t>
            </w:r>
          </w:p>
        </w:tc>
        <w:tc>
          <w:tcPr>
            <w:tcW w:w="1480" w:type="dxa"/>
            <w:tcBorders>
              <w:top w:val="nil"/>
              <w:left w:val="nil"/>
              <w:bottom w:val="nil"/>
              <w:right w:val="nil"/>
            </w:tcBorders>
            <w:shd w:val="clear" w:color="auto" w:fill="auto"/>
            <w:noWrap/>
            <w:vAlign w:val="bottom"/>
            <w:hideMark/>
          </w:tcPr>
          <w:p w:rsidR="00F72D37" w:rsidRPr="00C53AB1" w:rsidRDefault="00F72D37" w:rsidP="00C53AB1">
            <w:pPr>
              <w:rPr>
                <w:rFonts w:cs="Arial"/>
                <w:b/>
                <w:bCs/>
                <w:sz w:val="20"/>
                <w:szCs w:val="20"/>
              </w:rPr>
            </w:pPr>
            <w:r w:rsidRPr="00C53AB1">
              <w:rPr>
                <w:rFonts w:cs="Arial"/>
                <w:b/>
                <w:bCs/>
                <w:sz w:val="20"/>
                <w:szCs w:val="20"/>
              </w:rPr>
              <w:t xml:space="preserve">    60.161.943   </w:t>
            </w:r>
          </w:p>
        </w:tc>
        <w:tc>
          <w:tcPr>
            <w:tcW w:w="1360" w:type="dxa"/>
            <w:tcBorders>
              <w:top w:val="nil"/>
              <w:left w:val="nil"/>
              <w:bottom w:val="nil"/>
              <w:right w:val="nil"/>
            </w:tcBorders>
            <w:shd w:val="clear" w:color="auto" w:fill="auto"/>
            <w:noWrap/>
            <w:vAlign w:val="bottom"/>
            <w:hideMark/>
          </w:tcPr>
          <w:p w:rsidR="00F72D37" w:rsidRPr="00C53AB1" w:rsidRDefault="00F72D37" w:rsidP="00C53AB1">
            <w:pPr>
              <w:rPr>
                <w:rFonts w:cs="Arial"/>
                <w:b/>
                <w:bCs/>
                <w:sz w:val="20"/>
                <w:szCs w:val="20"/>
              </w:rPr>
            </w:pPr>
            <w:r w:rsidRPr="00C53AB1">
              <w:rPr>
                <w:rFonts w:cs="Arial"/>
                <w:b/>
                <w:bCs/>
                <w:sz w:val="20"/>
                <w:szCs w:val="20"/>
              </w:rPr>
              <w:t xml:space="preserve">  58.253.041   </w:t>
            </w:r>
          </w:p>
        </w:tc>
      </w:tr>
      <w:tr w:rsidR="00F72D37" w:rsidRPr="00C53AB1" w:rsidTr="00955C90">
        <w:trPr>
          <w:trHeight w:val="300"/>
        </w:trPr>
        <w:tc>
          <w:tcPr>
            <w:tcW w:w="2820" w:type="dxa"/>
            <w:tcBorders>
              <w:top w:val="nil"/>
              <w:left w:val="nil"/>
              <w:bottom w:val="nil"/>
              <w:right w:val="nil"/>
            </w:tcBorders>
            <w:shd w:val="clear" w:color="auto" w:fill="auto"/>
            <w:noWrap/>
            <w:vAlign w:val="bottom"/>
            <w:hideMark/>
          </w:tcPr>
          <w:p w:rsidR="00F72D37" w:rsidRPr="00C53AB1" w:rsidRDefault="00F72D37" w:rsidP="00C53AB1">
            <w:pPr>
              <w:rPr>
                <w:rFonts w:ascii="Calibri" w:hAnsi="Calibri" w:cs="Calibri"/>
                <w:color w:val="000000"/>
              </w:rPr>
            </w:pPr>
          </w:p>
        </w:tc>
        <w:tc>
          <w:tcPr>
            <w:tcW w:w="1320" w:type="dxa"/>
            <w:tcBorders>
              <w:top w:val="nil"/>
              <w:left w:val="nil"/>
              <w:bottom w:val="nil"/>
              <w:right w:val="nil"/>
            </w:tcBorders>
            <w:shd w:val="clear" w:color="auto" w:fill="auto"/>
            <w:noWrap/>
            <w:vAlign w:val="bottom"/>
            <w:hideMark/>
          </w:tcPr>
          <w:p w:rsidR="00F72D37" w:rsidRPr="00C53AB1" w:rsidRDefault="00F72D37" w:rsidP="00C53AB1">
            <w:pPr>
              <w:rPr>
                <w:rFonts w:ascii="Calibri" w:hAnsi="Calibri" w:cs="Calibri"/>
                <w:color w:val="000000"/>
              </w:rPr>
            </w:pPr>
          </w:p>
        </w:tc>
        <w:tc>
          <w:tcPr>
            <w:tcW w:w="1480" w:type="dxa"/>
            <w:tcBorders>
              <w:top w:val="nil"/>
              <w:left w:val="nil"/>
              <w:bottom w:val="nil"/>
              <w:right w:val="nil"/>
            </w:tcBorders>
            <w:shd w:val="clear" w:color="auto" w:fill="auto"/>
            <w:noWrap/>
            <w:vAlign w:val="bottom"/>
            <w:hideMark/>
          </w:tcPr>
          <w:p w:rsidR="00F72D37" w:rsidRPr="00C53AB1" w:rsidRDefault="00F72D37" w:rsidP="00C53AB1">
            <w:pPr>
              <w:rPr>
                <w:rFonts w:ascii="Calibri" w:hAnsi="Calibri" w:cs="Calibri"/>
                <w:color w:val="000000"/>
              </w:rPr>
            </w:pPr>
          </w:p>
        </w:tc>
        <w:tc>
          <w:tcPr>
            <w:tcW w:w="1480" w:type="dxa"/>
            <w:tcBorders>
              <w:top w:val="nil"/>
              <w:left w:val="nil"/>
              <w:bottom w:val="nil"/>
              <w:right w:val="nil"/>
            </w:tcBorders>
            <w:shd w:val="clear" w:color="auto" w:fill="auto"/>
            <w:noWrap/>
            <w:vAlign w:val="bottom"/>
            <w:hideMark/>
          </w:tcPr>
          <w:p w:rsidR="00F72D37" w:rsidRPr="00C53AB1" w:rsidRDefault="00F72D37" w:rsidP="00C53AB1">
            <w:pPr>
              <w:rPr>
                <w:rFonts w:ascii="Calibri" w:hAnsi="Calibri" w:cs="Calibri"/>
                <w:color w:val="000000"/>
              </w:rPr>
            </w:pPr>
          </w:p>
        </w:tc>
        <w:tc>
          <w:tcPr>
            <w:tcW w:w="1360" w:type="dxa"/>
            <w:tcBorders>
              <w:top w:val="nil"/>
              <w:left w:val="nil"/>
              <w:bottom w:val="nil"/>
              <w:right w:val="nil"/>
            </w:tcBorders>
            <w:shd w:val="clear" w:color="auto" w:fill="auto"/>
            <w:noWrap/>
            <w:vAlign w:val="bottom"/>
            <w:hideMark/>
          </w:tcPr>
          <w:p w:rsidR="00F72D37" w:rsidRPr="00C53AB1" w:rsidRDefault="00F72D37" w:rsidP="00C53AB1">
            <w:pPr>
              <w:rPr>
                <w:rFonts w:ascii="Calibri" w:hAnsi="Calibri" w:cs="Calibri"/>
                <w:color w:val="000000"/>
              </w:rPr>
            </w:pPr>
          </w:p>
        </w:tc>
      </w:tr>
    </w:tbl>
    <w:p w:rsidR="00F72D37" w:rsidRDefault="00F72D37" w:rsidP="00C53AB1">
      <w:pPr>
        <w:spacing w:line="360" w:lineRule="auto"/>
        <w:jc w:val="both"/>
        <w:rPr>
          <w:rFonts w:cs="Arial"/>
          <w:b/>
        </w:rPr>
      </w:pPr>
    </w:p>
    <w:p w:rsidR="00F72D37" w:rsidRPr="00C53AB1" w:rsidRDefault="00F72D37" w:rsidP="00C53AB1">
      <w:pPr>
        <w:spacing w:line="360" w:lineRule="auto"/>
        <w:jc w:val="both"/>
        <w:rPr>
          <w:rFonts w:cs="Arial"/>
        </w:rPr>
      </w:pPr>
      <w:r w:rsidRPr="00C53AB1">
        <w:rPr>
          <w:rFonts w:cs="Arial"/>
          <w:b/>
        </w:rPr>
        <w:t xml:space="preserve">2.2) </w:t>
      </w:r>
      <w:r w:rsidRPr="00C53AB1">
        <w:rPr>
          <w:rFonts w:cs="Arial"/>
        </w:rPr>
        <w:t xml:space="preserve">La Junta Departamental se encuentra en proceso de homologación de un acuerdo transaccional con los funcionarios que refiere a la reliquidación del salario vacacional </w:t>
      </w:r>
      <w:r>
        <w:rPr>
          <w:rFonts w:cs="Arial"/>
        </w:rPr>
        <w:t xml:space="preserve"> </w:t>
      </w:r>
      <w:r w:rsidRPr="00C53AB1">
        <w:rPr>
          <w:rFonts w:cs="Arial"/>
        </w:rPr>
        <w:t xml:space="preserve">y de la dedicación total. En el referido acuerdo se prevé que la cifra pactada se abonará de la siguiente manera: </w:t>
      </w:r>
      <w:r>
        <w:rPr>
          <w:rFonts w:cs="Arial"/>
        </w:rPr>
        <w:t>a) en el E</w:t>
      </w:r>
      <w:r w:rsidRPr="00C53AB1">
        <w:rPr>
          <w:rFonts w:cs="Arial"/>
        </w:rPr>
        <w:t>jercicio 2018, el 100% de la diferencia del salario vacacional, y respecto de la diferencia de dedicación</w:t>
      </w:r>
      <w:r>
        <w:rPr>
          <w:rFonts w:cs="Arial"/>
        </w:rPr>
        <w:t xml:space="preserve"> total se abonará el 15% en el Ejercicio 2018, el 70% en el E</w:t>
      </w:r>
      <w:r w:rsidRPr="00C53AB1">
        <w:rPr>
          <w:rFonts w:cs="Arial"/>
        </w:rPr>
        <w:t>jercicio 2019 y el 15% restante en el 2020. Atendiendo a la forma de pago, se efectuaron las previsiones correspondientes para los objetos de gastos 078 “Salario vacacional” y 013 “Dedicación total”</w:t>
      </w:r>
      <w:r>
        <w:rPr>
          <w:rFonts w:cs="Arial"/>
        </w:rPr>
        <w:t xml:space="preserve"> en dichos Ejercicios. No obstante, conforme</w:t>
      </w:r>
      <w:r w:rsidRPr="00C53AB1">
        <w:rPr>
          <w:rFonts w:cs="Arial"/>
        </w:rPr>
        <w:t xml:space="preserve"> </w:t>
      </w:r>
      <w:r>
        <w:rPr>
          <w:rFonts w:cs="Arial"/>
        </w:rPr>
        <w:t>con</w:t>
      </w:r>
      <w:r w:rsidRPr="00C53AB1">
        <w:rPr>
          <w:rFonts w:cs="Arial"/>
        </w:rPr>
        <w:t xml:space="preserve"> lo dispuesto por el Artículo 20 del TOCAF y a que la Junta Departamental de San José se ampara en el último inciso del mismo e</w:t>
      </w:r>
      <w:r>
        <w:rPr>
          <w:rFonts w:cs="Arial"/>
        </w:rPr>
        <w:t xml:space="preserve"> imputa sus gastos de acuerdo con el</w:t>
      </w:r>
      <w:r w:rsidRPr="00C53AB1">
        <w:rPr>
          <w:rFonts w:cs="Arial"/>
        </w:rPr>
        <w:t xml:space="preserve"> criterio de lo comprometido, corresponde prever la asignación pres</w:t>
      </w:r>
      <w:r>
        <w:rPr>
          <w:rFonts w:cs="Arial"/>
        </w:rPr>
        <w:t>upuestal en su totalidad en el E</w:t>
      </w:r>
      <w:r w:rsidRPr="00C53AB1">
        <w:rPr>
          <w:rFonts w:cs="Arial"/>
        </w:rPr>
        <w:t>jercicio 2018,</w:t>
      </w:r>
      <w:r>
        <w:rPr>
          <w:rFonts w:cs="Arial"/>
        </w:rPr>
        <w:t xml:space="preserve"> que es el E</w:t>
      </w:r>
      <w:r w:rsidRPr="00C53AB1">
        <w:rPr>
          <w:rFonts w:cs="Arial"/>
        </w:rPr>
        <w:t>jercicio en el que se estima va a quedar firme la homologación del acuerdo y, por lo tanto, corresponde la imputa</w:t>
      </w:r>
      <w:r>
        <w:rPr>
          <w:rFonts w:cs="Arial"/>
        </w:rPr>
        <w:t>ción de la totalidad del gasto.</w:t>
      </w:r>
    </w:p>
    <w:p w:rsidR="00F72D37" w:rsidRDefault="00F72D37" w:rsidP="00C53AB1">
      <w:pPr>
        <w:tabs>
          <w:tab w:val="left" w:pos="360"/>
        </w:tabs>
        <w:spacing w:line="360" w:lineRule="auto"/>
        <w:jc w:val="both"/>
        <w:rPr>
          <w:rFonts w:cs="Arial"/>
          <w:b/>
          <w:bCs/>
        </w:rPr>
      </w:pPr>
    </w:p>
    <w:p w:rsidR="00F72D37" w:rsidRPr="00C53AB1" w:rsidRDefault="00F72D37" w:rsidP="00C53AB1">
      <w:pPr>
        <w:tabs>
          <w:tab w:val="left" w:pos="360"/>
        </w:tabs>
        <w:spacing w:line="360" w:lineRule="auto"/>
        <w:jc w:val="both"/>
        <w:rPr>
          <w:rFonts w:cs="Arial"/>
          <w:b/>
          <w:bCs/>
        </w:rPr>
      </w:pPr>
      <w:r w:rsidRPr="00C53AB1">
        <w:rPr>
          <w:rFonts w:cs="Arial"/>
          <w:b/>
          <w:bCs/>
        </w:rPr>
        <w:t>3) Cumplimiento de normas constitucionales, legales y reglamentarias</w:t>
      </w:r>
    </w:p>
    <w:p w:rsidR="00F72D37" w:rsidRPr="00C53AB1" w:rsidRDefault="00F72D37" w:rsidP="00C53AB1">
      <w:pPr>
        <w:spacing w:line="360" w:lineRule="auto"/>
        <w:jc w:val="both"/>
        <w:rPr>
          <w:rFonts w:cs="Arial"/>
          <w:lang w:val="es-MX"/>
        </w:rPr>
      </w:pPr>
      <w:r w:rsidRPr="00C53AB1">
        <w:rPr>
          <w:rFonts w:cs="Arial"/>
          <w:b/>
          <w:bCs/>
        </w:rPr>
        <w:t>3.1)</w:t>
      </w:r>
      <w:r w:rsidRPr="00C53AB1">
        <w:rPr>
          <w:rFonts w:cs="Arial"/>
        </w:rPr>
        <w:t xml:space="preserve"> No s</w:t>
      </w:r>
      <w:proofErr w:type="spellStart"/>
      <w:r w:rsidRPr="00C53AB1">
        <w:rPr>
          <w:rFonts w:cs="Arial"/>
          <w:lang w:val="es-MX"/>
        </w:rPr>
        <w:t>e</w:t>
      </w:r>
      <w:proofErr w:type="spellEnd"/>
      <w:r>
        <w:rPr>
          <w:rFonts w:cs="Arial"/>
          <w:lang w:val="es-MX"/>
        </w:rPr>
        <w:t xml:space="preserve"> ha dado cumplimiento con lo dispuesto por el Artículo</w:t>
      </w:r>
      <w:r w:rsidRPr="00C53AB1">
        <w:rPr>
          <w:rFonts w:cs="Arial"/>
          <w:lang w:val="es-MX"/>
        </w:rPr>
        <w:t xml:space="preserve"> 483 de la Ley 17.296, en cuanto la</w:t>
      </w:r>
      <w:r>
        <w:rPr>
          <w:rFonts w:cs="Arial"/>
          <w:lang w:val="es-MX"/>
        </w:rPr>
        <w:t xml:space="preserve"> Modificación Presupuestal (Artículo</w:t>
      </w:r>
      <w:r w:rsidRPr="00C53AB1">
        <w:rPr>
          <w:rFonts w:cs="Arial"/>
          <w:lang w:val="es-MX"/>
        </w:rPr>
        <w:t xml:space="preserve"> 273 N</w:t>
      </w:r>
      <w:r>
        <w:rPr>
          <w:rFonts w:cs="Arial"/>
          <w:lang w:val="es-MX"/>
        </w:rPr>
        <w:t>ume</w:t>
      </w:r>
      <w:r w:rsidRPr="00C53AB1">
        <w:rPr>
          <w:rFonts w:cs="Arial"/>
          <w:lang w:val="es-MX"/>
        </w:rPr>
        <w:t xml:space="preserve">ral 6 de la Constitución de la República), debe ser remitida al Tribunal de Cuentas, con las mayorías requeridas y un plazo no inferior </w:t>
      </w:r>
      <w:r>
        <w:rPr>
          <w:rFonts w:cs="Arial"/>
          <w:lang w:val="es-MX"/>
        </w:rPr>
        <w:t>a veinte días para que el Tribunal</w:t>
      </w:r>
      <w:r w:rsidRPr="00C53AB1">
        <w:rPr>
          <w:rFonts w:cs="Arial"/>
          <w:lang w:val="es-MX"/>
        </w:rPr>
        <w:t xml:space="preserve"> pueda producir el dictamen correspondiente en l</w:t>
      </w:r>
      <w:r>
        <w:rPr>
          <w:rFonts w:cs="Arial"/>
          <w:lang w:val="es-MX"/>
        </w:rPr>
        <w:t>os términos previstos en el Artículo</w:t>
      </w:r>
      <w:r w:rsidRPr="00C53AB1">
        <w:rPr>
          <w:rFonts w:cs="Arial"/>
          <w:lang w:val="es-MX"/>
        </w:rPr>
        <w:t xml:space="preserve"> 225 de la Constitución de la República. Sin perjuicio de ell</w:t>
      </w:r>
      <w:r>
        <w:rPr>
          <w:rFonts w:cs="Arial"/>
          <w:lang w:val="es-MX"/>
        </w:rPr>
        <w:t>o se emite el presente dictamen;</w:t>
      </w:r>
    </w:p>
    <w:p w:rsidR="00F72D37" w:rsidRPr="00C53AB1" w:rsidRDefault="00F72D37" w:rsidP="00C53AB1">
      <w:pPr>
        <w:spacing w:line="360" w:lineRule="auto"/>
        <w:jc w:val="both"/>
        <w:rPr>
          <w:rFonts w:cs="Arial"/>
        </w:rPr>
      </w:pPr>
      <w:r w:rsidRPr="00C53AB1">
        <w:rPr>
          <w:rFonts w:cs="Arial"/>
          <w:b/>
          <w:bCs/>
          <w:lang w:val="es-MX"/>
        </w:rPr>
        <w:t>3.2)</w:t>
      </w:r>
      <w:r w:rsidRPr="00C53AB1">
        <w:rPr>
          <w:rFonts w:cs="Arial"/>
        </w:rPr>
        <w:t xml:space="preserve"> En lo que refiere a las partidas por combustible de los Sres. Ediles, se mantiene la observación formulada en ocasión del dictamen de fecha 17/05/017 (Modific</w:t>
      </w:r>
      <w:r>
        <w:rPr>
          <w:rFonts w:cs="Arial"/>
        </w:rPr>
        <w:t>ación Presupuestal 2017-2020);</w:t>
      </w:r>
    </w:p>
    <w:p w:rsidR="00F72D37" w:rsidRPr="00C53AB1" w:rsidRDefault="00F72D37" w:rsidP="00C53AB1">
      <w:pPr>
        <w:spacing w:line="360" w:lineRule="auto"/>
        <w:jc w:val="both"/>
        <w:rPr>
          <w:rFonts w:cs="Arial"/>
          <w:snapToGrid w:val="0"/>
          <w:spacing w:val="-3"/>
          <w:lang w:val="es-ES_tradnl"/>
        </w:rPr>
      </w:pPr>
      <w:r w:rsidRPr="00C53AB1">
        <w:rPr>
          <w:rFonts w:cs="Arial"/>
          <w:b/>
          <w:snapToGrid w:val="0"/>
          <w:spacing w:val="-3"/>
          <w:lang w:val="es-ES_tradnl"/>
        </w:rPr>
        <w:t xml:space="preserve">3.3) </w:t>
      </w:r>
      <w:r w:rsidRPr="00C53AB1">
        <w:rPr>
          <w:rFonts w:cs="Arial"/>
          <w:snapToGrid w:val="0"/>
          <w:spacing w:val="-3"/>
          <w:lang w:val="es-ES_tradnl"/>
        </w:rPr>
        <w:t>Se mantienen</w:t>
      </w:r>
      <w:r w:rsidRPr="00C53AB1">
        <w:rPr>
          <w:rFonts w:cs="Arial"/>
          <w:b/>
          <w:snapToGrid w:val="0"/>
          <w:spacing w:val="-3"/>
          <w:lang w:val="es-ES_tradnl"/>
        </w:rPr>
        <w:t xml:space="preserve"> </w:t>
      </w:r>
      <w:r w:rsidRPr="00C53AB1">
        <w:rPr>
          <w:rFonts w:cs="Arial"/>
          <w:snapToGrid w:val="0"/>
          <w:spacing w:val="-3"/>
          <w:lang w:val="es-ES_tradnl"/>
        </w:rPr>
        <w:t xml:space="preserve">vigentes las partidas previstas en el Grupo 5 “Transferencias”, en particular las proyectadas a: “Instituciones de Enseñanza”, “Instituciones de Salud”, “Instituciones de Asistencia Social” e “Instituciones Deportivas, Culturales y Recreativas”, contraviniendo </w:t>
      </w:r>
      <w:r w:rsidRPr="00C53AB1">
        <w:rPr>
          <w:rFonts w:cs="Arial"/>
          <w:lang w:val="es-ES_tradnl"/>
        </w:rPr>
        <w:t>lo dispuesto por el Art. 273 de la Constitución de la República y por la Ley Nº 9.515, en virtud de que las donaciones no se encuentran dentro de las facultades constitucionales y legales otorgada</w:t>
      </w:r>
      <w:r>
        <w:rPr>
          <w:rFonts w:cs="Arial"/>
          <w:lang w:val="es-ES_tradnl"/>
        </w:rPr>
        <w:t>s a las Juntas Departamentales;</w:t>
      </w:r>
    </w:p>
    <w:p w:rsidR="00F72D37" w:rsidRDefault="00F72D37" w:rsidP="00C53AB1">
      <w:pPr>
        <w:spacing w:line="360" w:lineRule="auto"/>
        <w:jc w:val="both"/>
        <w:rPr>
          <w:rFonts w:cs="Arial"/>
          <w:snapToGrid w:val="0"/>
          <w:spacing w:val="-3"/>
          <w:lang w:val="es-ES_tradnl"/>
        </w:rPr>
      </w:pPr>
      <w:r w:rsidRPr="00C53AB1">
        <w:rPr>
          <w:rFonts w:cs="Arial"/>
          <w:b/>
          <w:snapToGrid w:val="0"/>
          <w:spacing w:val="-3"/>
          <w:lang w:val="es-ES_tradnl"/>
        </w:rPr>
        <w:t>3.4)</w:t>
      </w:r>
      <w:r w:rsidRPr="00C53AB1">
        <w:rPr>
          <w:rFonts w:cs="Arial"/>
          <w:snapToGrid w:val="0"/>
          <w:spacing w:val="-3"/>
          <w:lang w:val="es-ES_tradnl"/>
        </w:rPr>
        <w:t xml:space="preserve"> En relación al Objeto 042 “Productividad”, esta partida fue creada en el Artículo 9 de la Modificación Presupuestal 2017-2020 previéndose una asignac</w:t>
      </w:r>
      <w:r>
        <w:rPr>
          <w:rFonts w:cs="Arial"/>
          <w:snapToGrid w:val="0"/>
          <w:spacing w:val="-3"/>
          <w:lang w:val="es-ES_tradnl"/>
        </w:rPr>
        <w:t>ión anual de $ 100.  Este Tribunal se pronunció en S</w:t>
      </w:r>
      <w:r w:rsidRPr="00C53AB1">
        <w:rPr>
          <w:rFonts w:cs="Arial"/>
          <w:snapToGrid w:val="0"/>
          <w:spacing w:val="-3"/>
          <w:lang w:val="es-ES_tradnl"/>
        </w:rPr>
        <w:t>esión 16/05/2018 respecto de su reglamentación señalando que el referido reglamento debe ser ajustado y remitirse nue</w:t>
      </w:r>
      <w:r>
        <w:rPr>
          <w:rFonts w:cs="Arial"/>
          <w:snapToGrid w:val="0"/>
          <w:spacing w:val="-3"/>
          <w:lang w:val="es-ES_tradnl"/>
        </w:rPr>
        <w:t xml:space="preserve">vamente a este Tribunal porque </w:t>
      </w:r>
      <w:r w:rsidRPr="00C53AB1">
        <w:rPr>
          <w:rFonts w:cs="Arial"/>
          <w:snapToGrid w:val="0"/>
          <w:spacing w:val="-3"/>
          <w:lang w:val="es-ES_tradnl"/>
        </w:rPr>
        <w:t>no se determinaba el monto de la misma y que asimismo, la reglamentación regía hasta el 31/03/2018.</w:t>
      </w:r>
    </w:p>
    <w:p w:rsidR="00F72D37" w:rsidRPr="00C53AB1" w:rsidRDefault="00F72D37" w:rsidP="00C53AB1">
      <w:pPr>
        <w:spacing w:line="360" w:lineRule="auto"/>
        <w:jc w:val="both"/>
        <w:rPr>
          <w:rFonts w:cs="Arial"/>
          <w:snapToGrid w:val="0"/>
          <w:spacing w:val="-3"/>
          <w:lang w:val="es-ES_tradnl"/>
        </w:rPr>
      </w:pPr>
    </w:p>
    <w:p w:rsidR="00F72D37" w:rsidRPr="00C53AB1" w:rsidRDefault="00F72D37" w:rsidP="00C53AB1">
      <w:pPr>
        <w:spacing w:line="360" w:lineRule="auto"/>
        <w:jc w:val="both"/>
        <w:rPr>
          <w:rFonts w:cs="Arial"/>
        </w:rPr>
      </w:pPr>
      <w:r w:rsidRPr="00C53AB1">
        <w:rPr>
          <w:rFonts w:cs="Arial"/>
          <w:b/>
          <w:snapToGrid w:val="0"/>
          <w:spacing w:val="-3"/>
          <w:lang w:val="es-ES_tradnl"/>
        </w:rPr>
        <w:t xml:space="preserve">3.5) </w:t>
      </w:r>
      <w:r w:rsidRPr="00C53AB1">
        <w:rPr>
          <w:rFonts w:cs="Arial"/>
          <w:snapToGrid w:val="0"/>
          <w:spacing w:val="-3"/>
          <w:lang w:val="es-ES_tradnl"/>
        </w:rPr>
        <w:t>Asimismo, respecto de la referida partida de “Productividad”, en la Modificación Presupuestal 2018-2020, se asignan $ 800.000 pa</w:t>
      </w:r>
      <w:r>
        <w:rPr>
          <w:rFonts w:cs="Arial"/>
          <w:snapToGrid w:val="0"/>
          <w:spacing w:val="-3"/>
          <w:lang w:val="es-ES_tradnl"/>
        </w:rPr>
        <w:t xml:space="preserve">ra la referida </w:t>
      </w:r>
      <w:proofErr w:type="gramStart"/>
      <w:r>
        <w:rPr>
          <w:rFonts w:cs="Arial"/>
          <w:snapToGrid w:val="0"/>
          <w:spacing w:val="-3"/>
          <w:lang w:val="es-ES_tradnl"/>
        </w:rPr>
        <w:t>partida</w:t>
      </w:r>
      <w:proofErr w:type="gramEnd"/>
      <w:r>
        <w:rPr>
          <w:rFonts w:cs="Arial"/>
          <w:snapToGrid w:val="0"/>
          <w:spacing w:val="-3"/>
          <w:lang w:val="es-ES_tradnl"/>
        </w:rPr>
        <w:t xml:space="preserve"> para el Ejercicio 2018, pero para los E</w:t>
      </w:r>
      <w:r w:rsidRPr="00C53AB1">
        <w:rPr>
          <w:rFonts w:cs="Arial"/>
          <w:snapToGrid w:val="0"/>
          <w:spacing w:val="-3"/>
          <w:lang w:val="es-ES_tradnl"/>
        </w:rPr>
        <w:t>jercicios 2019 y 2020 se mantienen $ 100 para cada ejercicio, por lo que la misma no queda determinada en</w:t>
      </w:r>
      <w:r w:rsidRPr="00C53AB1">
        <w:rPr>
          <w:rFonts w:cs="Arial"/>
        </w:rPr>
        <w:t xml:space="preserve"> la norma presupuestal como requiere el Artículo 86 de la Constitución de la República.</w:t>
      </w:r>
    </w:p>
    <w:p w:rsidR="00F72D37" w:rsidRPr="00C53AB1" w:rsidRDefault="00F72D37" w:rsidP="00C53AB1">
      <w:pPr>
        <w:spacing w:line="360" w:lineRule="auto"/>
        <w:jc w:val="both"/>
        <w:rPr>
          <w:rFonts w:cs="Arial"/>
          <w:snapToGrid w:val="0"/>
          <w:spacing w:val="-3"/>
          <w:lang w:val="es-ES_tradnl"/>
        </w:rPr>
      </w:pPr>
      <w:r w:rsidRPr="00C53AB1">
        <w:rPr>
          <w:rFonts w:cs="Arial"/>
          <w:b/>
          <w:snapToGrid w:val="0"/>
          <w:spacing w:val="-3"/>
          <w:lang w:val="es-ES_tradnl"/>
        </w:rPr>
        <w:t xml:space="preserve">3.6) </w:t>
      </w:r>
      <w:r w:rsidRPr="00C53AB1">
        <w:rPr>
          <w:rFonts w:cs="Arial"/>
          <w:snapToGrid w:val="0"/>
          <w:spacing w:val="-3"/>
          <w:lang w:val="es-ES_tradnl"/>
        </w:rPr>
        <w:t>Con respecto a las funciones del ca</w:t>
      </w:r>
      <w:r>
        <w:rPr>
          <w:rFonts w:cs="Arial"/>
          <w:snapToGrid w:val="0"/>
          <w:spacing w:val="-3"/>
          <w:lang w:val="es-ES_tradnl"/>
        </w:rPr>
        <w:t>rgo de Contador que se crea en el A</w:t>
      </w:r>
      <w:r w:rsidRPr="00C53AB1">
        <w:rPr>
          <w:rFonts w:cs="Arial"/>
          <w:snapToGrid w:val="0"/>
          <w:spacing w:val="-3"/>
          <w:lang w:val="es-ES_tradnl"/>
        </w:rPr>
        <w:t>rtículo 6, se hace constar que si la Junta Departamental propusiera al titular de dicho cargo para actuar como Contador Delegado, el mismo no podría participar en el trámite de las contrataciones ni elaborar bases para llamados a licitaciones tal como la norma indica.</w:t>
      </w:r>
    </w:p>
    <w:p w:rsidR="00F72D37" w:rsidRPr="00C53AB1" w:rsidRDefault="00F72D37" w:rsidP="00C53AB1">
      <w:pPr>
        <w:spacing w:line="360" w:lineRule="auto"/>
        <w:jc w:val="both"/>
        <w:rPr>
          <w:rFonts w:cs="Arial"/>
          <w:snapToGrid w:val="0"/>
        </w:rPr>
      </w:pPr>
    </w:p>
    <w:p w:rsidR="00F72D37" w:rsidRPr="00C53AB1" w:rsidRDefault="00F72D37" w:rsidP="00C53AB1">
      <w:pPr>
        <w:widowControl w:val="0"/>
        <w:spacing w:line="360" w:lineRule="auto"/>
        <w:jc w:val="both"/>
        <w:rPr>
          <w:rFonts w:cs="Arial"/>
          <w:b/>
          <w:snapToGrid w:val="0"/>
        </w:rPr>
      </w:pPr>
      <w:r w:rsidRPr="00C53AB1">
        <w:rPr>
          <w:rFonts w:cs="Arial"/>
          <w:b/>
          <w:snapToGrid w:val="0"/>
        </w:rPr>
        <w:t>4) Opinión</w:t>
      </w:r>
    </w:p>
    <w:p w:rsidR="00F72D37" w:rsidRPr="00C53AB1" w:rsidRDefault="00F72D37" w:rsidP="00C53AB1">
      <w:pPr>
        <w:spacing w:line="360" w:lineRule="auto"/>
        <w:jc w:val="both"/>
        <w:rPr>
          <w:rFonts w:cs="Arial"/>
          <w:lang w:val="es-MX"/>
        </w:rPr>
      </w:pPr>
      <w:r w:rsidRPr="00C53AB1">
        <w:rPr>
          <w:rFonts w:cs="Arial"/>
          <w:lang w:val="es-MX"/>
        </w:rPr>
        <w:t>En opini</w:t>
      </w:r>
      <w:r>
        <w:rPr>
          <w:rFonts w:cs="Arial"/>
          <w:lang w:val="es-MX"/>
        </w:rPr>
        <w:t>ón del Tribunal de Cuentas, el p</w:t>
      </w:r>
      <w:r w:rsidRPr="00C53AB1">
        <w:rPr>
          <w:rFonts w:cs="Arial"/>
          <w:lang w:val="es-MX"/>
        </w:rPr>
        <w:t>royecto de Modificación Presupuestal de la Junta Departamental de San José para el período 2018-2020 ha sido pre</w:t>
      </w:r>
      <w:r>
        <w:rPr>
          <w:rFonts w:cs="Arial"/>
          <w:lang w:val="es-MX"/>
        </w:rPr>
        <w:softHyphen/>
      </w:r>
      <w:r w:rsidRPr="00C53AB1">
        <w:rPr>
          <w:rFonts w:cs="Arial"/>
          <w:lang w:val="es-MX"/>
        </w:rPr>
        <w:t>parado en forma razonable, de acuerdo con los supuestos efectuados por el Organismo, y se presenta de conformidad con las disposiciones constituciona</w:t>
      </w:r>
      <w:r>
        <w:rPr>
          <w:rFonts w:cs="Arial"/>
          <w:lang w:val="es-MX"/>
        </w:rPr>
        <w:softHyphen/>
      </w:r>
      <w:r w:rsidRPr="00C53AB1">
        <w:rPr>
          <w:rFonts w:cs="Arial"/>
          <w:lang w:val="es-MX"/>
        </w:rPr>
        <w:t xml:space="preserve">les, legales y reglamentarias vigentes, </w:t>
      </w:r>
      <w:r>
        <w:rPr>
          <w:rFonts w:cs="Arial"/>
          <w:lang w:val="es-MX"/>
        </w:rPr>
        <w:t>excepto por lo establecido en los</w:t>
      </w:r>
      <w:r w:rsidRPr="00C53AB1">
        <w:rPr>
          <w:rFonts w:cs="Arial"/>
          <w:lang w:val="es-MX"/>
        </w:rPr>
        <w:t xml:space="preserve"> párrafos 2.2), 3.2) 3.3) y 3.5).</w:t>
      </w:r>
    </w:p>
    <w:p w:rsidR="00F72D37" w:rsidRDefault="00F72D37" w:rsidP="00F72D37">
      <w:pPr>
        <w:widowControl w:val="0"/>
        <w:spacing w:line="360" w:lineRule="auto"/>
        <w:jc w:val="right"/>
        <w:rPr>
          <w:rFonts w:cs="Arial"/>
        </w:rPr>
      </w:pPr>
      <w:r w:rsidRPr="00C53AB1">
        <w:rPr>
          <w:rFonts w:cs="Arial"/>
          <w:snapToGrid w:val="0"/>
        </w:rPr>
        <w:t xml:space="preserve"> </w:t>
      </w:r>
      <w:r>
        <w:rPr>
          <w:rFonts w:cs="Arial"/>
        </w:rPr>
        <w:t>Montevideo, 25 de mayo de 2018</w:t>
      </w:r>
    </w:p>
    <w:p w:rsidR="00F72D37" w:rsidRDefault="00F72D37" w:rsidP="00C53AB1">
      <w:pPr>
        <w:jc w:val="right"/>
        <w:rPr>
          <w:rFonts w:cs="Arial"/>
        </w:rPr>
      </w:pPr>
    </w:p>
    <w:p w:rsidR="00F72D37" w:rsidRDefault="00F72D37" w:rsidP="00C53AB1">
      <w:pPr>
        <w:jc w:val="right"/>
        <w:rPr>
          <w:rFonts w:cs="Arial"/>
        </w:rPr>
      </w:pPr>
    </w:p>
    <w:p w:rsidR="00F72D37" w:rsidRDefault="00F72D37" w:rsidP="00C53AB1">
      <w:pPr>
        <w:jc w:val="right"/>
        <w:rPr>
          <w:rFonts w:cs="Arial"/>
        </w:rPr>
      </w:pPr>
    </w:p>
    <w:p w:rsidR="00F72D37" w:rsidRDefault="00F72D37" w:rsidP="00C53AB1">
      <w:pPr>
        <w:jc w:val="right"/>
        <w:rPr>
          <w:rFonts w:cs="Arial"/>
        </w:rPr>
      </w:pPr>
    </w:p>
    <w:p w:rsidR="00F72D37" w:rsidRDefault="00F72D37" w:rsidP="00C53AB1">
      <w:pPr>
        <w:jc w:val="right"/>
        <w:rPr>
          <w:rFonts w:cs="Arial"/>
        </w:rPr>
      </w:pPr>
    </w:p>
    <w:p w:rsidR="00F72D37" w:rsidRPr="00472020" w:rsidRDefault="00F72D37" w:rsidP="00F72D37">
      <w:pPr>
        <w:ind w:hanging="426"/>
      </w:pPr>
      <w:proofErr w:type="gramStart"/>
      <w:r>
        <w:rPr>
          <w:rFonts w:cs="Arial"/>
        </w:rPr>
        <w:t>dc</w:t>
      </w:r>
      <w:proofErr w:type="gramEnd"/>
    </w:p>
    <w:sectPr w:rsidR="00F72D37" w:rsidRPr="00472020" w:rsidSect="00472020">
      <w:footerReference w:type="even" r:id="rId9"/>
      <w:pgSz w:w="11906" w:h="16838" w:code="9"/>
      <w:pgMar w:top="2835" w:right="1701" w:bottom="1701" w:left="1701" w:header="720" w:footer="720"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1ED" w:rsidRDefault="00FD71ED">
      <w:r>
        <w:separator/>
      </w:r>
    </w:p>
  </w:endnote>
  <w:endnote w:type="continuationSeparator" w:id="0">
    <w:p w:rsidR="00FD71ED" w:rsidRDefault="00FD7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2EC" w:rsidRDefault="00E622E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w:t>
    </w:r>
    <w:r>
      <w:rPr>
        <w:rStyle w:val="Nmerodepgina"/>
      </w:rPr>
      <w:fldChar w:fldCharType="end"/>
    </w:r>
  </w:p>
  <w:p w:rsidR="00E622EC" w:rsidRDefault="00E622E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1ED" w:rsidRDefault="00FD71ED">
      <w:r>
        <w:separator/>
      </w:r>
    </w:p>
  </w:footnote>
  <w:footnote w:type="continuationSeparator" w:id="0">
    <w:p w:rsidR="00FD71ED" w:rsidRDefault="00FD71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05C"/>
    <w:multiLevelType w:val="hybridMultilevel"/>
    <w:tmpl w:val="3EAA5406"/>
    <w:lvl w:ilvl="0" w:tplc="845666B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4723D10"/>
    <w:multiLevelType w:val="hybridMultilevel"/>
    <w:tmpl w:val="908E2BD0"/>
    <w:lvl w:ilvl="0" w:tplc="0C0A0011">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73647C5"/>
    <w:multiLevelType w:val="hybridMultilevel"/>
    <w:tmpl w:val="B4B89A5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5686447"/>
    <w:multiLevelType w:val="singleLevel"/>
    <w:tmpl w:val="11FA250C"/>
    <w:lvl w:ilvl="0">
      <w:start w:val="1"/>
      <w:numFmt w:val="decimal"/>
      <w:lvlText w:val="%1-"/>
      <w:lvlJc w:val="left"/>
      <w:pPr>
        <w:tabs>
          <w:tab w:val="num" w:pos="1701"/>
        </w:tabs>
        <w:ind w:left="1701" w:hanging="567"/>
      </w:pPr>
      <w:rPr>
        <w:rFonts w:hint="default"/>
      </w:rPr>
    </w:lvl>
  </w:abstractNum>
  <w:abstractNum w:abstractNumId="4">
    <w:nsid w:val="16934ADE"/>
    <w:multiLevelType w:val="singleLevel"/>
    <w:tmpl w:val="9B2C7B30"/>
    <w:lvl w:ilvl="0">
      <w:start w:val="2"/>
      <w:numFmt w:val="decimal"/>
      <w:lvlText w:val="%1)"/>
      <w:lvlJc w:val="left"/>
      <w:pPr>
        <w:tabs>
          <w:tab w:val="num" w:pos="360"/>
        </w:tabs>
        <w:ind w:left="360" w:hanging="360"/>
      </w:pPr>
      <w:rPr>
        <w:rFonts w:hint="default"/>
      </w:rPr>
    </w:lvl>
  </w:abstractNum>
  <w:abstractNum w:abstractNumId="5">
    <w:nsid w:val="1C9B1933"/>
    <w:multiLevelType w:val="singleLevel"/>
    <w:tmpl w:val="F6083AC6"/>
    <w:lvl w:ilvl="0">
      <w:start w:val="1"/>
      <w:numFmt w:val="decimal"/>
      <w:lvlText w:val="%1)"/>
      <w:lvlJc w:val="left"/>
      <w:pPr>
        <w:tabs>
          <w:tab w:val="num" w:pos="795"/>
        </w:tabs>
        <w:ind w:left="795" w:hanging="360"/>
      </w:pPr>
      <w:rPr>
        <w:rFonts w:hint="default"/>
        <w:b/>
      </w:rPr>
    </w:lvl>
  </w:abstractNum>
  <w:abstractNum w:abstractNumId="6">
    <w:nsid w:val="27FE7B4A"/>
    <w:multiLevelType w:val="singleLevel"/>
    <w:tmpl w:val="9B2C7B30"/>
    <w:lvl w:ilvl="0">
      <w:start w:val="1"/>
      <w:numFmt w:val="decimal"/>
      <w:lvlText w:val="%1)"/>
      <w:lvlJc w:val="left"/>
      <w:pPr>
        <w:tabs>
          <w:tab w:val="num" w:pos="360"/>
        </w:tabs>
        <w:ind w:left="360" w:hanging="360"/>
      </w:pPr>
      <w:rPr>
        <w:rFonts w:hint="default"/>
      </w:rPr>
    </w:lvl>
  </w:abstractNum>
  <w:abstractNum w:abstractNumId="7">
    <w:nsid w:val="2AD611A8"/>
    <w:multiLevelType w:val="hybridMultilevel"/>
    <w:tmpl w:val="39B08848"/>
    <w:lvl w:ilvl="0" w:tplc="0C0A0011">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C60137E"/>
    <w:multiLevelType w:val="multilevel"/>
    <w:tmpl w:val="DB3AF8CE"/>
    <w:lvl w:ilvl="0">
      <w:start w:val="1"/>
      <w:numFmt w:val="decimal"/>
      <w:lvlText w:val="%1."/>
      <w:lvlJc w:val="left"/>
      <w:pPr>
        <w:tabs>
          <w:tab w:val="num" w:pos="510"/>
        </w:tabs>
        <w:ind w:left="510" w:hanging="51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9">
    <w:nsid w:val="34D930EE"/>
    <w:multiLevelType w:val="singleLevel"/>
    <w:tmpl w:val="9B2C7B30"/>
    <w:lvl w:ilvl="0">
      <w:start w:val="1"/>
      <w:numFmt w:val="decimal"/>
      <w:lvlText w:val="%1)"/>
      <w:lvlJc w:val="left"/>
      <w:pPr>
        <w:tabs>
          <w:tab w:val="num" w:pos="360"/>
        </w:tabs>
        <w:ind w:left="360" w:hanging="360"/>
      </w:pPr>
      <w:rPr>
        <w:rFonts w:hint="default"/>
      </w:rPr>
    </w:lvl>
  </w:abstractNum>
  <w:abstractNum w:abstractNumId="10">
    <w:nsid w:val="37AE5E66"/>
    <w:multiLevelType w:val="hybridMultilevel"/>
    <w:tmpl w:val="49663684"/>
    <w:lvl w:ilvl="0" w:tplc="0C0A0011">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7E166E9"/>
    <w:multiLevelType w:val="hybridMultilevel"/>
    <w:tmpl w:val="58423654"/>
    <w:lvl w:ilvl="0" w:tplc="BD40D70E">
      <w:start w:val="1"/>
      <w:numFmt w:val="decimal"/>
      <w:lvlText w:val="%1)"/>
      <w:lvlJc w:val="left"/>
      <w:pPr>
        <w:tabs>
          <w:tab w:val="num" w:pos="720"/>
        </w:tabs>
        <w:ind w:left="720" w:hanging="360"/>
      </w:pPr>
      <w:rPr>
        <w:rFonts w:ascii="Arial" w:eastAsia="Times New Roman" w:hAnsi="Arial"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8CB74E4"/>
    <w:multiLevelType w:val="singleLevel"/>
    <w:tmpl w:val="9B2C7B30"/>
    <w:lvl w:ilvl="0">
      <w:start w:val="1"/>
      <w:numFmt w:val="decimal"/>
      <w:lvlText w:val="%1)"/>
      <w:lvlJc w:val="left"/>
      <w:pPr>
        <w:tabs>
          <w:tab w:val="num" w:pos="360"/>
        </w:tabs>
        <w:ind w:left="360" w:hanging="360"/>
      </w:pPr>
      <w:rPr>
        <w:rFonts w:hint="default"/>
      </w:rPr>
    </w:lvl>
  </w:abstractNum>
  <w:abstractNum w:abstractNumId="13">
    <w:nsid w:val="39522C1B"/>
    <w:multiLevelType w:val="singleLevel"/>
    <w:tmpl w:val="0C0A000F"/>
    <w:lvl w:ilvl="0">
      <w:start w:val="1"/>
      <w:numFmt w:val="decimal"/>
      <w:lvlText w:val="%1."/>
      <w:lvlJc w:val="left"/>
      <w:pPr>
        <w:tabs>
          <w:tab w:val="num" w:pos="360"/>
        </w:tabs>
        <w:ind w:left="360" w:hanging="360"/>
      </w:pPr>
    </w:lvl>
  </w:abstractNum>
  <w:abstractNum w:abstractNumId="14">
    <w:nsid w:val="3FE61C1F"/>
    <w:multiLevelType w:val="hybridMultilevel"/>
    <w:tmpl w:val="29B8D25C"/>
    <w:lvl w:ilvl="0" w:tplc="0C0A000F">
      <w:start w:val="1"/>
      <w:numFmt w:val="decimal"/>
      <w:lvlText w:val="%1."/>
      <w:lvlJc w:val="left"/>
      <w:pPr>
        <w:tabs>
          <w:tab w:val="num" w:pos="1155"/>
        </w:tabs>
        <w:ind w:left="1155" w:hanging="360"/>
      </w:pPr>
    </w:lvl>
    <w:lvl w:ilvl="1" w:tplc="0C0A0019" w:tentative="1">
      <w:start w:val="1"/>
      <w:numFmt w:val="lowerLetter"/>
      <w:lvlText w:val="%2."/>
      <w:lvlJc w:val="left"/>
      <w:pPr>
        <w:tabs>
          <w:tab w:val="num" w:pos="1875"/>
        </w:tabs>
        <w:ind w:left="1875" w:hanging="360"/>
      </w:pPr>
    </w:lvl>
    <w:lvl w:ilvl="2" w:tplc="0C0A001B" w:tentative="1">
      <w:start w:val="1"/>
      <w:numFmt w:val="lowerRoman"/>
      <w:lvlText w:val="%3."/>
      <w:lvlJc w:val="right"/>
      <w:pPr>
        <w:tabs>
          <w:tab w:val="num" w:pos="2595"/>
        </w:tabs>
        <w:ind w:left="2595" w:hanging="180"/>
      </w:pPr>
    </w:lvl>
    <w:lvl w:ilvl="3" w:tplc="0C0A000F" w:tentative="1">
      <w:start w:val="1"/>
      <w:numFmt w:val="decimal"/>
      <w:lvlText w:val="%4."/>
      <w:lvlJc w:val="left"/>
      <w:pPr>
        <w:tabs>
          <w:tab w:val="num" w:pos="3315"/>
        </w:tabs>
        <w:ind w:left="3315" w:hanging="360"/>
      </w:pPr>
    </w:lvl>
    <w:lvl w:ilvl="4" w:tplc="0C0A0019" w:tentative="1">
      <w:start w:val="1"/>
      <w:numFmt w:val="lowerLetter"/>
      <w:lvlText w:val="%5."/>
      <w:lvlJc w:val="left"/>
      <w:pPr>
        <w:tabs>
          <w:tab w:val="num" w:pos="4035"/>
        </w:tabs>
        <w:ind w:left="4035" w:hanging="360"/>
      </w:pPr>
    </w:lvl>
    <w:lvl w:ilvl="5" w:tplc="0C0A001B" w:tentative="1">
      <w:start w:val="1"/>
      <w:numFmt w:val="lowerRoman"/>
      <w:lvlText w:val="%6."/>
      <w:lvlJc w:val="right"/>
      <w:pPr>
        <w:tabs>
          <w:tab w:val="num" w:pos="4755"/>
        </w:tabs>
        <w:ind w:left="4755" w:hanging="180"/>
      </w:pPr>
    </w:lvl>
    <w:lvl w:ilvl="6" w:tplc="0C0A000F" w:tentative="1">
      <w:start w:val="1"/>
      <w:numFmt w:val="decimal"/>
      <w:lvlText w:val="%7."/>
      <w:lvlJc w:val="left"/>
      <w:pPr>
        <w:tabs>
          <w:tab w:val="num" w:pos="5475"/>
        </w:tabs>
        <w:ind w:left="5475" w:hanging="360"/>
      </w:pPr>
    </w:lvl>
    <w:lvl w:ilvl="7" w:tplc="0C0A0019" w:tentative="1">
      <w:start w:val="1"/>
      <w:numFmt w:val="lowerLetter"/>
      <w:lvlText w:val="%8."/>
      <w:lvlJc w:val="left"/>
      <w:pPr>
        <w:tabs>
          <w:tab w:val="num" w:pos="6195"/>
        </w:tabs>
        <w:ind w:left="6195" w:hanging="360"/>
      </w:pPr>
    </w:lvl>
    <w:lvl w:ilvl="8" w:tplc="0C0A001B" w:tentative="1">
      <w:start w:val="1"/>
      <w:numFmt w:val="lowerRoman"/>
      <w:lvlText w:val="%9."/>
      <w:lvlJc w:val="right"/>
      <w:pPr>
        <w:tabs>
          <w:tab w:val="num" w:pos="6915"/>
        </w:tabs>
        <w:ind w:left="6915" w:hanging="180"/>
      </w:pPr>
    </w:lvl>
  </w:abstractNum>
  <w:abstractNum w:abstractNumId="15">
    <w:nsid w:val="45593A11"/>
    <w:multiLevelType w:val="hybridMultilevel"/>
    <w:tmpl w:val="B05EAEB4"/>
    <w:lvl w:ilvl="0" w:tplc="C2408C58">
      <w:start w:val="2"/>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93E0FE3"/>
    <w:multiLevelType w:val="hybridMultilevel"/>
    <w:tmpl w:val="4FE0C2B8"/>
    <w:lvl w:ilvl="0" w:tplc="380A0011">
      <w:start w:val="1"/>
      <w:numFmt w:val="decimal"/>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7">
    <w:nsid w:val="547C6D11"/>
    <w:multiLevelType w:val="hybridMultilevel"/>
    <w:tmpl w:val="EC065224"/>
    <w:lvl w:ilvl="0" w:tplc="0C0A0011">
      <w:start w:val="5"/>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585B6A69"/>
    <w:multiLevelType w:val="hybridMultilevel"/>
    <w:tmpl w:val="5B98441A"/>
    <w:lvl w:ilvl="0" w:tplc="B4FA4B18">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59850617"/>
    <w:multiLevelType w:val="multilevel"/>
    <w:tmpl w:val="864C7720"/>
    <w:lvl w:ilvl="0">
      <w:start w:val="3"/>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5CB24FED"/>
    <w:multiLevelType w:val="hybridMultilevel"/>
    <w:tmpl w:val="BB38DF8E"/>
    <w:lvl w:ilvl="0" w:tplc="C206E83A">
      <w:start w:val="6"/>
      <w:numFmt w:val="bullet"/>
      <w:lvlText w:val="–"/>
      <w:lvlJc w:val="left"/>
      <w:pPr>
        <w:tabs>
          <w:tab w:val="num" w:pos="1005"/>
        </w:tabs>
        <w:ind w:left="1005" w:hanging="360"/>
      </w:pPr>
      <w:rPr>
        <w:rFonts w:ascii="Times New Roman" w:eastAsia="Times New Roman" w:hAnsi="Times New Roman" w:cs="Times New Roman" w:hint="default"/>
      </w:rPr>
    </w:lvl>
    <w:lvl w:ilvl="1" w:tplc="0C0A0003" w:tentative="1">
      <w:start w:val="1"/>
      <w:numFmt w:val="bullet"/>
      <w:lvlText w:val="o"/>
      <w:lvlJc w:val="left"/>
      <w:pPr>
        <w:tabs>
          <w:tab w:val="num" w:pos="1725"/>
        </w:tabs>
        <w:ind w:left="1725" w:hanging="360"/>
      </w:pPr>
      <w:rPr>
        <w:rFonts w:ascii="Courier New" w:hAnsi="Courier New" w:hint="default"/>
      </w:rPr>
    </w:lvl>
    <w:lvl w:ilvl="2" w:tplc="0C0A0005" w:tentative="1">
      <w:start w:val="1"/>
      <w:numFmt w:val="bullet"/>
      <w:lvlText w:val=""/>
      <w:lvlJc w:val="left"/>
      <w:pPr>
        <w:tabs>
          <w:tab w:val="num" w:pos="2445"/>
        </w:tabs>
        <w:ind w:left="2445" w:hanging="360"/>
      </w:pPr>
      <w:rPr>
        <w:rFonts w:ascii="Wingdings" w:hAnsi="Wingdings" w:hint="default"/>
      </w:rPr>
    </w:lvl>
    <w:lvl w:ilvl="3" w:tplc="0C0A0001" w:tentative="1">
      <w:start w:val="1"/>
      <w:numFmt w:val="bullet"/>
      <w:lvlText w:val=""/>
      <w:lvlJc w:val="left"/>
      <w:pPr>
        <w:tabs>
          <w:tab w:val="num" w:pos="3165"/>
        </w:tabs>
        <w:ind w:left="3165" w:hanging="360"/>
      </w:pPr>
      <w:rPr>
        <w:rFonts w:ascii="Symbol" w:hAnsi="Symbol" w:hint="default"/>
      </w:rPr>
    </w:lvl>
    <w:lvl w:ilvl="4" w:tplc="0C0A0003" w:tentative="1">
      <w:start w:val="1"/>
      <w:numFmt w:val="bullet"/>
      <w:lvlText w:val="o"/>
      <w:lvlJc w:val="left"/>
      <w:pPr>
        <w:tabs>
          <w:tab w:val="num" w:pos="3885"/>
        </w:tabs>
        <w:ind w:left="3885" w:hanging="360"/>
      </w:pPr>
      <w:rPr>
        <w:rFonts w:ascii="Courier New" w:hAnsi="Courier New" w:hint="default"/>
      </w:rPr>
    </w:lvl>
    <w:lvl w:ilvl="5" w:tplc="0C0A0005" w:tentative="1">
      <w:start w:val="1"/>
      <w:numFmt w:val="bullet"/>
      <w:lvlText w:val=""/>
      <w:lvlJc w:val="left"/>
      <w:pPr>
        <w:tabs>
          <w:tab w:val="num" w:pos="4605"/>
        </w:tabs>
        <w:ind w:left="4605" w:hanging="360"/>
      </w:pPr>
      <w:rPr>
        <w:rFonts w:ascii="Wingdings" w:hAnsi="Wingdings" w:hint="default"/>
      </w:rPr>
    </w:lvl>
    <w:lvl w:ilvl="6" w:tplc="0C0A0001" w:tentative="1">
      <w:start w:val="1"/>
      <w:numFmt w:val="bullet"/>
      <w:lvlText w:val=""/>
      <w:lvlJc w:val="left"/>
      <w:pPr>
        <w:tabs>
          <w:tab w:val="num" w:pos="5325"/>
        </w:tabs>
        <w:ind w:left="5325" w:hanging="360"/>
      </w:pPr>
      <w:rPr>
        <w:rFonts w:ascii="Symbol" w:hAnsi="Symbol" w:hint="default"/>
      </w:rPr>
    </w:lvl>
    <w:lvl w:ilvl="7" w:tplc="0C0A0003" w:tentative="1">
      <w:start w:val="1"/>
      <w:numFmt w:val="bullet"/>
      <w:lvlText w:val="o"/>
      <w:lvlJc w:val="left"/>
      <w:pPr>
        <w:tabs>
          <w:tab w:val="num" w:pos="6045"/>
        </w:tabs>
        <w:ind w:left="6045" w:hanging="360"/>
      </w:pPr>
      <w:rPr>
        <w:rFonts w:ascii="Courier New" w:hAnsi="Courier New" w:hint="default"/>
      </w:rPr>
    </w:lvl>
    <w:lvl w:ilvl="8" w:tplc="0C0A0005" w:tentative="1">
      <w:start w:val="1"/>
      <w:numFmt w:val="bullet"/>
      <w:lvlText w:val=""/>
      <w:lvlJc w:val="left"/>
      <w:pPr>
        <w:tabs>
          <w:tab w:val="num" w:pos="6765"/>
        </w:tabs>
        <w:ind w:left="6765" w:hanging="360"/>
      </w:pPr>
      <w:rPr>
        <w:rFonts w:ascii="Wingdings" w:hAnsi="Wingdings" w:hint="default"/>
      </w:rPr>
    </w:lvl>
  </w:abstractNum>
  <w:abstractNum w:abstractNumId="21">
    <w:nsid w:val="5EC043CA"/>
    <w:multiLevelType w:val="hybridMultilevel"/>
    <w:tmpl w:val="1EC4ADCA"/>
    <w:lvl w:ilvl="0" w:tplc="89C00680">
      <w:start w:val="1"/>
      <w:numFmt w:val="decimal"/>
      <w:lvlText w:val="%1)"/>
      <w:lvlJc w:val="left"/>
      <w:pPr>
        <w:ind w:left="720" w:hanging="360"/>
      </w:pPr>
      <w:rPr>
        <w:rFonts w:hint="default"/>
        <w:b/>
        <w:i w:val="0"/>
        <w:sz w:val="24"/>
        <w:szCs w:val="24"/>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2">
    <w:nsid w:val="5EE0138A"/>
    <w:multiLevelType w:val="singleLevel"/>
    <w:tmpl w:val="A13AAA32"/>
    <w:lvl w:ilvl="0">
      <w:start w:val="1"/>
      <w:numFmt w:val="decimal"/>
      <w:lvlText w:val="%1)"/>
      <w:lvlJc w:val="left"/>
      <w:pPr>
        <w:tabs>
          <w:tab w:val="num" w:pos="360"/>
        </w:tabs>
        <w:ind w:left="360" w:hanging="360"/>
      </w:pPr>
      <w:rPr>
        <w:rFonts w:hint="default"/>
      </w:rPr>
    </w:lvl>
  </w:abstractNum>
  <w:abstractNum w:abstractNumId="23">
    <w:nsid w:val="5F5B61C2"/>
    <w:multiLevelType w:val="hybridMultilevel"/>
    <w:tmpl w:val="F2F2E428"/>
    <w:lvl w:ilvl="0" w:tplc="3E5012C2">
      <w:start w:val="5"/>
      <w:numFmt w:val="decimal"/>
      <w:lvlText w:val="%1)"/>
      <w:lvlJc w:val="left"/>
      <w:pPr>
        <w:tabs>
          <w:tab w:val="num" w:pos="1065"/>
        </w:tabs>
        <w:ind w:left="1065" w:hanging="360"/>
      </w:pPr>
      <w:rPr>
        <w:rFonts w:hint="default"/>
        <w:b/>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4">
    <w:nsid w:val="61107BD4"/>
    <w:multiLevelType w:val="hybridMultilevel"/>
    <w:tmpl w:val="10DE5750"/>
    <w:lvl w:ilvl="0" w:tplc="0C0A0011">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61A42F1F"/>
    <w:multiLevelType w:val="hybridMultilevel"/>
    <w:tmpl w:val="0B749EBA"/>
    <w:lvl w:ilvl="0" w:tplc="0C0A000F">
      <w:start w:val="1"/>
      <w:numFmt w:val="decimal"/>
      <w:lvlText w:val="%1."/>
      <w:lvlJc w:val="left"/>
      <w:pPr>
        <w:tabs>
          <w:tab w:val="num" w:pos="1423"/>
        </w:tabs>
        <w:ind w:left="1423" w:hanging="360"/>
      </w:pPr>
    </w:lvl>
    <w:lvl w:ilvl="1" w:tplc="0C0A0019" w:tentative="1">
      <w:start w:val="1"/>
      <w:numFmt w:val="lowerLetter"/>
      <w:lvlText w:val="%2."/>
      <w:lvlJc w:val="left"/>
      <w:pPr>
        <w:tabs>
          <w:tab w:val="num" w:pos="2143"/>
        </w:tabs>
        <w:ind w:left="2143" w:hanging="360"/>
      </w:pPr>
    </w:lvl>
    <w:lvl w:ilvl="2" w:tplc="0C0A001B" w:tentative="1">
      <w:start w:val="1"/>
      <w:numFmt w:val="lowerRoman"/>
      <w:lvlText w:val="%3."/>
      <w:lvlJc w:val="right"/>
      <w:pPr>
        <w:tabs>
          <w:tab w:val="num" w:pos="2863"/>
        </w:tabs>
        <w:ind w:left="2863" w:hanging="180"/>
      </w:pPr>
    </w:lvl>
    <w:lvl w:ilvl="3" w:tplc="0C0A000F" w:tentative="1">
      <w:start w:val="1"/>
      <w:numFmt w:val="decimal"/>
      <w:lvlText w:val="%4."/>
      <w:lvlJc w:val="left"/>
      <w:pPr>
        <w:tabs>
          <w:tab w:val="num" w:pos="3583"/>
        </w:tabs>
        <w:ind w:left="3583" w:hanging="360"/>
      </w:pPr>
    </w:lvl>
    <w:lvl w:ilvl="4" w:tplc="0C0A0019" w:tentative="1">
      <w:start w:val="1"/>
      <w:numFmt w:val="lowerLetter"/>
      <w:lvlText w:val="%5."/>
      <w:lvlJc w:val="left"/>
      <w:pPr>
        <w:tabs>
          <w:tab w:val="num" w:pos="4303"/>
        </w:tabs>
        <w:ind w:left="4303" w:hanging="360"/>
      </w:pPr>
    </w:lvl>
    <w:lvl w:ilvl="5" w:tplc="0C0A001B" w:tentative="1">
      <w:start w:val="1"/>
      <w:numFmt w:val="lowerRoman"/>
      <w:lvlText w:val="%6."/>
      <w:lvlJc w:val="right"/>
      <w:pPr>
        <w:tabs>
          <w:tab w:val="num" w:pos="5023"/>
        </w:tabs>
        <w:ind w:left="5023" w:hanging="180"/>
      </w:pPr>
    </w:lvl>
    <w:lvl w:ilvl="6" w:tplc="0C0A000F" w:tentative="1">
      <w:start w:val="1"/>
      <w:numFmt w:val="decimal"/>
      <w:lvlText w:val="%7."/>
      <w:lvlJc w:val="left"/>
      <w:pPr>
        <w:tabs>
          <w:tab w:val="num" w:pos="5743"/>
        </w:tabs>
        <w:ind w:left="5743" w:hanging="360"/>
      </w:pPr>
    </w:lvl>
    <w:lvl w:ilvl="7" w:tplc="0C0A0019" w:tentative="1">
      <w:start w:val="1"/>
      <w:numFmt w:val="lowerLetter"/>
      <w:lvlText w:val="%8."/>
      <w:lvlJc w:val="left"/>
      <w:pPr>
        <w:tabs>
          <w:tab w:val="num" w:pos="6463"/>
        </w:tabs>
        <w:ind w:left="6463" w:hanging="360"/>
      </w:pPr>
    </w:lvl>
    <w:lvl w:ilvl="8" w:tplc="0C0A001B" w:tentative="1">
      <w:start w:val="1"/>
      <w:numFmt w:val="lowerRoman"/>
      <w:lvlText w:val="%9."/>
      <w:lvlJc w:val="right"/>
      <w:pPr>
        <w:tabs>
          <w:tab w:val="num" w:pos="7183"/>
        </w:tabs>
        <w:ind w:left="7183" w:hanging="180"/>
      </w:pPr>
    </w:lvl>
  </w:abstractNum>
  <w:abstractNum w:abstractNumId="26">
    <w:nsid w:val="66CB44FA"/>
    <w:multiLevelType w:val="hybridMultilevel"/>
    <w:tmpl w:val="829E8EFA"/>
    <w:lvl w:ilvl="0" w:tplc="0C0A0011">
      <w:start w:val="5"/>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7E764836"/>
    <w:multiLevelType w:val="multilevel"/>
    <w:tmpl w:val="0034396E"/>
    <w:lvl w:ilvl="0">
      <w:start w:val="5"/>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7EAA0952"/>
    <w:multiLevelType w:val="singleLevel"/>
    <w:tmpl w:val="68A28574"/>
    <w:lvl w:ilvl="0">
      <w:start w:val="4"/>
      <w:numFmt w:val="decimal"/>
      <w:lvlText w:val="%1)"/>
      <w:lvlJc w:val="left"/>
      <w:pPr>
        <w:tabs>
          <w:tab w:val="num" w:pos="735"/>
        </w:tabs>
        <w:ind w:left="735" w:hanging="360"/>
      </w:pPr>
      <w:rPr>
        <w:rFonts w:hint="default"/>
        <w:b/>
      </w:rPr>
    </w:lvl>
  </w:abstractNum>
  <w:abstractNum w:abstractNumId="29">
    <w:nsid w:val="7FB51BB5"/>
    <w:multiLevelType w:val="hybridMultilevel"/>
    <w:tmpl w:val="4E768330"/>
    <w:lvl w:ilvl="0" w:tplc="380A000F">
      <w:start w:val="1"/>
      <w:numFmt w:val="decimal"/>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13"/>
  </w:num>
  <w:num w:numId="2">
    <w:abstractNumId w:val="9"/>
  </w:num>
  <w:num w:numId="3">
    <w:abstractNumId w:val="12"/>
  </w:num>
  <w:num w:numId="4">
    <w:abstractNumId w:val="6"/>
  </w:num>
  <w:num w:numId="5">
    <w:abstractNumId w:val="4"/>
  </w:num>
  <w:num w:numId="6">
    <w:abstractNumId w:val="27"/>
  </w:num>
  <w:num w:numId="7">
    <w:abstractNumId w:val="22"/>
  </w:num>
  <w:num w:numId="8">
    <w:abstractNumId w:val="28"/>
  </w:num>
  <w:num w:numId="9">
    <w:abstractNumId w:val="5"/>
  </w:num>
  <w:num w:numId="10">
    <w:abstractNumId w:val="14"/>
  </w:num>
  <w:num w:numId="11">
    <w:abstractNumId w:val="25"/>
  </w:num>
  <w:num w:numId="12">
    <w:abstractNumId w:val="23"/>
  </w:num>
  <w:num w:numId="13">
    <w:abstractNumId w:val="10"/>
  </w:num>
  <w:num w:numId="14">
    <w:abstractNumId w:val="24"/>
  </w:num>
  <w:num w:numId="15">
    <w:abstractNumId w:val="1"/>
  </w:num>
  <w:num w:numId="16">
    <w:abstractNumId w:val="7"/>
  </w:num>
  <w:num w:numId="17">
    <w:abstractNumId w:val="26"/>
  </w:num>
  <w:num w:numId="18">
    <w:abstractNumId w:val="17"/>
  </w:num>
  <w:num w:numId="19">
    <w:abstractNumId w:val="3"/>
  </w:num>
  <w:num w:numId="20">
    <w:abstractNumId w:val="20"/>
  </w:num>
  <w:num w:numId="21">
    <w:abstractNumId w:val="15"/>
  </w:num>
  <w:num w:numId="22">
    <w:abstractNumId w:val="11"/>
  </w:num>
  <w:num w:numId="23">
    <w:abstractNumId w:val="18"/>
  </w:num>
  <w:num w:numId="24">
    <w:abstractNumId w:val="8"/>
  </w:num>
  <w:num w:numId="25">
    <w:abstractNumId w:val="19"/>
  </w:num>
  <w:num w:numId="26">
    <w:abstractNumId w:val="0"/>
  </w:num>
  <w:num w:numId="27">
    <w:abstractNumId w:val="29"/>
  </w:num>
  <w:num w:numId="28">
    <w:abstractNumId w:val="16"/>
  </w:num>
  <w:num w:numId="29">
    <w:abstractNumId w:val="21"/>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014"/>
    <w:rsid w:val="00005636"/>
    <w:rsid w:val="00040063"/>
    <w:rsid w:val="00046F89"/>
    <w:rsid w:val="000634A6"/>
    <w:rsid w:val="000A5993"/>
    <w:rsid w:val="000D6465"/>
    <w:rsid w:val="000D64E3"/>
    <w:rsid w:val="000F026B"/>
    <w:rsid w:val="001A4F40"/>
    <w:rsid w:val="001C086C"/>
    <w:rsid w:val="001C31C0"/>
    <w:rsid w:val="001C65A8"/>
    <w:rsid w:val="001C72BA"/>
    <w:rsid w:val="00223C8B"/>
    <w:rsid w:val="002604DE"/>
    <w:rsid w:val="00264BC8"/>
    <w:rsid w:val="00280A5C"/>
    <w:rsid w:val="002C10CE"/>
    <w:rsid w:val="002F4912"/>
    <w:rsid w:val="00313D64"/>
    <w:rsid w:val="00324014"/>
    <w:rsid w:val="003610D8"/>
    <w:rsid w:val="00361273"/>
    <w:rsid w:val="003770CF"/>
    <w:rsid w:val="003F2082"/>
    <w:rsid w:val="003F5EE1"/>
    <w:rsid w:val="00472020"/>
    <w:rsid w:val="00493D38"/>
    <w:rsid w:val="004C5552"/>
    <w:rsid w:val="00510E8C"/>
    <w:rsid w:val="00521E07"/>
    <w:rsid w:val="00591CE0"/>
    <w:rsid w:val="005D35E6"/>
    <w:rsid w:val="0064472B"/>
    <w:rsid w:val="0064561A"/>
    <w:rsid w:val="00690A0B"/>
    <w:rsid w:val="006E316C"/>
    <w:rsid w:val="006F3A27"/>
    <w:rsid w:val="00713A31"/>
    <w:rsid w:val="0071628C"/>
    <w:rsid w:val="00757D5D"/>
    <w:rsid w:val="00767C7B"/>
    <w:rsid w:val="00797409"/>
    <w:rsid w:val="007A62E7"/>
    <w:rsid w:val="007A686E"/>
    <w:rsid w:val="007E7236"/>
    <w:rsid w:val="00811077"/>
    <w:rsid w:val="00824886"/>
    <w:rsid w:val="008470F8"/>
    <w:rsid w:val="008545A3"/>
    <w:rsid w:val="008870EB"/>
    <w:rsid w:val="008B08A7"/>
    <w:rsid w:val="008C75A7"/>
    <w:rsid w:val="008F1769"/>
    <w:rsid w:val="00921DD9"/>
    <w:rsid w:val="00923D60"/>
    <w:rsid w:val="009B7A8B"/>
    <w:rsid w:val="009C0DAB"/>
    <w:rsid w:val="009D5D2B"/>
    <w:rsid w:val="00A00D41"/>
    <w:rsid w:val="00A213D5"/>
    <w:rsid w:val="00A217D2"/>
    <w:rsid w:val="00A32F26"/>
    <w:rsid w:val="00A505AA"/>
    <w:rsid w:val="00A815E3"/>
    <w:rsid w:val="00AC6ED8"/>
    <w:rsid w:val="00AD13B6"/>
    <w:rsid w:val="00AD5949"/>
    <w:rsid w:val="00AE7839"/>
    <w:rsid w:val="00B1675D"/>
    <w:rsid w:val="00B642F5"/>
    <w:rsid w:val="00B87543"/>
    <w:rsid w:val="00C25F8A"/>
    <w:rsid w:val="00C447C0"/>
    <w:rsid w:val="00C61D44"/>
    <w:rsid w:val="00CB717B"/>
    <w:rsid w:val="00CC0C2B"/>
    <w:rsid w:val="00CD38A9"/>
    <w:rsid w:val="00D273AA"/>
    <w:rsid w:val="00D46315"/>
    <w:rsid w:val="00D57A9C"/>
    <w:rsid w:val="00D806C0"/>
    <w:rsid w:val="00DA0DAA"/>
    <w:rsid w:val="00E16E65"/>
    <w:rsid w:val="00E35031"/>
    <w:rsid w:val="00E53399"/>
    <w:rsid w:val="00E622EC"/>
    <w:rsid w:val="00E83004"/>
    <w:rsid w:val="00EB4676"/>
    <w:rsid w:val="00EC547A"/>
    <w:rsid w:val="00EF0A9E"/>
    <w:rsid w:val="00F10514"/>
    <w:rsid w:val="00F20DEF"/>
    <w:rsid w:val="00F464AC"/>
    <w:rsid w:val="00F72D37"/>
    <w:rsid w:val="00F83A50"/>
    <w:rsid w:val="00F97B10"/>
    <w:rsid w:val="00FD71E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rPr>
  </w:style>
  <w:style w:type="paragraph" w:styleId="Ttulo1">
    <w:name w:val="heading 1"/>
    <w:basedOn w:val="Normal"/>
    <w:next w:val="Normal"/>
    <w:qFormat/>
    <w:pPr>
      <w:keepNext/>
      <w:jc w:val="center"/>
      <w:outlineLvl w:val="0"/>
    </w:pPr>
    <w:rPr>
      <w:b/>
    </w:rPr>
  </w:style>
  <w:style w:type="paragraph" w:styleId="Ttulo2">
    <w:name w:val="heading 2"/>
    <w:basedOn w:val="Normal"/>
    <w:next w:val="Normal"/>
    <w:qFormat/>
    <w:pPr>
      <w:keepNext/>
      <w:jc w:val="right"/>
      <w:outlineLvl w:val="1"/>
    </w:pPr>
    <w:rPr>
      <w:b/>
    </w:rPr>
  </w:style>
  <w:style w:type="paragraph" w:styleId="Ttulo3">
    <w:name w:val="heading 3"/>
    <w:basedOn w:val="Normal"/>
    <w:next w:val="Normal"/>
    <w:qFormat/>
    <w:pPr>
      <w:keepNext/>
      <w:ind w:left="6372" w:firstLine="708"/>
      <w:jc w:val="both"/>
      <w:outlineLvl w:val="2"/>
    </w:pPr>
    <w:rPr>
      <w:b/>
    </w:rPr>
  </w:style>
  <w:style w:type="paragraph" w:styleId="Ttulo4">
    <w:name w:val="heading 4"/>
    <w:basedOn w:val="Normal"/>
    <w:next w:val="Normal"/>
    <w:qFormat/>
    <w:pPr>
      <w:keepNext/>
      <w:outlineLvl w:val="3"/>
    </w:pPr>
    <w:rPr>
      <w:rFonts w:eastAsia="Arial Unicode MS" w:cs="Arial"/>
      <w:b/>
      <w:bCs/>
      <w:sz w:val="18"/>
      <w:szCs w:val="18"/>
    </w:rPr>
  </w:style>
  <w:style w:type="paragraph" w:styleId="Ttulo5">
    <w:name w:val="heading 5"/>
    <w:basedOn w:val="Normal"/>
    <w:next w:val="Normal"/>
    <w:qFormat/>
    <w:pPr>
      <w:keepNext/>
      <w:jc w:val="center"/>
      <w:outlineLvl w:val="4"/>
    </w:pPr>
    <w:rPr>
      <w:rFonts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pPr>
      <w:tabs>
        <w:tab w:val="center" w:pos="4252"/>
        <w:tab w:val="right" w:pos="8504"/>
      </w:tabs>
    </w:pPr>
  </w:style>
  <w:style w:type="character" w:styleId="Nmerodepgina">
    <w:name w:val="page number"/>
    <w:basedOn w:val="Fuentedeprrafopredeter"/>
    <w:semiHidden/>
  </w:style>
  <w:style w:type="paragraph" w:styleId="Textoindependiente">
    <w:name w:val="Body Text"/>
    <w:basedOn w:val="Normal"/>
    <w:link w:val="TextoindependienteCar"/>
    <w:pPr>
      <w:spacing w:line="360" w:lineRule="auto"/>
      <w:jc w:val="both"/>
    </w:pPr>
  </w:style>
  <w:style w:type="paragraph" w:customStyle="1" w:styleId="Textodenotaalpie">
    <w:name w:val="Texto de nota al pie"/>
    <w:basedOn w:val="Normal"/>
    <w:pPr>
      <w:widowControl w:val="0"/>
    </w:pPr>
    <w:rPr>
      <w:rFonts w:ascii="Times New Roman" w:hAnsi="Times New Roman"/>
      <w:snapToGrid w:val="0"/>
      <w:szCs w:val="20"/>
    </w:rPr>
  </w:style>
  <w:style w:type="paragraph" w:styleId="Sangradetextonormal">
    <w:name w:val="Body Text Indent"/>
    <w:basedOn w:val="Normal"/>
    <w:semiHidden/>
    <w:pPr>
      <w:widowControl w:val="0"/>
      <w:tabs>
        <w:tab w:val="left" w:pos="0"/>
      </w:tabs>
      <w:suppressAutoHyphens/>
      <w:spacing w:line="360" w:lineRule="auto"/>
      <w:ind w:firstLine="1134"/>
      <w:jc w:val="both"/>
    </w:pPr>
    <w:rPr>
      <w:rFonts w:ascii="Bookman Old Style" w:hAnsi="Bookman Old Style"/>
      <w:snapToGrid w:val="0"/>
      <w:spacing w:val="-3"/>
      <w:szCs w:val="20"/>
      <w:lang w:val="es-ES_tradnl"/>
    </w:rPr>
  </w:style>
  <w:style w:type="paragraph" w:styleId="Textoindependiente2">
    <w:name w:val="Body Text 2"/>
    <w:basedOn w:val="Normal"/>
    <w:semiHidden/>
    <w:pPr>
      <w:widowControl w:val="0"/>
      <w:tabs>
        <w:tab w:val="left" w:pos="0"/>
      </w:tabs>
      <w:suppressAutoHyphens/>
      <w:spacing w:line="360" w:lineRule="auto"/>
      <w:jc w:val="both"/>
    </w:pPr>
    <w:rPr>
      <w:rFonts w:ascii="Bookman Old Style" w:hAnsi="Bookman Old Style"/>
      <w:snapToGrid w:val="0"/>
      <w:spacing w:val="-3"/>
      <w:szCs w:val="20"/>
      <w:lang w:val="es-ES_tradnl"/>
    </w:rPr>
  </w:style>
  <w:style w:type="paragraph" w:styleId="Sangra3detindependiente">
    <w:name w:val="Body Text Indent 3"/>
    <w:basedOn w:val="Normal"/>
    <w:semiHidden/>
    <w:pPr>
      <w:widowControl w:val="0"/>
      <w:tabs>
        <w:tab w:val="left" w:pos="0"/>
      </w:tabs>
      <w:suppressAutoHyphens/>
      <w:spacing w:line="360" w:lineRule="auto"/>
      <w:ind w:firstLine="1134"/>
      <w:jc w:val="both"/>
    </w:pPr>
    <w:rPr>
      <w:rFonts w:ascii="Bookman Old Style" w:hAnsi="Bookman Old Style"/>
      <w:b/>
      <w:snapToGrid w:val="0"/>
      <w:spacing w:val="-3"/>
      <w:szCs w:val="20"/>
      <w:lang w:val="es-ES_tradnl"/>
    </w:rPr>
  </w:style>
  <w:style w:type="paragraph" w:styleId="Sangra2detindependiente">
    <w:name w:val="Body Text Indent 2"/>
    <w:basedOn w:val="Normal"/>
    <w:semiHidden/>
    <w:pPr>
      <w:tabs>
        <w:tab w:val="left" w:pos="0"/>
      </w:tabs>
      <w:suppressAutoHyphens/>
      <w:spacing w:line="360" w:lineRule="auto"/>
      <w:ind w:left="435"/>
      <w:jc w:val="both"/>
    </w:pPr>
    <w:rPr>
      <w:spacing w:val="-3"/>
      <w:lang w:val="es-ES_tradnl"/>
    </w:rPr>
  </w:style>
  <w:style w:type="paragraph" w:customStyle="1" w:styleId="Encabezadodetda">
    <w:name w:val="Encabezado de tda"/>
    <w:basedOn w:val="Normal"/>
    <w:pPr>
      <w:widowControl w:val="0"/>
      <w:tabs>
        <w:tab w:val="right" w:pos="9360"/>
      </w:tabs>
      <w:suppressAutoHyphens/>
    </w:pPr>
    <w:rPr>
      <w:rFonts w:ascii="Courier" w:hAnsi="Courier"/>
      <w:snapToGrid w:val="0"/>
      <w:sz w:val="20"/>
      <w:szCs w:val="20"/>
      <w:lang w:val="en-US"/>
    </w:rPr>
  </w:style>
  <w:style w:type="character" w:customStyle="1" w:styleId="TextoindependienteCar">
    <w:name w:val="Texto independiente Car"/>
    <w:link w:val="Textoindependiente"/>
    <w:rsid w:val="002604DE"/>
    <w:rPr>
      <w:rFonts w:ascii="Arial" w:hAnsi="Arial"/>
      <w:sz w:val="24"/>
      <w:szCs w:val="24"/>
      <w:lang w:val="es-ES" w:eastAsia="es-ES"/>
    </w:rPr>
  </w:style>
  <w:style w:type="paragraph" w:styleId="Encabezado">
    <w:name w:val="header"/>
    <w:basedOn w:val="Normal"/>
    <w:link w:val="EncabezadoCar"/>
    <w:uiPriority w:val="99"/>
    <w:unhideWhenUsed/>
    <w:rsid w:val="00824886"/>
    <w:pPr>
      <w:tabs>
        <w:tab w:val="center" w:pos="4252"/>
        <w:tab w:val="right" w:pos="8504"/>
      </w:tabs>
    </w:pPr>
  </w:style>
  <w:style w:type="character" w:customStyle="1" w:styleId="EncabezadoCar">
    <w:name w:val="Encabezado Car"/>
    <w:link w:val="Encabezado"/>
    <w:uiPriority w:val="99"/>
    <w:rsid w:val="00824886"/>
    <w:rPr>
      <w:rFonts w:ascii="Arial" w:hAnsi="Arial"/>
      <w:sz w:val="24"/>
      <w:szCs w:val="24"/>
      <w:lang w:val="es-ES" w:eastAsia="es-ES"/>
    </w:rPr>
  </w:style>
  <w:style w:type="character" w:customStyle="1" w:styleId="PiedepginaCar">
    <w:name w:val="Pie de página Car"/>
    <w:link w:val="Piedepgina"/>
    <w:semiHidden/>
    <w:rsid w:val="00921DD9"/>
    <w:rPr>
      <w:rFonts w:ascii="Arial" w:hAnsi="Arial"/>
      <w:sz w:val="24"/>
      <w:szCs w:val="24"/>
      <w:lang w:val="es-ES" w:eastAsia="es-ES"/>
    </w:rPr>
  </w:style>
  <w:style w:type="paragraph" w:styleId="Prrafodelista">
    <w:name w:val="List Paragraph"/>
    <w:basedOn w:val="Normal"/>
    <w:uiPriority w:val="34"/>
    <w:qFormat/>
    <w:rsid w:val="003612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rPr>
  </w:style>
  <w:style w:type="paragraph" w:styleId="Ttulo1">
    <w:name w:val="heading 1"/>
    <w:basedOn w:val="Normal"/>
    <w:next w:val="Normal"/>
    <w:qFormat/>
    <w:pPr>
      <w:keepNext/>
      <w:jc w:val="center"/>
      <w:outlineLvl w:val="0"/>
    </w:pPr>
    <w:rPr>
      <w:b/>
    </w:rPr>
  </w:style>
  <w:style w:type="paragraph" w:styleId="Ttulo2">
    <w:name w:val="heading 2"/>
    <w:basedOn w:val="Normal"/>
    <w:next w:val="Normal"/>
    <w:qFormat/>
    <w:pPr>
      <w:keepNext/>
      <w:jc w:val="right"/>
      <w:outlineLvl w:val="1"/>
    </w:pPr>
    <w:rPr>
      <w:b/>
    </w:rPr>
  </w:style>
  <w:style w:type="paragraph" w:styleId="Ttulo3">
    <w:name w:val="heading 3"/>
    <w:basedOn w:val="Normal"/>
    <w:next w:val="Normal"/>
    <w:qFormat/>
    <w:pPr>
      <w:keepNext/>
      <w:ind w:left="6372" w:firstLine="708"/>
      <w:jc w:val="both"/>
      <w:outlineLvl w:val="2"/>
    </w:pPr>
    <w:rPr>
      <w:b/>
    </w:rPr>
  </w:style>
  <w:style w:type="paragraph" w:styleId="Ttulo4">
    <w:name w:val="heading 4"/>
    <w:basedOn w:val="Normal"/>
    <w:next w:val="Normal"/>
    <w:qFormat/>
    <w:pPr>
      <w:keepNext/>
      <w:outlineLvl w:val="3"/>
    </w:pPr>
    <w:rPr>
      <w:rFonts w:eastAsia="Arial Unicode MS" w:cs="Arial"/>
      <w:b/>
      <w:bCs/>
      <w:sz w:val="18"/>
      <w:szCs w:val="18"/>
    </w:rPr>
  </w:style>
  <w:style w:type="paragraph" w:styleId="Ttulo5">
    <w:name w:val="heading 5"/>
    <w:basedOn w:val="Normal"/>
    <w:next w:val="Normal"/>
    <w:qFormat/>
    <w:pPr>
      <w:keepNext/>
      <w:jc w:val="center"/>
      <w:outlineLvl w:val="4"/>
    </w:pPr>
    <w:rPr>
      <w:rFonts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pPr>
      <w:tabs>
        <w:tab w:val="center" w:pos="4252"/>
        <w:tab w:val="right" w:pos="8504"/>
      </w:tabs>
    </w:pPr>
  </w:style>
  <w:style w:type="character" w:styleId="Nmerodepgina">
    <w:name w:val="page number"/>
    <w:basedOn w:val="Fuentedeprrafopredeter"/>
    <w:semiHidden/>
  </w:style>
  <w:style w:type="paragraph" w:styleId="Textoindependiente">
    <w:name w:val="Body Text"/>
    <w:basedOn w:val="Normal"/>
    <w:link w:val="TextoindependienteCar"/>
    <w:pPr>
      <w:spacing w:line="360" w:lineRule="auto"/>
      <w:jc w:val="both"/>
    </w:pPr>
  </w:style>
  <w:style w:type="paragraph" w:customStyle="1" w:styleId="Textodenotaalpie">
    <w:name w:val="Texto de nota al pie"/>
    <w:basedOn w:val="Normal"/>
    <w:pPr>
      <w:widowControl w:val="0"/>
    </w:pPr>
    <w:rPr>
      <w:rFonts w:ascii="Times New Roman" w:hAnsi="Times New Roman"/>
      <w:snapToGrid w:val="0"/>
      <w:szCs w:val="20"/>
    </w:rPr>
  </w:style>
  <w:style w:type="paragraph" w:styleId="Sangradetextonormal">
    <w:name w:val="Body Text Indent"/>
    <w:basedOn w:val="Normal"/>
    <w:semiHidden/>
    <w:pPr>
      <w:widowControl w:val="0"/>
      <w:tabs>
        <w:tab w:val="left" w:pos="0"/>
      </w:tabs>
      <w:suppressAutoHyphens/>
      <w:spacing w:line="360" w:lineRule="auto"/>
      <w:ind w:firstLine="1134"/>
      <w:jc w:val="both"/>
    </w:pPr>
    <w:rPr>
      <w:rFonts w:ascii="Bookman Old Style" w:hAnsi="Bookman Old Style"/>
      <w:snapToGrid w:val="0"/>
      <w:spacing w:val="-3"/>
      <w:szCs w:val="20"/>
      <w:lang w:val="es-ES_tradnl"/>
    </w:rPr>
  </w:style>
  <w:style w:type="paragraph" w:styleId="Textoindependiente2">
    <w:name w:val="Body Text 2"/>
    <w:basedOn w:val="Normal"/>
    <w:semiHidden/>
    <w:pPr>
      <w:widowControl w:val="0"/>
      <w:tabs>
        <w:tab w:val="left" w:pos="0"/>
      </w:tabs>
      <w:suppressAutoHyphens/>
      <w:spacing w:line="360" w:lineRule="auto"/>
      <w:jc w:val="both"/>
    </w:pPr>
    <w:rPr>
      <w:rFonts w:ascii="Bookman Old Style" w:hAnsi="Bookman Old Style"/>
      <w:snapToGrid w:val="0"/>
      <w:spacing w:val="-3"/>
      <w:szCs w:val="20"/>
      <w:lang w:val="es-ES_tradnl"/>
    </w:rPr>
  </w:style>
  <w:style w:type="paragraph" w:styleId="Sangra3detindependiente">
    <w:name w:val="Body Text Indent 3"/>
    <w:basedOn w:val="Normal"/>
    <w:semiHidden/>
    <w:pPr>
      <w:widowControl w:val="0"/>
      <w:tabs>
        <w:tab w:val="left" w:pos="0"/>
      </w:tabs>
      <w:suppressAutoHyphens/>
      <w:spacing w:line="360" w:lineRule="auto"/>
      <w:ind w:firstLine="1134"/>
      <w:jc w:val="both"/>
    </w:pPr>
    <w:rPr>
      <w:rFonts w:ascii="Bookman Old Style" w:hAnsi="Bookman Old Style"/>
      <w:b/>
      <w:snapToGrid w:val="0"/>
      <w:spacing w:val="-3"/>
      <w:szCs w:val="20"/>
      <w:lang w:val="es-ES_tradnl"/>
    </w:rPr>
  </w:style>
  <w:style w:type="paragraph" w:styleId="Sangra2detindependiente">
    <w:name w:val="Body Text Indent 2"/>
    <w:basedOn w:val="Normal"/>
    <w:semiHidden/>
    <w:pPr>
      <w:tabs>
        <w:tab w:val="left" w:pos="0"/>
      </w:tabs>
      <w:suppressAutoHyphens/>
      <w:spacing w:line="360" w:lineRule="auto"/>
      <w:ind w:left="435"/>
      <w:jc w:val="both"/>
    </w:pPr>
    <w:rPr>
      <w:spacing w:val="-3"/>
      <w:lang w:val="es-ES_tradnl"/>
    </w:rPr>
  </w:style>
  <w:style w:type="paragraph" w:customStyle="1" w:styleId="Encabezadodetda">
    <w:name w:val="Encabezado de tda"/>
    <w:basedOn w:val="Normal"/>
    <w:pPr>
      <w:widowControl w:val="0"/>
      <w:tabs>
        <w:tab w:val="right" w:pos="9360"/>
      </w:tabs>
      <w:suppressAutoHyphens/>
    </w:pPr>
    <w:rPr>
      <w:rFonts w:ascii="Courier" w:hAnsi="Courier"/>
      <w:snapToGrid w:val="0"/>
      <w:sz w:val="20"/>
      <w:szCs w:val="20"/>
      <w:lang w:val="en-US"/>
    </w:rPr>
  </w:style>
  <w:style w:type="character" w:customStyle="1" w:styleId="TextoindependienteCar">
    <w:name w:val="Texto independiente Car"/>
    <w:link w:val="Textoindependiente"/>
    <w:rsid w:val="002604DE"/>
    <w:rPr>
      <w:rFonts w:ascii="Arial" w:hAnsi="Arial"/>
      <w:sz w:val="24"/>
      <w:szCs w:val="24"/>
      <w:lang w:val="es-ES" w:eastAsia="es-ES"/>
    </w:rPr>
  </w:style>
  <w:style w:type="paragraph" w:styleId="Encabezado">
    <w:name w:val="header"/>
    <w:basedOn w:val="Normal"/>
    <w:link w:val="EncabezadoCar"/>
    <w:uiPriority w:val="99"/>
    <w:unhideWhenUsed/>
    <w:rsid w:val="00824886"/>
    <w:pPr>
      <w:tabs>
        <w:tab w:val="center" w:pos="4252"/>
        <w:tab w:val="right" w:pos="8504"/>
      </w:tabs>
    </w:pPr>
  </w:style>
  <w:style w:type="character" w:customStyle="1" w:styleId="EncabezadoCar">
    <w:name w:val="Encabezado Car"/>
    <w:link w:val="Encabezado"/>
    <w:uiPriority w:val="99"/>
    <w:rsid w:val="00824886"/>
    <w:rPr>
      <w:rFonts w:ascii="Arial" w:hAnsi="Arial"/>
      <w:sz w:val="24"/>
      <w:szCs w:val="24"/>
      <w:lang w:val="es-ES" w:eastAsia="es-ES"/>
    </w:rPr>
  </w:style>
  <w:style w:type="character" w:customStyle="1" w:styleId="PiedepginaCar">
    <w:name w:val="Pie de página Car"/>
    <w:link w:val="Piedepgina"/>
    <w:semiHidden/>
    <w:rsid w:val="00921DD9"/>
    <w:rPr>
      <w:rFonts w:ascii="Arial" w:hAnsi="Arial"/>
      <w:sz w:val="24"/>
      <w:szCs w:val="24"/>
      <w:lang w:val="es-ES" w:eastAsia="es-ES"/>
    </w:rPr>
  </w:style>
  <w:style w:type="paragraph" w:styleId="Prrafodelista">
    <w:name w:val="List Paragraph"/>
    <w:basedOn w:val="Normal"/>
    <w:uiPriority w:val="34"/>
    <w:qFormat/>
    <w:rsid w:val="003612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11450">
      <w:bodyDiv w:val="1"/>
      <w:marLeft w:val="0"/>
      <w:marRight w:val="0"/>
      <w:marTop w:val="0"/>
      <w:marBottom w:val="0"/>
      <w:divBdr>
        <w:top w:val="none" w:sz="0" w:space="0" w:color="auto"/>
        <w:left w:val="none" w:sz="0" w:space="0" w:color="auto"/>
        <w:bottom w:val="none" w:sz="0" w:space="0" w:color="auto"/>
        <w:right w:val="none" w:sz="0" w:space="0" w:color="auto"/>
      </w:divBdr>
    </w:div>
    <w:div w:id="722292923">
      <w:bodyDiv w:val="1"/>
      <w:marLeft w:val="0"/>
      <w:marRight w:val="0"/>
      <w:marTop w:val="0"/>
      <w:marBottom w:val="0"/>
      <w:divBdr>
        <w:top w:val="none" w:sz="0" w:space="0" w:color="auto"/>
        <w:left w:val="none" w:sz="0" w:space="0" w:color="auto"/>
        <w:bottom w:val="none" w:sz="0" w:space="0" w:color="auto"/>
        <w:right w:val="none" w:sz="0" w:space="0" w:color="auto"/>
      </w:divBdr>
    </w:div>
    <w:div w:id="1104299536">
      <w:bodyDiv w:val="1"/>
      <w:marLeft w:val="0"/>
      <w:marRight w:val="0"/>
      <w:marTop w:val="0"/>
      <w:marBottom w:val="0"/>
      <w:divBdr>
        <w:top w:val="none" w:sz="0" w:space="0" w:color="auto"/>
        <w:left w:val="none" w:sz="0" w:space="0" w:color="auto"/>
        <w:bottom w:val="none" w:sz="0" w:space="0" w:color="auto"/>
        <w:right w:val="none" w:sz="0" w:space="0" w:color="auto"/>
      </w:divBdr>
    </w:div>
    <w:div w:id="1506937923">
      <w:bodyDiv w:val="1"/>
      <w:marLeft w:val="0"/>
      <w:marRight w:val="0"/>
      <w:marTop w:val="0"/>
      <w:marBottom w:val="0"/>
      <w:divBdr>
        <w:top w:val="none" w:sz="0" w:space="0" w:color="auto"/>
        <w:left w:val="none" w:sz="0" w:space="0" w:color="auto"/>
        <w:bottom w:val="none" w:sz="0" w:space="0" w:color="auto"/>
        <w:right w:val="none" w:sz="0" w:space="0" w:color="auto"/>
      </w:divBdr>
    </w:div>
    <w:div w:id="1754282874">
      <w:bodyDiv w:val="1"/>
      <w:marLeft w:val="0"/>
      <w:marRight w:val="0"/>
      <w:marTop w:val="0"/>
      <w:marBottom w:val="0"/>
      <w:divBdr>
        <w:top w:val="none" w:sz="0" w:space="0" w:color="auto"/>
        <w:left w:val="none" w:sz="0" w:space="0" w:color="auto"/>
        <w:bottom w:val="none" w:sz="0" w:space="0" w:color="auto"/>
        <w:right w:val="none" w:sz="0" w:space="0" w:color="auto"/>
      </w:divBdr>
    </w:div>
    <w:div w:id="1832793786">
      <w:bodyDiv w:val="1"/>
      <w:marLeft w:val="0"/>
      <w:marRight w:val="0"/>
      <w:marTop w:val="0"/>
      <w:marBottom w:val="0"/>
      <w:divBdr>
        <w:top w:val="none" w:sz="0" w:space="0" w:color="auto"/>
        <w:left w:val="none" w:sz="0" w:space="0" w:color="auto"/>
        <w:bottom w:val="none" w:sz="0" w:space="0" w:color="auto"/>
        <w:right w:val="none" w:sz="0" w:space="0" w:color="auto"/>
      </w:divBdr>
    </w:div>
    <w:div w:id="1870794907">
      <w:bodyDiv w:val="1"/>
      <w:marLeft w:val="0"/>
      <w:marRight w:val="0"/>
      <w:marTop w:val="0"/>
      <w:marBottom w:val="0"/>
      <w:divBdr>
        <w:top w:val="none" w:sz="0" w:space="0" w:color="auto"/>
        <w:left w:val="none" w:sz="0" w:space="0" w:color="auto"/>
        <w:bottom w:val="none" w:sz="0" w:space="0" w:color="auto"/>
        <w:right w:val="none" w:sz="0" w:space="0" w:color="auto"/>
      </w:divBdr>
    </w:div>
    <w:div w:id="187191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2BD4A-4106-4AA5-9CA3-BEC43D4AE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1271</Words>
  <Characters>6877</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Montevideo, 16 de septiembre de 2003</vt:lpstr>
    </vt:vector>
  </TitlesOfParts>
  <Company>Tribunal de Cuentas</Company>
  <LinksUpToDate>false</LinksUpToDate>
  <CharactersWithSpaces>8132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Montevideo, 16 de septiembre de 2003</dc:title>
  <dc:creator>Pablo Balseiro</dc:creator>
  <cp:lastModifiedBy>Tribunal1</cp:lastModifiedBy>
  <cp:revision>3</cp:revision>
  <cp:lastPrinted>2018-05-28T18:36:00Z</cp:lastPrinted>
  <dcterms:created xsi:type="dcterms:W3CDTF">2018-05-28T18:36:00Z</dcterms:created>
  <dcterms:modified xsi:type="dcterms:W3CDTF">2018-06-27T16:37:00Z</dcterms:modified>
</cp:coreProperties>
</file>