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AA" w:rsidRPr="001061AA" w:rsidRDefault="001061AA" w:rsidP="00292093">
      <w:pPr>
        <w:tabs>
          <w:tab w:val="center" w:pos="4253"/>
        </w:tabs>
        <w:suppressAutoHyphens/>
        <w:jc w:val="right"/>
        <w:rPr>
          <w:b/>
          <w:sz w:val="28"/>
          <w:szCs w:val="28"/>
          <w:lang w:val="es-ES_tradnl"/>
        </w:rPr>
      </w:pPr>
      <w:bookmarkStart w:id="0" w:name="_GoBack"/>
      <w:bookmarkEnd w:id="0"/>
      <w:r w:rsidRPr="001061AA">
        <w:rPr>
          <w:b/>
          <w:sz w:val="28"/>
          <w:szCs w:val="28"/>
          <w:lang w:val="es-ES_tradnl"/>
        </w:rPr>
        <w:t>RES. 2020/18</w:t>
      </w:r>
    </w:p>
    <w:p w:rsidR="001061AA" w:rsidRDefault="001061AA">
      <w:pPr>
        <w:tabs>
          <w:tab w:val="center" w:pos="4253"/>
        </w:tabs>
        <w:suppressAutoHyphens/>
        <w:jc w:val="center"/>
        <w:rPr>
          <w:b/>
          <w:lang w:val="es-ES_tradnl"/>
        </w:rPr>
      </w:pPr>
    </w:p>
    <w:p w:rsidR="001061AA" w:rsidRPr="004746D1" w:rsidRDefault="001061AA">
      <w:pPr>
        <w:tabs>
          <w:tab w:val="center" w:pos="4253"/>
        </w:tabs>
        <w:suppressAutoHyphens/>
        <w:jc w:val="center"/>
        <w:rPr>
          <w:b/>
          <w:lang w:val="es-ES_tradnl"/>
        </w:rPr>
      </w:pPr>
      <w:r w:rsidRPr="004746D1">
        <w:rPr>
          <w:b/>
          <w:lang w:val="es-ES_tradnl"/>
        </w:rPr>
        <w:t>RESOLUCION ADOPTADA POR EL</w:t>
      </w:r>
    </w:p>
    <w:p w:rsidR="001061AA" w:rsidRPr="004746D1" w:rsidRDefault="001061AA">
      <w:pPr>
        <w:tabs>
          <w:tab w:val="left" w:pos="-720"/>
        </w:tabs>
        <w:suppressAutoHyphens/>
        <w:jc w:val="center"/>
        <w:rPr>
          <w:b/>
          <w:lang w:val="es-ES_tradnl"/>
        </w:rPr>
      </w:pPr>
    </w:p>
    <w:p w:rsidR="001061AA" w:rsidRPr="004746D1" w:rsidRDefault="001061AA">
      <w:pPr>
        <w:tabs>
          <w:tab w:val="center" w:pos="4253"/>
        </w:tabs>
        <w:suppressAutoHyphens/>
        <w:jc w:val="center"/>
        <w:rPr>
          <w:b/>
          <w:lang w:val="es-ES_tradnl"/>
        </w:rPr>
      </w:pPr>
      <w:r w:rsidRPr="004746D1">
        <w:rPr>
          <w:b/>
          <w:lang w:val="es-ES_tradnl"/>
        </w:rPr>
        <w:t>TRIBUNAL DE CUENTAS</w:t>
      </w:r>
    </w:p>
    <w:p w:rsidR="001061AA" w:rsidRPr="004746D1" w:rsidRDefault="001061AA">
      <w:pPr>
        <w:tabs>
          <w:tab w:val="left" w:pos="-720"/>
        </w:tabs>
        <w:suppressAutoHyphens/>
        <w:jc w:val="center"/>
        <w:rPr>
          <w:b/>
          <w:lang w:val="es-ES_tradnl"/>
        </w:rPr>
      </w:pPr>
    </w:p>
    <w:p w:rsidR="001061AA" w:rsidRPr="004746D1" w:rsidRDefault="001061AA">
      <w:pPr>
        <w:tabs>
          <w:tab w:val="center" w:pos="4253"/>
        </w:tabs>
        <w:suppressAutoHyphens/>
        <w:jc w:val="center"/>
        <w:rPr>
          <w:b/>
          <w:lang w:val="es-ES_tradnl"/>
        </w:rPr>
      </w:pPr>
      <w:r w:rsidRPr="004746D1">
        <w:rPr>
          <w:b/>
          <w:lang w:val="es-ES_tradnl"/>
        </w:rPr>
        <w:t xml:space="preserve">EN SESION DE FECHA </w:t>
      </w:r>
      <w:r>
        <w:rPr>
          <w:b/>
          <w:lang w:val="es-ES_tradnl"/>
        </w:rPr>
        <w:t xml:space="preserve">13 </w:t>
      </w:r>
      <w:r w:rsidRPr="00A03CC2">
        <w:rPr>
          <w:b/>
          <w:lang w:val="es-ES_tradnl"/>
        </w:rPr>
        <w:t xml:space="preserve">DE </w:t>
      </w:r>
      <w:r>
        <w:rPr>
          <w:b/>
          <w:lang w:val="es-ES_tradnl"/>
        </w:rPr>
        <w:t>JUNIO DE 2018</w:t>
      </w:r>
    </w:p>
    <w:p w:rsidR="001061AA" w:rsidRPr="004746D1" w:rsidRDefault="001061AA">
      <w:pPr>
        <w:tabs>
          <w:tab w:val="center" w:pos="4253"/>
        </w:tabs>
        <w:suppressAutoHyphens/>
        <w:jc w:val="center"/>
        <w:rPr>
          <w:b/>
          <w:lang w:val="es-ES_tradnl"/>
        </w:rPr>
      </w:pPr>
    </w:p>
    <w:p w:rsidR="001061AA" w:rsidRPr="004746D1" w:rsidRDefault="001061AA">
      <w:pPr>
        <w:tabs>
          <w:tab w:val="center" w:pos="4253"/>
        </w:tabs>
        <w:suppressAutoHyphens/>
        <w:jc w:val="center"/>
        <w:rPr>
          <w:b/>
          <w:lang w:val="es-ES_tradnl"/>
        </w:rPr>
      </w:pPr>
      <w:r>
        <w:rPr>
          <w:b/>
          <w:lang w:val="es-ES_tradnl"/>
        </w:rPr>
        <w:t>(E. E. Nº 2018-17-1-0002425</w:t>
      </w:r>
      <w:r w:rsidRPr="004746D1">
        <w:rPr>
          <w:b/>
          <w:lang w:val="es-ES_tradnl"/>
        </w:rPr>
        <w:t xml:space="preserve">, </w:t>
      </w:r>
      <w:proofErr w:type="spellStart"/>
      <w:r w:rsidRPr="004746D1">
        <w:rPr>
          <w:b/>
          <w:lang w:val="es-ES_tradnl"/>
        </w:rPr>
        <w:t>E</w:t>
      </w:r>
      <w:r>
        <w:rPr>
          <w:b/>
          <w:lang w:val="es-ES_tradnl"/>
        </w:rPr>
        <w:t>nt</w:t>
      </w:r>
      <w:proofErr w:type="spellEnd"/>
      <w:r w:rsidRPr="004746D1">
        <w:rPr>
          <w:b/>
          <w:lang w:val="es-ES_tradnl"/>
        </w:rPr>
        <w:t>.</w:t>
      </w:r>
      <w:r>
        <w:rPr>
          <w:b/>
          <w:lang w:val="es-ES_tradnl"/>
        </w:rPr>
        <w:t xml:space="preserve"> N°</w:t>
      </w:r>
      <w:r w:rsidRPr="004746D1">
        <w:rPr>
          <w:b/>
          <w:lang w:val="es-ES_tradnl"/>
        </w:rPr>
        <w:t xml:space="preserve"> </w:t>
      </w:r>
      <w:r>
        <w:rPr>
          <w:b/>
          <w:lang w:val="es-ES_tradnl"/>
        </w:rPr>
        <w:t>1805</w:t>
      </w:r>
      <w:r w:rsidRPr="004746D1">
        <w:rPr>
          <w:b/>
          <w:lang w:val="es-ES_tradnl"/>
        </w:rPr>
        <w:t>/</w:t>
      </w:r>
      <w:r>
        <w:rPr>
          <w:b/>
          <w:lang w:val="es-ES_tradnl"/>
        </w:rPr>
        <w:t>18</w:t>
      </w:r>
      <w:r w:rsidRPr="004746D1">
        <w:rPr>
          <w:b/>
          <w:lang w:val="es-ES_tradnl"/>
        </w:rPr>
        <w:t>)</w:t>
      </w:r>
    </w:p>
    <w:p w:rsidR="001061AA" w:rsidRPr="004746D1" w:rsidRDefault="001061AA">
      <w:pPr>
        <w:tabs>
          <w:tab w:val="center" w:pos="4253"/>
        </w:tabs>
        <w:suppressAutoHyphens/>
        <w:jc w:val="center"/>
        <w:rPr>
          <w:spacing w:val="-3"/>
          <w:lang w:val="es-ES_tradnl"/>
        </w:rPr>
      </w:pPr>
    </w:p>
    <w:p w:rsidR="001061AA" w:rsidRPr="004746D1" w:rsidRDefault="001061AA" w:rsidP="004746D1">
      <w:pPr>
        <w:tabs>
          <w:tab w:val="center" w:pos="4253"/>
        </w:tabs>
        <w:suppressAutoHyphens/>
        <w:jc w:val="right"/>
        <w:rPr>
          <w:spacing w:val="-3"/>
          <w:lang w:val="es-ES_tradnl"/>
        </w:rPr>
      </w:pPr>
    </w:p>
    <w:p w:rsidR="001061AA" w:rsidRPr="004746D1" w:rsidRDefault="001061AA"/>
    <w:p w:rsidR="00C96EFD" w:rsidRDefault="00C96EFD" w:rsidP="001061AA">
      <w:pPr>
        <w:spacing w:line="360" w:lineRule="auto"/>
        <w:ind w:firstLine="851"/>
        <w:jc w:val="both"/>
        <w:rPr>
          <w:rFonts w:cs="Times New Roman"/>
        </w:rPr>
      </w:pPr>
      <w:r w:rsidRPr="00005A86">
        <w:rPr>
          <w:rFonts w:cs="Times New Roman"/>
          <w:b/>
          <w:bCs/>
        </w:rPr>
        <w:t>VISTO:</w:t>
      </w:r>
      <w:r w:rsidRPr="00005A86">
        <w:rPr>
          <w:rFonts w:cs="Times New Roman"/>
        </w:rPr>
        <w:t xml:space="preserve"> estas actuaciones remitidas por la A</w:t>
      </w:r>
      <w:r>
        <w:rPr>
          <w:rFonts w:cs="Times New Roman"/>
        </w:rPr>
        <w:t xml:space="preserve">dministración de Usinas y Transmisiones Eléctricas (UTE), </w:t>
      </w:r>
      <w:r w:rsidRPr="00005A86">
        <w:rPr>
          <w:rFonts w:cs="Times New Roman"/>
        </w:rPr>
        <w:t xml:space="preserve">relacionadas con </w:t>
      </w:r>
      <w:r>
        <w:rPr>
          <w:rFonts w:cs="Times New Roman"/>
        </w:rPr>
        <w:t>los contratos de Compraventa de Energía, Convenio de Uso de Red y Contrato de Obra a suscribir en el marco del Memorándum de Entendimiento (MOU), celebrado con el Ministerio de Industria y Energía (MIEM) y UPM PULP OY, con fecha 7 de noviembre de 2017;</w:t>
      </w:r>
    </w:p>
    <w:p w:rsidR="00C96EFD" w:rsidRDefault="00C96EFD" w:rsidP="001061AA">
      <w:pPr>
        <w:spacing w:line="360" w:lineRule="auto"/>
        <w:ind w:firstLine="851"/>
        <w:jc w:val="both"/>
        <w:rPr>
          <w:bCs/>
        </w:rPr>
      </w:pPr>
      <w:r>
        <w:rPr>
          <w:b/>
          <w:bCs/>
        </w:rPr>
        <w:t>RESULTANDO:</w:t>
      </w:r>
      <w:r>
        <w:t xml:space="preserve"> </w:t>
      </w:r>
      <w:r>
        <w:rPr>
          <w:b/>
          <w:bCs/>
        </w:rPr>
        <w:t xml:space="preserve">1) </w:t>
      </w:r>
      <w:r w:rsidRPr="00E928C8">
        <w:rPr>
          <w:bCs/>
        </w:rPr>
        <w:t xml:space="preserve">que por Resolución </w:t>
      </w:r>
      <w:r>
        <w:rPr>
          <w:bCs/>
        </w:rPr>
        <w:t xml:space="preserve">N° 1052/017 del 7 de noviembre de 2017, el Presidente de la República actuando en Consejo de Ministros, resolvió aprobar y autorizar la suscripción del proyecto de Contrato de Inversión y sus anexos, entre la República Oriental del Uruguay y UPM </w:t>
      </w:r>
      <w:proofErr w:type="spellStart"/>
      <w:r>
        <w:rPr>
          <w:bCs/>
        </w:rPr>
        <w:t>Pulp</w:t>
      </w:r>
      <w:proofErr w:type="spellEnd"/>
      <w:r>
        <w:rPr>
          <w:bCs/>
        </w:rPr>
        <w:t xml:space="preserve"> </w:t>
      </w:r>
      <w:proofErr w:type="spellStart"/>
      <w:r>
        <w:rPr>
          <w:bCs/>
        </w:rPr>
        <w:t>Oy</w:t>
      </w:r>
      <w:proofErr w:type="spellEnd"/>
      <w:r>
        <w:rPr>
          <w:bCs/>
        </w:rPr>
        <w:t>, que involucra el diseño, financiamiento, ingeniería, construcción, operación y mantenimiento de una planta de celulosa así como el desarrollo de operaciones forestales de UPM y sus afiliadas;</w:t>
      </w:r>
    </w:p>
    <w:p w:rsidR="002663F6" w:rsidRDefault="00C96EFD" w:rsidP="002663F6">
      <w:pPr>
        <w:spacing w:line="360" w:lineRule="auto"/>
        <w:ind w:firstLine="2835"/>
        <w:jc w:val="both"/>
        <w:rPr>
          <w:b/>
          <w:bCs/>
        </w:rPr>
      </w:pPr>
      <w:r w:rsidRPr="004F58B5">
        <w:rPr>
          <w:b/>
          <w:bCs/>
        </w:rPr>
        <w:t>2)</w:t>
      </w:r>
      <w:r w:rsidRPr="00C311EF">
        <w:rPr>
          <w:bCs/>
        </w:rPr>
        <w:t xml:space="preserve"> que</w:t>
      </w:r>
      <w:r>
        <w:rPr>
          <w:bCs/>
        </w:rPr>
        <w:t xml:space="preserve"> con misma fecha, se suscribió dicho Contrato de Inversión entre la República Oriental del Uruguay y UPM PULP OY (UPM);</w:t>
      </w:r>
    </w:p>
    <w:p w:rsidR="00C96EFD" w:rsidRDefault="00C96EFD" w:rsidP="002663F6">
      <w:pPr>
        <w:spacing w:line="360" w:lineRule="auto"/>
        <w:ind w:firstLine="2835"/>
        <w:jc w:val="both"/>
        <w:rPr>
          <w:b/>
          <w:bCs/>
        </w:rPr>
      </w:pPr>
      <w:r w:rsidRPr="00B92BCF">
        <w:rPr>
          <w:b/>
          <w:bCs/>
        </w:rPr>
        <w:t>3)</w:t>
      </w:r>
      <w:r>
        <w:rPr>
          <w:bCs/>
        </w:rPr>
        <w:t xml:space="preserve"> que según se expresa en los antecedentes remitidos, el Anexo 6 del citado Acuerdo de Inversión, hace referencia al Memorándum de Entendimiento de Energía Eléctrica (denominado MOU), que </w:t>
      </w:r>
      <w:r>
        <w:rPr>
          <w:bCs/>
        </w:rPr>
        <w:lastRenderedPageBreak/>
        <w:t>fue suscrito también en la misma fecha por la administración actuante, el Ministerio de Industria y Energía, y UPM PULP OY, con el objetivo de  establecer las condiciones para viabilizar el contrato de inversión celebrado en los términos acordados por el Poder Ejecutivo. Dicho MOU entró en vigencia a partir de su suscripción y hasta la celebración del contrato de compraventa de energía y el convenio de uso entre UTE y UPM, y en su cláusula sexta se estableció expresamente que, en caso de que UPM no tome una “Decisión Final de Inversión positiva” antes del 15 de febrero de 202</w:t>
      </w:r>
      <w:r w:rsidR="002663F6">
        <w:rPr>
          <w:bCs/>
        </w:rPr>
        <w:t>0, el mismo quedará sin efecto;</w:t>
      </w:r>
    </w:p>
    <w:p w:rsidR="002663F6" w:rsidRDefault="00C96EFD" w:rsidP="001061AA">
      <w:pPr>
        <w:spacing w:line="360" w:lineRule="auto"/>
        <w:ind w:firstLine="2835"/>
        <w:jc w:val="both"/>
        <w:rPr>
          <w:bCs/>
        </w:rPr>
      </w:pPr>
      <w:r>
        <w:rPr>
          <w:b/>
          <w:bCs/>
        </w:rPr>
        <w:t xml:space="preserve">4) </w:t>
      </w:r>
      <w:r>
        <w:rPr>
          <w:bCs/>
        </w:rPr>
        <w:t>que el Directorio de UTE, por Resolución Nº 17-2683 de fecha 7 de noviembre de 2017, dispuso tomar conocimiento del MOU y autorizar su suscripción en los términos acordados;</w:t>
      </w:r>
    </w:p>
    <w:p w:rsidR="00C96EFD" w:rsidRDefault="00C96EFD" w:rsidP="001061AA">
      <w:pPr>
        <w:spacing w:line="360" w:lineRule="auto"/>
        <w:ind w:firstLine="2835"/>
        <w:jc w:val="both"/>
        <w:rPr>
          <w:b/>
          <w:bCs/>
        </w:rPr>
      </w:pPr>
      <w:r>
        <w:rPr>
          <w:b/>
          <w:bCs/>
        </w:rPr>
        <w:t>5</w:t>
      </w:r>
      <w:r w:rsidRPr="00D2264C">
        <w:rPr>
          <w:b/>
          <w:bCs/>
        </w:rPr>
        <w:t>)</w:t>
      </w:r>
      <w:r>
        <w:rPr>
          <w:b/>
          <w:bCs/>
        </w:rPr>
        <w:t xml:space="preserve"> </w:t>
      </w:r>
      <w:r>
        <w:rPr>
          <w:bCs/>
        </w:rPr>
        <w:t>que la cláusula tercera del MOU contempla aspectos relacionados con la información, elaboración de estudios técnicos y obras de infraestructura eléctrica, y la cláusula cuarta establece los lineamientos del contrato de Compraventa de Energía Eléctrica entre UTE y UPM, cuya celebración el Poder Ejecutivo se obliga a promover, a través de la aplicación de los mecanismos legales vigentes;</w:t>
      </w:r>
    </w:p>
    <w:p w:rsidR="00C96EFD" w:rsidRPr="002C20F0" w:rsidRDefault="00C96EFD" w:rsidP="001061AA">
      <w:pPr>
        <w:spacing w:line="360" w:lineRule="auto"/>
        <w:ind w:firstLine="2835"/>
        <w:jc w:val="both"/>
        <w:rPr>
          <w:b/>
          <w:bCs/>
        </w:rPr>
      </w:pPr>
      <w:r>
        <w:rPr>
          <w:b/>
          <w:bCs/>
        </w:rPr>
        <w:t xml:space="preserve">6) </w:t>
      </w:r>
      <w:r>
        <w:rPr>
          <w:bCs/>
        </w:rPr>
        <w:t>que entre los lineamientos establecidos en la cláusula cuarta citada figuran los siguientes:</w:t>
      </w:r>
    </w:p>
    <w:p w:rsidR="00C96EFD" w:rsidRDefault="00C96EFD" w:rsidP="00C96EFD">
      <w:pPr>
        <w:spacing w:line="360" w:lineRule="auto"/>
        <w:jc w:val="both"/>
      </w:pPr>
      <w:r w:rsidRPr="00087276">
        <w:rPr>
          <w:b/>
          <w:bCs/>
        </w:rPr>
        <w:t>a)</w:t>
      </w:r>
      <w:r>
        <w:rPr>
          <w:bCs/>
        </w:rPr>
        <w:t xml:space="preserve"> la obligación de compra  del 100% del excedente de energía eléctrica generada como </w:t>
      </w:r>
      <w:r>
        <w:t>consecuencia del proceso industrial d</w:t>
      </w:r>
      <w:r w:rsidR="002663F6">
        <w:t>e UPM, por el plazo de 20 años;</w:t>
      </w:r>
    </w:p>
    <w:p w:rsidR="00C96EFD" w:rsidRPr="00B260A9" w:rsidRDefault="00C96EFD" w:rsidP="00C96EFD">
      <w:pPr>
        <w:spacing w:line="360" w:lineRule="auto"/>
        <w:jc w:val="both"/>
      </w:pPr>
      <w:r w:rsidRPr="00087276">
        <w:rPr>
          <w:b/>
        </w:rPr>
        <w:t>b)</w:t>
      </w:r>
      <w:r>
        <w:rPr>
          <w:b/>
        </w:rPr>
        <w:t xml:space="preserve"> </w:t>
      </w:r>
      <w:r w:rsidRPr="00B260A9">
        <w:t>UTE proporcionará la energía eléctrica demandada por ambas Plantas de Celulosa de acuerdo al marco normativo vigente, procurando acercarse a prácticas actuales de la Planta de Fray Bentos;</w:t>
      </w:r>
    </w:p>
    <w:p w:rsidR="00C96EFD" w:rsidRDefault="00C96EFD" w:rsidP="00C96EFD">
      <w:pPr>
        <w:spacing w:line="360" w:lineRule="auto"/>
        <w:jc w:val="both"/>
      </w:pPr>
      <w:r>
        <w:rPr>
          <w:b/>
        </w:rPr>
        <w:t>c)</w:t>
      </w:r>
      <w:r>
        <w:t xml:space="preserve"> el precio de compra de la energía eléctrica debe situarse en los 72,5 USD/</w:t>
      </w:r>
      <w:proofErr w:type="spellStart"/>
      <w:r>
        <w:t>MWh</w:t>
      </w:r>
      <w:proofErr w:type="spellEnd"/>
      <w:r>
        <w:t xml:space="preserve">, durante 20 años a partir del inicio de las operaciones en la Planta de Celulosa, por un volumen anual de 1 </w:t>
      </w:r>
      <w:proofErr w:type="spellStart"/>
      <w:r>
        <w:t>TWh</w:t>
      </w:r>
      <w:proofErr w:type="spellEnd"/>
      <w:r>
        <w:t xml:space="preserve"> por año a ser generado por las Plantas de Fray</w:t>
      </w:r>
      <w:r w:rsidR="002663F6">
        <w:t xml:space="preserve"> Bentos y de Paso de los Toros,</w:t>
      </w:r>
    </w:p>
    <w:p w:rsidR="00C96EFD" w:rsidRDefault="00C96EFD" w:rsidP="00C96EFD">
      <w:pPr>
        <w:spacing w:line="360" w:lineRule="auto"/>
        <w:jc w:val="both"/>
      </w:pPr>
      <w:r>
        <w:rPr>
          <w:b/>
        </w:rPr>
        <w:t>d</w:t>
      </w:r>
      <w:r w:rsidRPr="00087276">
        <w:rPr>
          <w:b/>
        </w:rPr>
        <w:t>)</w:t>
      </w:r>
      <w:r>
        <w:t xml:space="preserve"> la energía eléctrica generada por UPM, por encima del 1 </w:t>
      </w:r>
      <w:proofErr w:type="spellStart"/>
      <w:r>
        <w:t>TWh</w:t>
      </w:r>
      <w:proofErr w:type="spellEnd"/>
      <w:r>
        <w:t xml:space="preserve"> por año referido en el punto c), podrá ser vendida al mercado doméstico spot o exportarla a Argentina, Brasil o cualquier otro país si UPM decidiera hacerlo en el marco normativo y comercial vigente,</w:t>
      </w:r>
    </w:p>
    <w:p w:rsidR="00C96EFD" w:rsidRDefault="00C96EFD" w:rsidP="00C96EFD">
      <w:pPr>
        <w:spacing w:line="360" w:lineRule="auto"/>
        <w:jc w:val="both"/>
      </w:pPr>
      <w:r w:rsidRPr="00070A51">
        <w:rPr>
          <w:b/>
        </w:rPr>
        <w:t>e)</w:t>
      </w:r>
      <w:r>
        <w:rPr>
          <w:b/>
        </w:rPr>
        <w:t xml:space="preserve"> </w:t>
      </w:r>
      <w:r>
        <w:t>el precio se reajustará anualmente por el 100% del Índice de Precios al Consumidor de</w:t>
      </w:r>
      <w:r w:rsidR="002663F6">
        <w:t xml:space="preserve"> los Estados Unidos de América;</w:t>
      </w:r>
    </w:p>
    <w:p w:rsidR="00C96EFD" w:rsidRDefault="00C96EFD" w:rsidP="00C96EFD">
      <w:pPr>
        <w:spacing w:line="360" w:lineRule="auto"/>
        <w:jc w:val="both"/>
      </w:pPr>
      <w:r>
        <w:rPr>
          <w:b/>
        </w:rPr>
        <w:t>f</w:t>
      </w:r>
      <w:r w:rsidRPr="00087276">
        <w:rPr>
          <w:b/>
        </w:rPr>
        <w:t>)</w:t>
      </w:r>
      <w:r>
        <w:t xml:space="preserve"> UTE asumirá el 50% del valor por los cargos de uso de red que le correspondería a UPM como consumidor de energía eléctrica adquirida de UTE, desde el inicio de las operaciones hasta el 1 de enero de 2025; en el caso de que la fecha de la operación a pleno fuera en otro mes del mismo año, la fecha 1° de enero se traslad</w:t>
      </w:r>
      <w:r w:rsidR="002663F6">
        <w:t>ará al primer día de dicho mes;</w:t>
      </w:r>
    </w:p>
    <w:p w:rsidR="00C96EFD" w:rsidRDefault="00C96EFD" w:rsidP="001061AA">
      <w:pPr>
        <w:spacing w:line="360" w:lineRule="auto"/>
        <w:ind w:firstLine="2835"/>
        <w:jc w:val="both"/>
      </w:pPr>
      <w:r>
        <w:rPr>
          <w:b/>
        </w:rPr>
        <w:t>7</w:t>
      </w:r>
      <w:r w:rsidRPr="00B37DAA">
        <w:rPr>
          <w:b/>
        </w:rPr>
        <w:t>)</w:t>
      </w:r>
      <w:r>
        <w:t xml:space="preserve"> que en esta oportunidad se remiten:</w:t>
      </w:r>
    </w:p>
    <w:p w:rsidR="00C96EFD" w:rsidRDefault="00C96EFD" w:rsidP="00C96EFD">
      <w:pPr>
        <w:spacing w:line="360" w:lineRule="auto"/>
        <w:jc w:val="both"/>
      </w:pPr>
      <w:r w:rsidRPr="00C2236A">
        <w:rPr>
          <w:b/>
        </w:rPr>
        <w:t>a)</w:t>
      </w:r>
      <w:r>
        <w:t xml:space="preserve"> proyecto de Contrato de Compraventa de Energía E</w:t>
      </w:r>
      <w:r w:rsidRPr="00077756">
        <w:t xml:space="preserve">léctrica </w:t>
      </w:r>
      <w:r>
        <w:t>a suscribir por UTE con</w:t>
      </w:r>
      <w:r w:rsidRPr="00077756">
        <w:t xml:space="preserve"> UPM S.A y BLANVIRA S.A</w:t>
      </w:r>
      <w:r>
        <w:t xml:space="preserve"> (subsidiaria de UPM),</w:t>
      </w:r>
    </w:p>
    <w:p w:rsidR="00C96EFD" w:rsidRDefault="00C96EFD" w:rsidP="00C96EFD">
      <w:pPr>
        <w:spacing w:line="360" w:lineRule="auto"/>
        <w:jc w:val="both"/>
      </w:pPr>
      <w:r w:rsidRPr="00C2236A">
        <w:rPr>
          <w:b/>
        </w:rPr>
        <w:t>b)</w:t>
      </w:r>
      <w:r>
        <w:t xml:space="preserve"> proyecto de Contrato de Uso para la conexión de BLANVIRA S.A. y CUECAR S.A., empresas subsidiarias de UPM, a instalaciones de transmisión de UTE;</w:t>
      </w:r>
    </w:p>
    <w:p w:rsidR="00C96EFD" w:rsidRPr="00C2236A" w:rsidRDefault="00C96EFD" w:rsidP="00C96EFD">
      <w:pPr>
        <w:spacing w:line="360" w:lineRule="auto"/>
        <w:jc w:val="both"/>
        <w:rPr>
          <w:b/>
        </w:rPr>
      </w:pPr>
      <w:r w:rsidRPr="00C2236A">
        <w:rPr>
          <w:b/>
        </w:rPr>
        <w:t>c)</w:t>
      </w:r>
      <w:r w:rsidRPr="00C2236A">
        <w:t xml:space="preserve"> </w:t>
      </w:r>
      <w:r>
        <w:t>proyecto de Contrato de Obra a suscribir por UTE con CUECAR S.A (UPM);</w:t>
      </w:r>
    </w:p>
    <w:p w:rsidR="00C96EFD" w:rsidRDefault="00C96EFD" w:rsidP="001061AA">
      <w:pPr>
        <w:spacing w:line="360" w:lineRule="auto"/>
        <w:ind w:firstLine="2835"/>
        <w:jc w:val="both"/>
      </w:pPr>
      <w:r>
        <w:rPr>
          <w:b/>
        </w:rPr>
        <w:t>8</w:t>
      </w:r>
      <w:r w:rsidRPr="007B71A4">
        <w:rPr>
          <w:b/>
        </w:rPr>
        <w:t>)</w:t>
      </w:r>
      <w:r>
        <w:rPr>
          <w:b/>
        </w:rPr>
        <w:t xml:space="preserve"> </w:t>
      </w:r>
      <w:r>
        <w:t>que el</w:t>
      </w:r>
      <w:r w:rsidRPr="00077756">
        <w:t xml:space="preserve"> </w:t>
      </w:r>
      <w:r>
        <w:t>proyecto de Contrato de C</w:t>
      </w:r>
      <w:r w:rsidRPr="00077756">
        <w:t>ompravent</w:t>
      </w:r>
      <w:r>
        <w:t>a de Energía E</w:t>
      </w:r>
      <w:r w:rsidRPr="00077756">
        <w:t xml:space="preserve">léctrica </w:t>
      </w:r>
      <w:r>
        <w:t>a suscribir por UTE con</w:t>
      </w:r>
      <w:r w:rsidRPr="00077756">
        <w:t xml:space="preserve"> UPM S.A y BLANVIRA S.A.</w:t>
      </w:r>
      <w:r>
        <w:t>, tiene por objeto establecer los términos y condiciones para la compraventa de energía eléctrica entre UTE y UPM, en base a las obligaciones asumidas en el MOU, por el plazo de 20 años desde la fecha de inicio de las operaciones comerciales de la planta. UPM se obliga a  comprar y vender a UTE en régimen de exclusividad la energía consumida y entregada respectivamente, y por su parte UTE se compromete a comprar a UPM la energía entregada y suministrar a UPM la energía consumida, y ambos se obligan a abonar en término las correspondientes facturas (cláusula 5.3). Asimismo se prevé que UTE podrá solicitar y UPM podrá suministrar energía eléctrica generada a partir de combustibles no utilizados normalmente en la producción de pasta de celulosa (cláusulas 5.5 y 9)  y que si bien UPM deberá abonar los cargos por uso de las redes de trasmisión que le correspondan, UTE le reembolsará el 50% de los mismos hasta el año 2025 (cláusula 8);</w:t>
      </w:r>
    </w:p>
    <w:p w:rsidR="00C96EFD" w:rsidRDefault="00C96EFD" w:rsidP="001061AA">
      <w:pPr>
        <w:spacing w:line="360" w:lineRule="auto"/>
        <w:ind w:firstLine="2835"/>
        <w:jc w:val="both"/>
      </w:pPr>
      <w:r>
        <w:rPr>
          <w:b/>
        </w:rPr>
        <w:t>9</w:t>
      </w:r>
      <w:r w:rsidRPr="00B37DAA">
        <w:rPr>
          <w:b/>
        </w:rPr>
        <w:t>)</w:t>
      </w:r>
      <w:r>
        <w:t xml:space="preserve"> que por su parte el proyecto de Convenio de Uso para la conexión de BLANVIRA S.A. y CUECAR S.A. a las instalaciones del sistema de  transmisión de UTE, tiene por objeto establecer, sin perjuicio de la aplicabilidad de las normas reglamentarias vigentes, los requisitos técnicos y el equipamiento necesarios para establecer dicha conexión. Entrará en vigencia a partir de que UPM comunique a UTE que ha adoptado la decisión final de inversión positiva, de acuerdo con el contrato de inversión suscrito y hasta tanto subsistan las obligaciones emergentes del mismo, no pudiendo superar el plazo en 30 años. Las obligaciones de UPM se definen en tanto usuario del sistema de transmisión de energía, y las de UTE sustancialmente implican operar y mantener sus instalaciones afectadas a la conexión de modo de permitir la adecuada ejecución del convenio (Cláusulas 10 a 14);</w:t>
      </w:r>
    </w:p>
    <w:p w:rsidR="002663F6" w:rsidRDefault="00C96EFD" w:rsidP="001061AA">
      <w:pPr>
        <w:spacing w:line="360" w:lineRule="auto"/>
        <w:ind w:firstLine="2835"/>
        <w:jc w:val="both"/>
      </w:pPr>
      <w:r>
        <w:rPr>
          <w:b/>
        </w:rPr>
        <w:t>10</w:t>
      </w:r>
      <w:r w:rsidRPr="00B92BCF">
        <w:rPr>
          <w:b/>
        </w:rPr>
        <w:t>)</w:t>
      </w:r>
      <w:r>
        <w:rPr>
          <w:b/>
        </w:rPr>
        <w:t xml:space="preserve"> </w:t>
      </w:r>
      <w:r>
        <w:t>que el proyecto de Contrato de Obra a suscribir entre la administración actuante y CUECAR S.A., tiene por objeto convenir entre las partes la realización de Obras en la Red de Trasmisión de UTE en 150kV, a efectos de que UPM se conecte al “Sistema Interconectado Nacional”</w:t>
      </w:r>
      <w:r w:rsidRPr="00C176F4">
        <w:t xml:space="preserve"> </w:t>
      </w:r>
      <w:r>
        <w:t xml:space="preserve">y </w:t>
      </w:r>
      <w:r w:rsidRPr="00C176F4">
        <w:t>determinar el régimen de derechos y obligaciones que asume cada parte</w:t>
      </w:r>
      <w:r>
        <w:t>. UPM se obliga a ejecutar ciertas obras,</w:t>
      </w:r>
      <w:r w:rsidRPr="004369FD">
        <w:t xml:space="preserve"> </w:t>
      </w:r>
      <w:r>
        <w:t xml:space="preserve">así como asumir los costos derivados de las mismas, incluidos los costos de suministro de materiales y equipos, con la única excepción de los que asuma UTE expresamente. </w:t>
      </w:r>
      <w:r w:rsidRPr="001A56DC">
        <w:t>UTE</w:t>
      </w:r>
      <w:r>
        <w:t>, por su parte,</w:t>
      </w:r>
      <w:r w:rsidRPr="001A56DC">
        <w:t xml:space="preserve"> se obliga a e</w:t>
      </w:r>
      <w:r>
        <w:t>laborar el anteproyecto de conexión y las correspondientes especificaciones técnicas asociadas a los suministros y obras descriptas, realizar las actividades de ingeniería asociadas, aprobar o rechazar los documentos de proyecto y los materiales y equipos que suministre UPM, realizando las observaciones pertinentes. Se establece que</w:t>
      </w:r>
      <w:r w:rsidRPr="001A56DC">
        <w:t xml:space="preserve"> el contrato</w:t>
      </w:r>
      <w:r>
        <w:t xml:space="preserve"> </w:t>
      </w:r>
      <w:r w:rsidRPr="001A56DC">
        <w:t xml:space="preserve">entrará en vigencia a partir de </w:t>
      </w:r>
      <w:r>
        <w:t>su firma y la mantendrá por un plazo de 30 años;</w:t>
      </w:r>
    </w:p>
    <w:p w:rsidR="00C96EFD" w:rsidRDefault="00C96EFD" w:rsidP="001061AA">
      <w:pPr>
        <w:spacing w:line="360" w:lineRule="auto"/>
        <w:ind w:firstLine="2835"/>
        <w:jc w:val="both"/>
      </w:pPr>
      <w:r>
        <w:rPr>
          <w:b/>
        </w:rPr>
        <w:t>11</w:t>
      </w:r>
      <w:r w:rsidRPr="007B71A4">
        <w:rPr>
          <w:b/>
        </w:rPr>
        <w:t>)</w:t>
      </w:r>
      <w:r>
        <w:rPr>
          <w:b/>
        </w:rPr>
        <w:t xml:space="preserve"> </w:t>
      </w:r>
      <w:r>
        <w:t>que los tres proyectos de contrato remitidos establecen en las cláusulas relativas a la cesión de los mismos que “ninguna disposición del presente contrato impedirá que UPM venda, ceda, transfiera o disponga de algún modo su participación en el proyecto en cualquier momento, sin el consentimiento de UTE”. Asimismo, se prevé que UPM podrá requerir a UTE la aceptación de la cesión, comprometiéndose esta última a no rechazarla  en caso de que el cesionario sea una persona aceptable y/o afiliada a UPM, precisando qué se en</w:t>
      </w:r>
      <w:r w:rsidR="002663F6">
        <w:t>tiende por “persona aceptable”;</w:t>
      </w:r>
    </w:p>
    <w:p w:rsidR="00C96EFD" w:rsidRDefault="00C96EFD" w:rsidP="001061AA">
      <w:pPr>
        <w:spacing w:line="360" w:lineRule="auto"/>
        <w:ind w:firstLine="2835"/>
        <w:jc w:val="both"/>
      </w:pPr>
      <w:r>
        <w:rPr>
          <w:b/>
        </w:rPr>
        <w:t>12</w:t>
      </w:r>
      <w:r w:rsidRPr="00D2264C">
        <w:rPr>
          <w:b/>
        </w:rPr>
        <w:t>)</w:t>
      </w:r>
      <w:r>
        <w:rPr>
          <w:b/>
        </w:rPr>
        <w:t xml:space="preserve"> </w:t>
      </w:r>
      <w:r>
        <w:t>que asimismo los proyectos de contrato remitidos (especialmente el de Compraventa de Energía y el Convenio de Uso) quedarán sin efecto que en caso de que UPM no tome una decisión final de inversión positiva antes del 15 de febrero de 2020. En el caso del Contrato de Obra, se prevé que su vigencia comience a partir de su suscripción, pero las obligaciones solo se harán exigibles en el caso de que UPM resuelva  realizar la inversión final;</w:t>
      </w:r>
    </w:p>
    <w:p w:rsidR="00C96EFD" w:rsidRDefault="00C96EFD" w:rsidP="001061AA">
      <w:pPr>
        <w:spacing w:line="360" w:lineRule="auto"/>
        <w:ind w:firstLine="2835"/>
        <w:jc w:val="both"/>
      </w:pPr>
      <w:r>
        <w:rPr>
          <w:b/>
        </w:rPr>
        <w:t>13</w:t>
      </w:r>
      <w:r w:rsidRPr="00D2264C">
        <w:rPr>
          <w:b/>
        </w:rPr>
        <w:t>)</w:t>
      </w:r>
      <w:r>
        <w:rPr>
          <w:b/>
        </w:rPr>
        <w:t xml:space="preserve"> </w:t>
      </w:r>
      <w:r>
        <w:t>que p</w:t>
      </w:r>
      <w:r w:rsidRPr="00DC4D45">
        <w:t xml:space="preserve">or informe de fecha </w:t>
      </w:r>
      <w:r>
        <w:t xml:space="preserve">3 de abril de 2018, la </w:t>
      </w:r>
      <w:r w:rsidRPr="00DC4D45">
        <w:t xml:space="preserve">Gerencia de Área Asesoría Técnica Jurídica </w:t>
      </w:r>
      <w:r>
        <w:t>del Ente expresa que los</w:t>
      </w:r>
      <w:r w:rsidRPr="00DC4D45">
        <w:t xml:space="preserve"> </w:t>
      </w:r>
      <w:r>
        <w:t xml:space="preserve">tres proyectos </w:t>
      </w:r>
      <w:r w:rsidRPr="00DC4D45">
        <w:t xml:space="preserve">de </w:t>
      </w:r>
      <w:r>
        <w:t>contrato remitidos, son consecuencia del acuerdo de inversión de fecha 7 de noviembre de 2017 firmado entre la República Oriental del Uruguay y UPM. Asimismo, luego de destacar algunos aspectos controvertidos, señala que los contratos se justifican “si y solo sí” se concreta la actividad promovida por el Poder Ejecutivo al suscribir el Convenio de Inversión, tratándose de un coligamiento contractual;</w:t>
      </w:r>
    </w:p>
    <w:p w:rsidR="00C96EFD" w:rsidRPr="002C20F0" w:rsidRDefault="00C96EFD" w:rsidP="001061AA">
      <w:pPr>
        <w:spacing w:line="360" w:lineRule="auto"/>
        <w:ind w:firstLine="2835"/>
        <w:jc w:val="both"/>
      </w:pPr>
      <w:r>
        <w:rPr>
          <w:b/>
        </w:rPr>
        <w:t>14</w:t>
      </w:r>
      <w:r w:rsidRPr="00D2264C">
        <w:rPr>
          <w:b/>
        </w:rPr>
        <w:t>)</w:t>
      </w:r>
      <w:r>
        <w:rPr>
          <w:b/>
        </w:rPr>
        <w:t xml:space="preserve"> </w:t>
      </w:r>
      <w:r>
        <w:t xml:space="preserve">que por Resolución Nº 18-769, de fecha 5 de abril de 2018,  </w:t>
      </w:r>
      <w:r w:rsidRPr="00B05195">
        <w:t xml:space="preserve">del Directorio de UTE </w:t>
      </w:r>
      <w:r>
        <w:t xml:space="preserve">autoriza </w:t>
      </w:r>
      <w:r w:rsidRPr="00B05195">
        <w:t>la suscripción con UPM</w:t>
      </w:r>
      <w:r>
        <w:t xml:space="preserve"> PULP OY y sus afiliadas de un contrato de Compraventa de Energía E</w:t>
      </w:r>
      <w:r w:rsidRPr="00B05195">
        <w:t>l</w:t>
      </w:r>
      <w:r>
        <w:t>éctrica, un Convenio de U</w:t>
      </w:r>
      <w:r w:rsidRPr="00B05195">
        <w:t>so</w:t>
      </w:r>
      <w:r>
        <w:t xml:space="preserve"> y un Contrato de Obra al amparo de lo establecido en el Numeral 21 del Literal C) del Artículo 33 del TOCAF y ad referéndum de la intervención que le compete a este Tribunal. Asimismo, ordena el gasto vinculado a esta contratación por un importe de U$S 1.944.000.000 (mil novecientos cuarenta y cuatro millones de dólares estadounidenses), oficiando al MIEM y  declarando reservada dicha </w:t>
      </w:r>
      <w:r w:rsidRPr="00706968">
        <w:t>resolución y todos los documentos a que ella refiere</w:t>
      </w:r>
      <w:r>
        <w:t>,  (artículo 9 de la Ley Nº 18.381);</w:t>
      </w:r>
      <w:r>
        <w:rPr>
          <w:b/>
        </w:rPr>
        <w:t xml:space="preserve"> </w:t>
      </w:r>
    </w:p>
    <w:p w:rsidR="00C96EFD" w:rsidRDefault="00C96EFD" w:rsidP="001061AA">
      <w:pPr>
        <w:spacing w:line="360" w:lineRule="auto"/>
        <w:ind w:firstLine="851"/>
        <w:jc w:val="both"/>
        <w:rPr>
          <w:b/>
          <w:lang w:val="es-UY" w:eastAsia="es-UY"/>
        </w:rPr>
      </w:pPr>
      <w:r w:rsidRPr="006F4F4A">
        <w:rPr>
          <w:b/>
        </w:rPr>
        <w:t>CONSIDERANDO: 1)</w:t>
      </w:r>
      <w:r>
        <w:t xml:space="preserve"> </w:t>
      </w:r>
      <w:r w:rsidRPr="00C51694">
        <w:t>q</w:t>
      </w:r>
      <w:r>
        <w:t xml:space="preserve">ue de acuerdo con lo dispuesto por el Literal A) Artículo 4 de la Ley Nº 15.031 de fecha 4 de julio de 1980, en la redacción dada por el artículo 22 de la Ley Nº 16.832 de fecha 17 de junio de 1997, a la </w:t>
      </w:r>
      <w:r w:rsidRPr="00005A86">
        <w:rPr>
          <w:rFonts w:cs="Times New Roman"/>
        </w:rPr>
        <w:t>A</w:t>
      </w:r>
      <w:r>
        <w:rPr>
          <w:rFonts w:cs="Times New Roman"/>
        </w:rPr>
        <w:t>dministración de Usinas de Transmisiones Eléctricas</w:t>
      </w:r>
      <w:r>
        <w:t xml:space="preserve"> le compete: </w:t>
      </w:r>
      <w:r w:rsidRPr="00706968">
        <w:rPr>
          <w:i/>
        </w:rPr>
        <w:t>“generar, transformar, trasmitir, distribuir, exportar, importar y comercializar la energía eléctrica en las formas establecidas por la ley”</w:t>
      </w:r>
      <w:r>
        <w:t>, pudiendo a esos efectos “</w:t>
      </w:r>
      <w:r w:rsidRPr="00706968">
        <w:rPr>
          <w:i/>
        </w:rPr>
        <w:t>vincularse contractualmente con entidades públicas o privadas, nacionales o extranjeras, cumpliendo con las disposiciones constitucionales y legales vigentes en materia de contratación estatal”</w:t>
      </w:r>
      <w:r>
        <w:t>. Asimismo, el literal I) del artículo citado, establece específicamente que el Ente está facultado a comprar y vender energía eléctrica “</w:t>
      </w:r>
      <w:r w:rsidRPr="00706968">
        <w:rPr>
          <w:i/>
        </w:rPr>
        <w:t>a empresas autorizadas a funcionar con sus centrales generadoras”;</w:t>
      </w:r>
    </w:p>
    <w:p w:rsidR="00C96EFD" w:rsidRDefault="00C96EFD" w:rsidP="001061AA">
      <w:pPr>
        <w:tabs>
          <w:tab w:val="left" w:pos="3480"/>
        </w:tabs>
        <w:spacing w:line="360" w:lineRule="auto"/>
        <w:ind w:firstLine="2977"/>
        <w:jc w:val="both"/>
      </w:pPr>
      <w:r>
        <w:rPr>
          <w:b/>
          <w:lang w:val="es-UY"/>
        </w:rPr>
        <w:t>2</w:t>
      </w:r>
      <w:r w:rsidRPr="004753D0">
        <w:rPr>
          <w:b/>
          <w:lang w:val="es-UY"/>
        </w:rPr>
        <w:t>)</w:t>
      </w:r>
      <w:r>
        <w:rPr>
          <w:b/>
          <w:lang w:val="es-UY"/>
        </w:rPr>
        <w:t xml:space="preserve"> </w:t>
      </w:r>
      <w:r w:rsidRPr="009E1300">
        <w:t>que</w:t>
      </w:r>
      <w:r>
        <w:t xml:space="preserve"> </w:t>
      </w:r>
      <w:r w:rsidRPr="009E1300">
        <w:t xml:space="preserve"> </w:t>
      </w:r>
      <w:r>
        <w:t>el Artículo 11 de la L</w:t>
      </w:r>
      <w:r w:rsidRPr="009E1300">
        <w:t xml:space="preserve">ey </w:t>
      </w:r>
      <w:r>
        <w:t xml:space="preserve">Nº </w:t>
      </w:r>
      <w:r w:rsidRPr="009E1300">
        <w:t>16.832</w:t>
      </w:r>
      <w:r>
        <w:t xml:space="preserve">, creó </w:t>
      </w:r>
      <w:r w:rsidRPr="00C176F4">
        <w:rPr>
          <w:i/>
        </w:rPr>
        <w:t xml:space="preserve">“un mercado mayorista de energía eléctrica que funcionará en las etapas de generación y consumo, con uso compartido del sistema de transmisión y régimen de libre acceso y de competencia para el suministro a los distribuidores y grandes consumidores”, </w:t>
      </w:r>
      <w:r w:rsidRPr="001820FB">
        <w:t xml:space="preserve">y establece asimismo </w:t>
      </w:r>
      <w:r w:rsidRPr="00C176F4">
        <w:rPr>
          <w:i/>
        </w:rPr>
        <w:t>que “los generadores</w:t>
      </w:r>
      <w:r>
        <w:rPr>
          <w:i/>
        </w:rPr>
        <w:t xml:space="preserve"> podrán celebrar</w:t>
      </w:r>
      <w:r w:rsidRPr="00C176F4">
        <w:rPr>
          <w:i/>
        </w:rPr>
        <w:t xml:space="preserve"> contratos de suministros directamente con distribuidores y grandes consumidores</w:t>
      </w:r>
      <w:r>
        <w:t>”. Dicha disposición es  aplicable  a UTE, en su calidad de  generador y distribuidor de energía eléctrica;</w:t>
      </w:r>
    </w:p>
    <w:p w:rsidR="00C96EFD" w:rsidRDefault="00C96EFD" w:rsidP="001061AA">
      <w:pPr>
        <w:tabs>
          <w:tab w:val="left" w:pos="3480"/>
        </w:tabs>
        <w:spacing w:line="360" w:lineRule="auto"/>
        <w:ind w:firstLine="2977"/>
        <w:jc w:val="both"/>
        <w:rPr>
          <w:lang w:val="es-UY"/>
        </w:rPr>
      </w:pPr>
      <w:r>
        <w:rPr>
          <w:b/>
          <w:bCs/>
        </w:rPr>
        <w:t xml:space="preserve">3) </w:t>
      </w:r>
      <w:r>
        <w:rPr>
          <w:bCs/>
        </w:rPr>
        <w:t xml:space="preserve">que el gasto remitido en esta instancia, tal como lo expresa la administración actuante, deriva del </w:t>
      </w:r>
      <w:r w:rsidRPr="00DC7C6B">
        <w:rPr>
          <w:bCs/>
        </w:rPr>
        <w:t>Memorándum de Ent</w:t>
      </w:r>
      <w:r>
        <w:rPr>
          <w:bCs/>
        </w:rPr>
        <w:t xml:space="preserve">endimiento de Energía Eléctrica (MOU), ya </w:t>
      </w:r>
      <w:r w:rsidRPr="00DC7C6B">
        <w:t>suscrito</w:t>
      </w:r>
      <w:r>
        <w:t xml:space="preserve"> entre UTE,</w:t>
      </w:r>
      <w:r w:rsidRPr="00DC7C6B">
        <w:t xml:space="preserve"> el MIEM y UPM PULP OY </w:t>
      </w:r>
      <w:r>
        <w:t>con fecha 7 de noviembre de 2017, que es parte integrante del</w:t>
      </w:r>
      <w:r w:rsidRPr="00DC7C6B">
        <w:rPr>
          <w:bCs/>
        </w:rPr>
        <w:t xml:space="preserve"> Anexo 6 del </w:t>
      </w:r>
      <w:r>
        <w:rPr>
          <w:bCs/>
        </w:rPr>
        <w:t>A</w:t>
      </w:r>
      <w:r w:rsidRPr="00DC7C6B">
        <w:rPr>
          <w:bCs/>
        </w:rPr>
        <w:t xml:space="preserve">cuerdo de </w:t>
      </w:r>
      <w:r>
        <w:rPr>
          <w:bCs/>
        </w:rPr>
        <w:t>I</w:t>
      </w:r>
      <w:r w:rsidRPr="00DC7C6B">
        <w:rPr>
          <w:bCs/>
        </w:rPr>
        <w:t>nversión</w:t>
      </w:r>
      <w:r w:rsidRPr="00DC7C6B">
        <w:t xml:space="preserve"> celebrado entre la República Oriental del Uruguay y UPM </w:t>
      </w:r>
      <w:r>
        <w:t>en la</w:t>
      </w:r>
      <w:r w:rsidRPr="00DC7C6B">
        <w:t xml:space="preserve"> </w:t>
      </w:r>
      <w:r>
        <w:t>misma fecha, que no fue sometido a la intervención previa de legalidad que constitucionalmente le compete a este Tribunal;</w:t>
      </w:r>
    </w:p>
    <w:p w:rsidR="00C96EFD" w:rsidRDefault="00C96EFD" w:rsidP="001061AA">
      <w:pPr>
        <w:tabs>
          <w:tab w:val="left" w:pos="3480"/>
        </w:tabs>
        <w:spacing w:line="360" w:lineRule="auto"/>
        <w:ind w:firstLine="2977"/>
        <w:jc w:val="both"/>
      </w:pPr>
      <w:r>
        <w:rPr>
          <w:b/>
          <w:lang w:val="es-UY"/>
        </w:rPr>
        <w:t>4</w:t>
      </w:r>
      <w:r w:rsidRPr="002C6B6A">
        <w:rPr>
          <w:b/>
          <w:lang w:val="es-UY"/>
        </w:rPr>
        <w:t>)</w:t>
      </w:r>
      <w:r>
        <w:rPr>
          <w:lang w:val="es-UY"/>
        </w:rPr>
        <w:t xml:space="preserve"> que en consecuencia, </w:t>
      </w:r>
      <w:r>
        <w:t>este dictamen refiere únicamente a los tres proyectos de  contrato remitidos en la oportunidad y a las erogaciones emergentes;</w:t>
      </w:r>
    </w:p>
    <w:p w:rsidR="00C96EFD" w:rsidRDefault="00C96EFD" w:rsidP="001061AA">
      <w:pPr>
        <w:tabs>
          <w:tab w:val="left" w:pos="3480"/>
        </w:tabs>
        <w:spacing w:line="360" w:lineRule="auto"/>
        <w:ind w:firstLine="2977"/>
        <w:jc w:val="both"/>
      </w:pPr>
      <w:r>
        <w:rPr>
          <w:b/>
          <w:bCs/>
        </w:rPr>
        <w:t xml:space="preserve">5) </w:t>
      </w:r>
      <w:r>
        <w:rPr>
          <w:bCs/>
        </w:rPr>
        <w:t>que el Contrato de Compraventa</w:t>
      </w:r>
      <w:r w:rsidRPr="00947F14">
        <w:t xml:space="preserve"> </w:t>
      </w:r>
      <w:r>
        <w:t>de Energía y al Contrato de Uso (accesorio al primero) a suscribir por UTE con</w:t>
      </w:r>
      <w:r w:rsidRPr="00077756">
        <w:t xml:space="preserve"> UPM</w:t>
      </w:r>
      <w:r>
        <w:t>,  e</w:t>
      </w:r>
      <w:r>
        <w:rPr>
          <w:bCs/>
        </w:rPr>
        <w:t>ncuadran  la causal de excepción contenida en el Numeral 21) del Literal C) del</w:t>
      </w:r>
      <w:r w:rsidRPr="00F51FF5">
        <w:rPr>
          <w:bCs/>
        </w:rPr>
        <w:t xml:space="preserve"> </w:t>
      </w:r>
      <w:r>
        <w:rPr>
          <w:bCs/>
        </w:rPr>
        <w:t xml:space="preserve">Artículo </w:t>
      </w:r>
      <w:r w:rsidRPr="00F51FF5">
        <w:rPr>
          <w:bCs/>
        </w:rPr>
        <w:t>33 del TOCAF</w:t>
      </w:r>
      <w:r>
        <w:rPr>
          <w:bCs/>
        </w:rPr>
        <w:t xml:space="preserve">, en tanto faculta a UTE a adquirir directamente </w:t>
      </w:r>
      <w:r w:rsidRPr="00D5544B">
        <w:rPr>
          <w:bCs/>
          <w:i/>
        </w:rPr>
        <w:t>“la energía generada por otros agentes en territorio nacional, de conformidad con la reglamentación que dicte el Poder Ejecutivo”</w:t>
      </w:r>
      <w:r w:rsidR="002663F6">
        <w:t>;</w:t>
      </w:r>
    </w:p>
    <w:p w:rsidR="00C96EFD" w:rsidRDefault="00C96EFD" w:rsidP="001061AA">
      <w:pPr>
        <w:tabs>
          <w:tab w:val="left" w:pos="3480"/>
        </w:tabs>
        <w:spacing w:line="360" w:lineRule="auto"/>
        <w:ind w:firstLine="2977"/>
        <w:jc w:val="both"/>
      </w:pPr>
      <w:r>
        <w:rPr>
          <w:b/>
        </w:rPr>
        <w:t>6</w:t>
      </w:r>
      <w:r w:rsidRPr="00947F14">
        <w:rPr>
          <w:b/>
        </w:rPr>
        <w:t>)</w:t>
      </w:r>
      <w:r>
        <w:rPr>
          <w:b/>
        </w:rPr>
        <w:t xml:space="preserve"> </w:t>
      </w:r>
      <w:r>
        <w:t xml:space="preserve">que no obstante lo anterior, </w:t>
      </w:r>
      <w:r>
        <w:rPr>
          <w:bCs/>
        </w:rPr>
        <w:t xml:space="preserve">la Administración invoca la misma causal para la selección directa del </w:t>
      </w:r>
      <w:proofErr w:type="spellStart"/>
      <w:r>
        <w:rPr>
          <w:bCs/>
        </w:rPr>
        <w:t>co</w:t>
      </w:r>
      <w:proofErr w:type="spellEnd"/>
      <w:r>
        <w:rPr>
          <w:bCs/>
        </w:rPr>
        <w:t>-contratante en el Contrato de Obra que estará a cargo de CUECAR S.A., que no implica compraventa de energía y que, por tanto, no encuadra en dicha causal. En mérito a ello, tratándose de una contratación administrativa, debe regirse por la normativa vigente en la materia (Artícul</w:t>
      </w:r>
      <w:r w:rsidR="002663F6">
        <w:rPr>
          <w:bCs/>
        </w:rPr>
        <w:t>o 33 y concordantes del TOCAF);</w:t>
      </w:r>
    </w:p>
    <w:p w:rsidR="00C96EFD" w:rsidRDefault="00C96EFD" w:rsidP="001061AA">
      <w:pPr>
        <w:tabs>
          <w:tab w:val="left" w:pos="3480"/>
        </w:tabs>
        <w:spacing w:line="360" w:lineRule="auto"/>
        <w:ind w:firstLine="2977"/>
        <w:jc w:val="both"/>
      </w:pPr>
      <w:r>
        <w:rPr>
          <w:b/>
          <w:lang w:val="es-UY"/>
        </w:rPr>
        <w:t>7</w:t>
      </w:r>
      <w:r w:rsidRPr="003013E6">
        <w:rPr>
          <w:b/>
          <w:lang w:val="es-UY"/>
        </w:rPr>
        <w:t>)</w:t>
      </w:r>
      <w:r>
        <w:rPr>
          <w:lang w:val="es-UY"/>
        </w:rPr>
        <w:t xml:space="preserve"> que</w:t>
      </w:r>
      <w:r>
        <w:t xml:space="preserve"> la L</w:t>
      </w:r>
      <w:r w:rsidRPr="00EF2E37">
        <w:t xml:space="preserve">ey </w:t>
      </w:r>
      <w:r>
        <w:t xml:space="preserve">Nº </w:t>
      </w:r>
      <w:r w:rsidRPr="00EF2E37">
        <w:t>18.159 de</w:t>
      </w:r>
      <w:r>
        <w:t>l</w:t>
      </w:r>
      <w:r w:rsidRPr="00EF2E37">
        <w:t xml:space="preserve"> 20 de julio de 2007</w:t>
      </w:r>
      <w:r>
        <w:t xml:space="preserve">, que es de orden público y tiene por objeto la promoción y defensa de la libre competencia en el comercio, </w:t>
      </w:r>
      <w:r w:rsidRPr="00EF2E37">
        <w:t xml:space="preserve">establece </w:t>
      </w:r>
      <w:r>
        <w:t xml:space="preserve">en su Artículo 27 </w:t>
      </w:r>
      <w:r w:rsidRPr="00EF2E37">
        <w:t>que</w:t>
      </w:r>
      <w:r w:rsidRPr="002B1014">
        <w:rPr>
          <w:i/>
        </w:rPr>
        <w:t>, “en los sectores que están sometidos al control o superintendencia de órganos reguladores especializados”</w:t>
      </w:r>
      <w:r>
        <w:t xml:space="preserve">, </w:t>
      </w:r>
      <w:r w:rsidRPr="002B1014">
        <w:rPr>
          <w:i/>
        </w:rPr>
        <w:t>“la protección y competencia estará a cargo de dichos órganos”</w:t>
      </w:r>
      <w:r>
        <w:t xml:space="preserve">. Asimismo, </w:t>
      </w:r>
      <w:r w:rsidRPr="005B0911">
        <w:t xml:space="preserve">de acuerdo a lo dispuesto por el </w:t>
      </w:r>
      <w:r>
        <w:t>A</w:t>
      </w:r>
      <w:r w:rsidRPr="005B0911">
        <w:t>rtícu</w:t>
      </w:r>
      <w:r>
        <w:t>lo 1 de la L</w:t>
      </w:r>
      <w:r w:rsidRPr="005B0911">
        <w:t xml:space="preserve">ey </w:t>
      </w:r>
      <w:r>
        <w:t>Nº</w:t>
      </w:r>
      <w:r w:rsidRPr="005B0911">
        <w:t>17.598 de fecha 13 de diciembre de 2002, la Unidad Reguladora de Servi</w:t>
      </w:r>
      <w:r>
        <w:t xml:space="preserve">cios de Energía y Agua (URSEA) </w:t>
      </w:r>
      <w:r w:rsidRPr="005B0911">
        <w:t xml:space="preserve">es competente en la regulación en materia de calidad, seguridad, defensa del consumidor y posterior fiscalización en </w:t>
      </w:r>
      <w:r>
        <w:t xml:space="preserve">todas </w:t>
      </w:r>
      <w:r w:rsidRPr="005B0911">
        <w:t>las actividades refer</w:t>
      </w:r>
      <w:r w:rsidR="001061AA">
        <w:t>idas a la energía eléctrica;</w:t>
      </w:r>
    </w:p>
    <w:p w:rsidR="00C96EFD" w:rsidRDefault="00C96EFD" w:rsidP="001061AA">
      <w:pPr>
        <w:tabs>
          <w:tab w:val="left" w:pos="3480"/>
        </w:tabs>
        <w:spacing w:line="360" w:lineRule="auto"/>
        <w:ind w:firstLine="851"/>
        <w:jc w:val="both"/>
        <w:rPr>
          <w:rFonts w:cs="Times New Roman"/>
          <w:spacing w:val="-3"/>
          <w:lang w:val="es-ES_tradnl"/>
        </w:rPr>
      </w:pPr>
      <w:r w:rsidRPr="007B71A4">
        <w:rPr>
          <w:rFonts w:cs="Times New Roman"/>
          <w:b/>
          <w:spacing w:val="-3"/>
          <w:lang w:val="es-ES_tradnl"/>
        </w:rPr>
        <w:t>ATENTO:</w:t>
      </w:r>
      <w:r w:rsidRPr="007B71A4">
        <w:rPr>
          <w:rFonts w:cs="Times New Roman"/>
          <w:spacing w:val="-3"/>
          <w:lang w:val="es-ES_tradnl"/>
        </w:rPr>
        <w:t xml:space="preserve"> a lo precedentemente expue</w:t>
      </w:r>
      <w:r>
        <w:rPr>
          <w:rFonts w:cs="Times New Roman"/>
          <w:spacing w:val="-3"/>
          <w:lang w:val="es-ES_tradnl"/>
        </w:rPr>
        <w:t xml:space="preserve">sto, a lo dispuesto por el Artículo </w:t>
      </w:r>
      <w:r w:rsidRPr="007B71A4">
        <w:rPr>
          <w:rFonts w:cs="Times New Roman"/>
          <w:spacing w:val="-3"/>
          <w:lang w:val="es-ES_tradnl"/>
        </w:rPr>
        <w:t>211 Literal</w:t>
      </w:r>
      <w:r>
        <w:rPr>
          <w:rFonts w:cs="Times New Roman"/>
          <w:spacing w:val="-3"/>
          <w:lang w:val="es-ES_tradnl"/>
        </w:rPr>
        <w:t>es</w:t>
      </w:r>
      <w:r w:rsidRPr="007B71A4">
        <w:rPr>
          <w:rFonts w:cs="Times New Roman"/>
          <w:spacing w:val="-3"/>
          <w:lang w:val="es-ES_tradnl"/>
        </w:rPr>
        <w:t xml:space="preserve"> B)</w:t>
      </w:r>
      <w:r>
        <w:rPr>
          <w:rFonts w:cs="Times New Roman"/>
          <w:spacing w:val="-3"/>
          <w:lang w:val="es-ES_tradnl"/>
        </w:rPr>
        <w:t xml:space="preserve"> y E), el Artículo 228 y el Artículo 311 Numeral 2º</w:t>
      </w:r>
      <w:r w:rsidRPr="007B71A4">
        <w:rPr>
          <w:rFonts w:cs="Times New Roman"/>
          <w:spacing w:val="-3"/>
          <w:lang w:val="es-ES_tradnl"/>
        </w:rPr>
        <w:t xml:space="preserve"> de la Constitución de la </w:t>
      </w:r>
      <w:r>
        <w:rPr>
          <w:rFonts w:cs="Times New Roman"/>
          <w:spacing w:val="-3"/>
          <w:lang w:val="es-ES_tradnl"/>
        </w:rPr>
        <w:t>República;</w:t>
      </w:r>
    </w:p>
    <w:p w:rsidR="00C96EFD" w:rsidRDefault="00C96EFD" w:rsidP="00C96EFD">
      <w:pPr>
        <w:tabs>
          <w:tab w:val="left" w:pos="3480"/>
        </w:tabs>
        <w:spacing w:line="360" w:lineRule="auto"/>
        <w:jc w:val="center"/>
        <w:rPr>
          <w:rFonts w:cs="Times New Roman"/>
          <w:b/>
        </w:rPr>
      </w:pPr>
      <w:r>
        <w:rPr>
          <w:rFonts w:cs="Times New Roman"/>
          <w:b/>
        </w:rPr>
        <w:t>EL TRIBUNAL ACUERDA</w:t>
      </w:r>
    </w:p>
    <w:p w:rsidR="00C96EFD" w:rsidRDefault="00C96EFD" w:rsidP="00C96EFD">
      <w:pPr>
        <w:tabs>
          <w:tab w:val="left" w:pos="3480"/>
        </w:tabs>
        <w:spacing w:line="360" w:lineRule="auto"/>
        <w:ind w:left="284" w:hanging="284"/>
        <w:jc w:val="both"/>
        <w:rPr>
          <w:rFonts w:cs="Times New Roman"/>
          <w:lang w:val="es-ES_tradnl"/>
        </w:rPr>
      </w:pPr>
      <w:r w:rsidRPr="0022145D">
        <w:rPr>
          <w:rFonts w:cs="Times New Roman"/>
          <w:b/>
        </w:rPr>
        <w:t>1)</w:t>
      </w:r>
      <w:r>
        <w:rPr>
          <w:rFonts w:cs="Times New Roman"/>
        </w:rPr>
        <w:t xml:space="preserve"> </w:t>
      </w:r>
      <w:r w:rsidRPr="00E23949">
        <w:rPr>
          <w:rFonts w:cs="Times New Roman"/>
        </w:rPr>
        <w:t xml:space="preserve">Observar </w:t>
      </w:r>
      <w:r>
        <w:rPr>
          <w:rFonts w:cs="Times New Roman"/>
        </w:rPr>
        <w:t>el procedimiento y el gasto resultante del mismo, por lo señalado en el Considerando 6º de la presente resolución;</w:t>
      </w:r>
    </w:p>
    <w:p w:rsidR="00C96EFD" w:rsidRPr="002B1014" w:rsidRDefault="00C96EFD" w:rsidP="00C96EFD">
      <w:pPr>
        <w:tabs>
          <w:tab w:val="left" w:pos="3480"/>
        </w:tabs>
        <w:spacing w:line="360" w:lineRule="auto"/>
        <w:ind w:left="284" w:hanging="284"/>
        <w:jc w:val="both"/>
        <w:rPr>
          <w:rFonts w:cs="Times New Roman"/>
          <w:lang w:val="es-UY"/>
        </w:rPr>
      </w:pPr>
      <w:r>
        <w:rPr>
          <w:rFonts w:cs="Times New Roman"/>
          <w:b/>
          <w:lang w:val="es-ES_tradnl"/>
        </w:rPr>
        <w:t>2</w:t>
      </w:r>
      <w:r w:rsidRPr="002B1014">
        <w:rPr>
          <w:rFonts w:cs="Times New Roman"/>
          <w:b/>
        </w:rPr>
        <w:t xml:space="preserve">) </w:t>
      </w:r>
      <w:r w:rsidRPr="002B1014">
        <w:rPr>
          <w:rFonts w:cs="Times New Roman"/>
        </w:rPr>
        <w:t xml:space="preserve">Oficiar a la </w:t>
      </w:r>
      <w:r w:rsidRPr="002B1014">
        <w:rPr>
          <w:rFonts w:cs="Times New Roman"/>
          <w:lang w:val="es-UY"/>
        </w:rPr>
        <w:t>Unidad Reguladora de Servicios de Energía y Agua (URSEA)</w:t>
      </w:r>
      <w:r>
        <w:rPr>
          <w:rFonts w:cs="Times New Roman"/>
          <w:lang w:val="es-UY"/>
        </w:rPr>
        <w:t>,</w:t>
      </w:r>
      <w:r w:rsidRPr="002B1014">
        <w:rPr>
          <w:rFonts w:cs="Times New Roman"/>
          <w:lang w:val="es-UY"/>
        </w:rPr>
        <w:t xml:space="preserve"> a </w:t>
      </w:r>
      <w:r>
        <w:rPr>
          <w:rFonts w:cs="Times New Roman"/>
          <w:lang w:val="es-UY"/>
        </w:rPr>
        <w:t>sus</w:t>
      </w:r>
      <w:r w:rsidRPr="002B1014">
        <w:rPr>
          <w:rFonts w:cs="Times New Roman"/>
          <w:lang w:val="es-UY"/>
        </w:rPr>
        <w:t xml:space="preserve"> efectos</w:t>
      </w:r>
      <w:r>
        <w:rPr>
          <w:rFonts w:cs="Times New Roman"/>
          <w:lang w:val="es-UY"/>
        </w:rPr>
        <w:t xml:space="preserve"> (Considerando 7º);</w:t>
      </w:r>
    </w:p>
    <w:p w:rsidR="00C96EFD" w:rsidRDefault="00C96EFD" w:rsidP="00C96EFD">
      <w:pPr>
        <w:tabs>
          <w:tab w:val="left" w:pos="3480"/>
        </w:tabs>
        <w:spacing w:line="360" w:lineRule="auto"/>
        <w:ind w:left="284" w:hanging="284"/>
        <w:jc w:val="both"/>
        <w:rPr>
          <w:rFonts w:cs="Times New Roman"/>
          <w:lang w:val="es-ES_tradnl"/>
        </w:rPr>
      </w:pPr>
      <w:r>
        <w:rPr>
          <w:rFonts w:cs="Times New Roman"/>
          <w:b/>
          <w:lang w:val="es-ES_tradnl"/>
        </w:rPr>
        <w:t>3</w:t>
      </w:r>
      <w:r w:rsidRPr="002B1014">
        <w:rPr>
          <w:rFonts w:cs="Times New Roman"/>
          <w:b/>
          <w:lang w:val="es-ES_tradnl"/>
        </w:rPr>
        <w:t xml:space="preserve">) </w:t>
      </w:r>
      <w:r>
        <w:rPr>
          <w:rFonts w:cs="Times New Roman"/>
          <w:lang w:val="es-ES_tradnl"/>
        </w:rPr>
        <w:t>Comunicar al Contador Delegado; y</w:t>
      </w:r>
    </w:p>
    <w:p w:rsidR="00370455" w:rsidRDefault="00C96EFD" w:rsidP="00C96EFD">
      <w:pPr>
        <w:widowControl w:val="0"/>
        <w:tabs>
          <w:tab w:val="left" w:pos="2977"/>
          <w:tab w:val="left" w:pos="3480"/>
        </w:tabs>
        <w:spacing w:line="360" w:lineRule="auto"/>
        <w:ind w:left="284" w:hanging="284"/>
        <w:jc w:val="both"/>
        <w:rPr>
          <w:lang w:val="es-ES_tradnl"/>
        </w:rPr>
      </w:pPr>
      <w:r w:rsidRPr="0035288E">
        <w:rPr>
          <w:rFonts w:cs="Times New Roman"/>
          <w:b/>
          <w:lang w:val="es-ES_tradnl"/>
        </w:rPr>
        <w:t xml:space="preserve">4) </w:t>
      </w:r>
      <w:r w:rsidRPr="002B1014">
        <w:rPr>
          <w:rFonts w:cs="Times New Roman"/>
          <w:lang w:val="es-ES_tradnl"/>
        </w:rPr>
        <w:t>Devolver las actuaciones.</w:t>
      </w:r>
    </w:p>
    <w:p w:rsidR="00C96EFD" w:rsidRDefault="00C96EFD" w:rsidP="00C96EFD">
      <w:pPr>
        <w:widowControl w:val="0"/>
        <w:tabs>
          <w:tab w:val="left" w:pos="2977"/>
          <w:tab w:val="left" w:pos="3480"/>
        </w:tabs>
        <w:spacing w:line="360" w:lineRule="auto"/>
        <w:ind w:left="284" w:hanging="284"/>
        <w:rPr>
          <w:rFonts w:cs="Times New Roman"/>
          <w:lang w:val="es-ES_tradnl"/>
        </w:rPr>
      </w:pPr>
    </w:p>
    <w:p w:rsidR="00C96EFD" w:rsidRDefault="00C96EFD" w:rsidP="00C96EFD">
      <w:pPr>
        <w:widowControl w:val="0"/>
        <w:tabs>
          <w:tab w:val="left" w:pos="2977"/>
          <w:tab w:val="left" w:pos="3480"/>
        </w:tabs>
        <w:spacing w:line="360" w:lineRule="auto"/>
        <w:ind w:left="284" w:hanging="284"/>
        <w:rPr>
          <w:rFonts w:cs="Times New Roman"/>
          <w:lang w:val="es-ES_tradnl"/>
        </w:rPr>
      </w:pPr>
      <w:proofErr w:type="spellStart"/>
      <w:proofErr w:type="gramStart"/>
      <w:r>
        <w:rPr>
          <w:rFonts w:cs="Times New Roman"/>
          <w:lang w:val="es-ES_tradnl"/>
        </w:rPr>
        <w:t>aa</w:t>
      </w:r>
      <w:proofErr w:type="spellEnd"/>
      <w:proofErr w:type="gramEnd"/>
    </w:p>
    <w:p w:rsidR="00C96EFD" w:rsidRDefault="00C96EFD" w:rsidP="00C96EFD">
      <w:pPr>
        <w:widowControl w:val="0"/>
        <w:tabs>
          <w:tab w:val="left" w:pos="2977"/>
          <w:tab w:val="left" w:pos="3480"/>
        </w:tabs>
        <w:spacing w:line="360" w:lineRule="auto"/>
        <w:ind w:left="284" w:hanging="284"/>
        <w:rPr>
          <w:rFonts w:cs="Times New Roman"/>
          <w:lang w:val="es-ES_tradnl"/>
        </w:rPr>
      </w:pPr>
    </w:p>
    <w:p w:rsidR="00C96EFD" w:rsidRDefault="00C96EFD" w:rsidP="00C96EFD">
      <w:pPr>
        <w:widowControl w:val="0"/>
        <w:tabs>
          <w:tab w:val="left" w:pos="2977"/>
          <w:tab w:val="left" w:pos="3480"/>
        </w:tabs>
        <w:spacing w:line="360" w:lineRule="auto"/>
        <w:ind w:left="284" w:hanging="284"/>
        <w:rPr>
          <w:rFonts w:cs="Times New Roman"/>
          <w:lang w:val="es-ES_tradnl"/>
        </w:rPr>
      </w:pPr>
    </w:p>
    <w:p w:rsidR="00C96EFD" w:rsidRDefault="00C96EFD" w:rsidP="00C96EFD">
      <w:pPr>
        <w:widowControl w:val="0"/>
        <w:tabs>
          <w:tab w:val="left" w:pos="2977"/>
          <w:tab w:val="left" w:pos="3480"/>
        </w:tabs>
        <w:spacing w:line="360" w:lineRule="auto"/>
        <w:ind w:left="284" w:hanging="284"/>
        <w:rPr>
          <w:lang w:val="es-ES_tradnl"/>
        </w:rPr>
      </w:pPr>
    </w:p>
    <w:p w:rsidR="00C96EFD" w:rsidRDefault="00C96EFD" w:rsidP="00D71A3A">
      <w:pPr>
        <w:spacing w:line="360" w:lineRule="auto"/>
        <w:jc w:val="both"/>
        <w:rPr>
          <w:lang w:val="es-UY"/>
        </w:rPr>
      </w:pPr>
    </w:p>
    <w:p w:rsidR="00BC19F7" w:rsidRPr="00BC19F7" w:rsidRDefault="00C96EFD" w:rsidP="00BC19F7">
      <w:pPr>
        <w:spacing w:line="360" w:lineRule="auto"/>
        <w:jc w:val="both"/>
      </w:pPr>
      <w:r w:rsidRPr="00E9382D">
        <w:rPr>
          <w:b/>
          <w:lang w:val="es-UY"/>
        </w:rPr>
        <w:t>CON</w:t>
      </w:r>
      <w:r>
        <w:rPr>
          <w:b/>
          <w:lang w:val="es-UY"/>
        </w:rPr>
        <w:t>S</w:t>
      </w:r>
      <w:r w:rsidRPr="00E9382D">
        <w:rPr>
          <w:b/>
          <w:lang w:val="es-UY"/>
        </w:rPr>
        <w:t>TANCIA DE FUNDAMENTO DE VOTO</w:t>
      </w:r>
      <w:r>
        <w:rPr>
          <w:b/>
          <w:lang w:val="es-UY"/>
        </w:rPr>
        <w:t xml:space="preserve"> DISCORDE</w:t>
      </w:r>
      <w:r w:rsidRPr="00E9382D">
        <w:rPr>
          <w:b/>
          <w:lang w:val="es-UY"/>
        </w:rPr>
        <w:t xml:space="preserve"> DE</w:t>
      </w:r>
      <w:r>
        <w:rPr>
          <w:b/>
          <w:lang w:val="es-UY"/>
        </w:rPr>
        <w:t xml:space="preserve"> </w:t>
      </w:r>
      <w:r w:rsidRPr="00E9382D">
        <w:rPr>
          <w:b/>
          <w:lang w:val="es-UY"/>
        </w:rPr>
        <w:t>L</w:t>
      </w:r>
      <w:r>
        <w:rPr>
          <w:b/>
          <w:lang w:val="es-UY"/>
        </w:rPr>
        <w:t>A</w:t>
      </w:r>
      <w:r w:rsidRPr="00E9382D">
        <w:rPr>
          <w:b/>
          <w:lang w:val="es-UY"/>
        </w:rPr>
        <w:t xml:space="preserve"> </w:t>
      </w:r>
      <w:r>
        <w:rPr>
          <w:b/>
          <w:lang w:val="es-UY"/>
        </w:rPr>
        <w:t>MINISTRA             CRA. DIANA MARCOS</w:t>
      </w:r>
      <w:r w:rsidRPr="005C0AC0">
        <w:rPr>
          <w:b/>
          <w:lang w:val="es-UY"/>
        </w:rPr>
        <w:t>:</w:t>
      </w:r>
      <w:r w:rsidR="00BC19F7" w:rsidRPr="00BC19F7">
        <w:rPr>
          <w:b/>
        </w:rPr>
        <w:t xml:space="preserve"> </w:t>
      </w:r>
      <w:r w:rsidR="00E36049" w:rsidRPr="002663F6">
        <w:t>“</w:t>
      </w:r>
      <w:r w:rsidR="00BC19F7" w:rsidRPr="00BC19F7">
        <w:t>Discrepo con la Observación de la Contr</w:t>
      </w:r>
      <w:r w:rsidR="002663F6">
        <w:t>atación Directa de CUECAR S.A.,</w:t>
      </w:r>
    </w:p>
    <w:p w:rsidR="00BC19F7" w:rsidRPr="00BC19F7" w:rsidRDefault="00BC19F7" w:rsidP="00BC19F7">
      <w:pPr>
        <w:spacing w:line="360" w:lineRule="auto"/>
        <w:jc w:val="both"/>
      </w:pPr>
      <w:r w:rsidRPr="00BC19F7">
        <w:t>CONSIDERANDO 6 de la Resolución.</w:t>
      </w:r>
    </w:p>
    <w:p w:rsidR="00BC19F7" w:rsidRPr="00BC19F7" w:rsidRDefault="00BC19F7" w:rsidP="00BC19F7">
      <w:pPr>
        <w:spacing w:line="360" w:lineRule="auto"/>
        <w:jc w:val="both"/>
      </w:pPr>
      <w:r w:rsidRPr="00BC19F7">
        <w:t xml:space="preserve"> La Administración invoca la misma causal para la selección directa del </w:t>
      </w:r>
      <w:proofErr w:type="spellStart"/>
      <w:r w:rsidRPr="00BC19F7">
        <w:t>co</w:t>
      </w:r>
      <w:proofErr w:type="spellEnd"/>
      <w:r w:rsidRPr="00BC19F7">
        <w:t>-contratante en el Contrato de Obra que estará a cargo de CUECAR SA, en tanto se trata de tres</w:t>
      </w:r>
      <w:r w:rsidR="002663F6">
        <w:t xml:space="preserve"> </w:t>
      </w:r>
      <w:r w:rsidRPr="00BC19F7">
        <w:t xml:space="preserve">(3) contratos coligados. A. Compra y Venta propiamente dicha, B. Obra, </w:t>
      </w:r>
      <w:proofErr w:type="gramStart"/>
      <w:r w:rsidRPr="00BC19F7">
        <w:t>C :Uso</w:t>
      </w:r>
      <w:proofErr w:type="gramEnd"/>
      <w:r w:rsidRPr="00BC19F7">
        <w:t>.</w:t>
      </w:r>
    </w:p>
    <w:p w:rsidR="00BC19F7" w:rsidRPr="00BC19F7" w:rsidRDefault="00BC19F7" w:rsidP="00BC19F7">
      <w:pPr>
        <w:spacing w:line="360" w:lineRule="auto"/>
        <w:jc w:val="both"/>
      </w:pPr>
      <w:r w:rsidRPr="00BC19F7">
        <w:t xml:space="preserve">Ello halla fundamento en que la finalidad última de los mismos es justamente la prevista en la excepción contenida en el Numeral 21) del Literal C) del artículo 33 del TOCAF, la facultad conferida a UTE para adquirir directamente </w:t>
      </w:r>
      <w:proofErr w:type="gramStart"/>
      <w:r w:rsidRPr="00BC19F7">
        <w:t>“ la</w:t>
      </w:r>
      <w:proofErr w:type="gramEnd"/>
      <w:r w:rsidRPr="00BC19F7">
        <w:t xml:space="preserve"> energía generada por otros agentes en territorio nacional, de conformidad con la reglamentación que dicte el Poder Ejecutivo.”</w:t>
      </w:r>
    </w:p>
    <w:p w:rsidR="00BC19F7" w:rsidRDefault="00BC19F7" w:rsidP="00BC19F7">
      <w:pPr>
        <w:spacing w:line="360" w:lineRule="auto"/>
        <w:jc w:val="both"/>
      </w:pPr>
      <w:r w:rsidRPr="00BC19F7">
        <w:t>Siendo todos contratos indisolublemente ligados, estos se documentan en forma separada pero deben ser interpretados armónicamente bajo la luz del Artículo  33 del TOCAF, siendo por  tanto improcedente su observación por haberse realizado en forma directa con la subsidiaria de UPM, CUECAR SA. Ello en consecuencia de una interpretación lógica del negocio jurídico realizado por el ESTADO.</w:t>
      </w:r>
      <w:r w:rsidR="00E36049">
        <w:t>”</w:t>
      </w:r>
    </w:p>
    <w:p w:rsidR="00E36049" w:rsidRDefault="00E36049" w:rsidP="00BC19F7">
      <w:pPr>
        <w:spacing w:line="360" w:lineRule="auto"/>
        <w:jc w:val="both"/>
      </w:pPr>
    </w:p>
    <w:p w:rsidR="00E36049" w:rsidRDefault="00E36049" w:rsidP="00BC19F7">
      <w:pPr>
        <w:spacing w:line="360" w:lineRule="auto"/>
        <w:jc w:val="both"/>
      </w:pPr>
    </w:p>
    <w:p w:rsidR="00E36049" w:rsidRDefault="00E36049" w:rsidP="00BC19F7">
      <w:pPr>
        <w:spacing w:line="360" w:lineRule="auto"/>
        <w:jc w:val="both"/>
      </w:pPr>
    </w:p>
    <w:p w:rsidR="00E36049" w:rsidRPr="00BC19F7" w:rsidRDefault="00E36049" w:rsidP="00BC19F7">
      <w:pPr>
        <w:spacing w:line="360" w:lineRule="auto"/>
        <w:jc w:val="both"/>
      </w:pPr>
    </w:p>
    <w:p w:rsidR="00E36049" w:rsidRPr="00E36049" w:rsidRDefault="00C96EFD" w:rsidP="00E36049">
      <w:pPr>
        <w:spacing w:line="360" w:lineRule="auto"/>
        <w:jc w:val="both"/>
        <w:rPr>
          <w:b/>
        </w:rPr>
      </w:pPr>
      <w:r w:rsidRPr="00E9382D">
        <w:rPr>
          <w:b/>
          <w:lang w:val="es-UY"/>
        </w:rPr>
        <w:t>CON</w:t>
      </w:r>
      <w:r>
        <w:rPr>
          <w:b/>
          <w:lang w:val="es-UY"/>
        </w:rPr>
        <w:t>S</w:t>
      </w:r>
      <w:r w:rsidRPr="00E9382D">
        <w:rPr>
          <w:b/>
          <w:lang w:val="es-UY"/>
        </w:rPr>
        <w:t xml:space="preserve">TANCIA DE FUNDAMENTO DE VOTO </w:t>
      </w:r>
      <w:r>
        <w:rPr>
          <w:b/>
          <w:lang w:val="es-UY"/>
        </w:rPr>
        <w:t>DISCORDE</w:t>
      </w:r>
      <w:r w:rsidRPr="00E9382D">
        <w:rPr>
          <w:b/>
          <w:lang w:val="es-UY"/>
        </w:rPr>
        <w:t xml:space="preserve"> DEL </w:t>
      </w:r>
      <w:r w:rsidRPr="00837E21">
        <w:rPr>
          <w:b/>
          <w:lang w:val="es-UY"/>
        </w:rPr>
        <w:t>MINISTRO</w:t>
      </w:r>
      <w:r>
        <w:rPr>
          <w:lang w:val="es-UY"/>
        </w:rPr>
        <w:t xml:space="preserve">               </w:t>
      </w:r>
      <w:r w:rsidRPr="00D71A3A">
        <w:rPr>
          <w:b/>
          <w:lang w:val="es-UY"/>
        </w:rPr>
        <w:t>ING. MIGUEL AUMENTO:</w:t>
      </w:r>
      <w:r w:rsidRPr="005C0AC0">
        <w:rPr>
          <w:b/>
          <w:lang w:val="es-UY"/>
        </w:rPr>
        <w:t xml:space="preserve"> </w:t>
      </w:r>
      <w:r w:rsidR="00E36049">
        <w:rPr>
          <w:b/>
          <w:lang w:val="es-UY"/>
        </w:rPr>
        <w:t>“</w:t>
      </w:r>
      <w:r w:rsidR="00E36049" w:rsidRPr="00E36049">
        <w:t>He votado en forma discorde la Resolución recaída en este expediente, en tanto no estoy de acuerdo con la observación formulada por la mayoría del Tribunal de Cuentas, según luce en e</w:t>
      </w:r>
      <w:r w:rsidR="002663F6">
        <w:t>l Considerando 6) de la misma.</w:t>
      </w:r>
    </w:p>
    <w:p w:rsidR="00E36049" w:rsidRPr="00E36049" w:rsidRDefault="00E36049" w:rsidP="00E36049">
      <w:pPr>
        <w:spacing w:line="360" w:lineRule="auto"/>
        <w:jc w:val="both"/>
      </w:pPr>
      <w:r w:rsidRPr="00E36049">
        <w:t>En efecto, se objeta que la Administración haya invocado la causal de excepción consagrada en el Artículo 33 Literal C) Numeral 21) del TOCAF para la selección directa de CUECAR S.A. respecto al Contrato de Obra, dado que no imp</w:t>
      </w:r>
      <w:r w:rsidR="002663F6">
        <w:t>lica la compraventa de energía.</w:t>
      </w:r>
    </w:p>
    <w:p w:rsidR="00E36049" w:rsidRPr="00E36049" w:rsidRDefault="00E36049" w:rsidP="00E36049">
      <w:pPr>
        <w:spacing w:line="360" w:lineRule="auto"/>
        <w:jc w:val="both"/>
      </w:pPr>
      <w:r w:rsidRPr="00E36049">
        <w:t xml:space="preserve">El Tribunal acepta que dicha causal </w:t>
      </w:r>
      <w:r w:rsidRPr="00E36049">
        <w:rPr>
          <w:u w:val="single"/>
        </w:rPr>
        <w:t>sí es aplicable</w:t>
      </w:r>
      <w:r w:rsidRPr="00E36049">
        <w:t xml:space="preserve"> tanto al Contrato de Compraventa de Energía como al Contrato de Uso a suscribir por parte de UTE y UPM, pero no así al Contrato de Obra.</w:t>
      </w:r>
    </w:p>
    <w:p w:rsidR="00E36049" w:rsidRPr="00E36049" w:rsidRDefault="00E36049" w:rsidP="00E36049">
      <w:pPr>
        <w:spacing w:line="360" w:lineRule="auto"/>
        <w:jc w:val="both"/>
      </w:pPr>
      <w:r w:rsidRPr="00E36049">
        <w:t xml:space="preserve">Como se verá en el Resultando 7), el Tribunal reconoce sin más que efectivamente los tres contratos en cuestión se celebran </w:t>
      </w:r>
      <w:r w:rsidRPr="00E36049">
        <w:rPr>
          <w:u w:val="single"/>
        </w:rPr>
        <w:t>con UPM y con empresas subsidiarias de UPM</w:t>
      </w:r>
      <w:r w:rsidRPr="00E36049">
        <w:t xml:space="preserve">, </w:t>
      </w:r>
      <w:r w:rsidRPr="00E36049">
        <w:rPr>
          <w:u w:val="single"/>
        </w:rPr>
        <w:t>condición que por supuesto incluye a CUECAR S.A</w:t>
      </w:r>
      <w:r w:rsidRPr="00E36049">
        <w:t>.</w:t>
      </w:r>
    </w:p>
    <w:p w:rsidR="00E36049" w:rsidRPr="00E36049" w:rsidRDefault="00E36049" w:rsidP="00E36049">
      <w:pPr>
        <w:spacing w:line="360" w:lineRule="auto"/>
        <w:jc w:val="both"/>
      </w:pPr>
      <w:r w:rsidRPr="00E36049">
        <w:t xml:space="preserve">Resulta a mi juicio claro que la contratación de CUECAR S.A. es una consecuencia lógica del Contrato celebrado entre Uruguay y UPM, y en particular, de las intenciones plasmadas por las Partes en el Anexo 6 del mismo (Memorándum de Entendimiento en Energía Eléctrica suscrito entre el MIEM, UTE Y UPM </w:t>
      </w:r>
      <w:r w:rsidRPr="00E36049">
        <w:rPr>
          <w:u w:val="single"/>
        </w:rPr>
        <w:t>conjuntamente con sus compañías afiliadas</w:t>
      </w:r>
      <w:r w:rsidRPr="00E36049">
        <w:t>, siendo así expresamente señalado en el Cuerpo Sustantivo de dicho documento). Cabe señalar además que el Contrato entre Uruguay y UPM se enmarca en lo contemplado por el Decreto No. 477/008 (reglamentario de la Ley de Promoción y Protección de Inversiones) y en especial en la aprobación del Acuerdo entre los Gobiernos de Uruguay y Finlandia plasmado en la Ley 17.759.</w:t>
      </w:r>
    </w:p>
    <w:p w:rsidR="00E36049" w:rsidRPr="00E36049" w:rsidRDefault="00E36049" w:rsidP="00E36049">
      <w:pPr>
        <w:spacing w:line="360" w:lineRule="auto"/>
        <w:jc w:val="both"/>
      </w:pPr>
      <w:r w:rsidRPr="00E36049">
        <w:t>El modelo de los contratos en cuestión, fue diseñado sobre la base de los acuerdos ya estipulados con múltiples generadores del Sistema Interconectado Nacional, siguiéndose en este caso similar modelo conceptual de solución.</w:t>
      </w:r>
    </w:p>
    <w:p w:rsidR="00E36049" w:rsidRPr="00E36049" w:rsidRDefault="00E36049" w:rsidP="00E36049">
      <w:pPr>
        <w:spacing w:line="360" w:lineRule="auto"/>
        <w:jc w:val="both"/>
      </w:pPr>
      <w:r w:rsidRPr="00E36049">
        <w:t>Por otro lado y en lo sustancial, las erogaciones de diversa especie que se produzcan en el marco del Contrato de Obra para la realización de tareas en la Red de Trasmisión, serán de cargo de UPM (v.gr. Subestación, líneas, instalaciones internas de la Planta, materiales y equipos) así como el hecho de abonar a UTE los costos de operación y mantenimiento de las obras, de servicios de ingeniería y supervisión, de gestión de autorizaciones ambientales, entre otros; así como aportar a UTE un monto anual durante un período de cinco años para cubrir parcialmente el suministro de transformadores para la estación Cuchilla Peralta (obligación para UTE). Esto es, dicho Contrato de Obra consagra diversas obligaciones para ambas Partes, que no solo se circunscriben a la mera realización de obras sobre la red</w:t>
      </w:r>
      <w:r w:rsidRPr="00E36049">
        <w:rPr>
          <w:u w:val="single"/>
        </w:rPr>
        <w:t xml:space="preserve"> </w:t>
      </w:r>
      <w:r w:rsidRPr="00E36049">
        <w:t>a los efectos que la propia UPM se conecte al Sistema para que, a la postre, UTE adquiera la energía inyectada por UPM. Entiendo que todo ello no es una</w:t>
      </w:r>
      <w:r w:rsidR="002663F6">
        <w:t xml:space="preserve"> cuestión que pueda soslayarse.</w:t>
      </w:r>
    </w:p>
    <w:p w:rsidR="00E36049" w:rsidRPr="00E36049" w:rsidRDefault="00E36049" w:rsidP="00E36049">
      <w:pPr>
        <w:spacing w:line="360" w:lineRule="auto"/>
        <w:jc w:val="both"/>
      </w:pPr>
      <w:r w:rsidRPr="00E36049">
        <w:t>En mi opinión, lo tres contratos en cuestión (Compraventa de Energía, de Uso y de Obra) resultan unidos, conjugándose para la efectiva realización o concreción de una operación económica global y de un resultado de negocio, que fue lo efectivamente perseguido en este caso. Tal como luce en el Resultando 13) de la Resolución del Tribunal, la Gerencia de Área Asesoría Técnica Jurídica de UTE lo trató como un “coligamiento contractual”, de modo tal que la existencia y eficacia de cada uno importa la existencia</w:t>
      </w:r>
      <w:r w:rsidR="001061AA">
        <w:t xml:space="preserve"> y eficacia del resto.</w:t>
      </w:r>
    </w:p>
    <w:p w:rsidR="00E36049" w:rsidRPr="00E36049" w:rsidRDefault="00E36049" w:rsidP="00E36049">
      <w:pPr>
        <w:spacing w:line="360" w:lineRule="auto"/>
        <w:jc w:val="both"/>
      </w:pPr>
      <w:r w:rsidRPr="00E36049">
        <w:t>Efectivamente: el intercambio de energía proveniente de la planta de UPM está indisolublemente ligado a la conexión a la red y ello a la ejecución de las obras correspondientes que son de cargo del generador, con independencia de si son plasmados en</w:t>
      </w:r>
      <w:r w:rsidR="001061AA">
        <w:t xml:space="preserve"> tres documentos o en uno solo.</w:t>
      </w:r>
    </w:p>
    <w:p w:rsidR="00E36049" w:rsidRPr="00E36049" w:rsidRDefault="00E36049" w:rsidP="00E36049">
      <w:pPr>
        <w:spacing w:line="360" w:lineRule="auto"/>
        <w:jc w:val="both"/>
      </w:pPr>
      <w:r w:rsidRPr="00E36049">
        <w:t xml:space="preserve">Si se reconoce por parte del Tribunal -lo que fue del caso según lo expresado en el Considerando 5)- que el Contrato de Compraventa de Energía y el Convenio de Uso encuadran en la causal de excepción referida en el Artículo 33 Literal C) Numeral 21) del TOCAF; en mi opinión </w:t>
      </w:r>
      <w:r w:rsidRPr="00E36049">
        <w:rPr>
          <w:u w:val="single"/>
        </w:rPr>
        <w:t>no puede sostenerse</w:t>
      </w:r>
      <w:r w:rsidRPr="00E36049">
        <w:t xml:space="preserve"> que el Contrato de Obra no se encuentra amparado también por dicha causal; por las razones ya expuestas. En suma, entiendo que la contratación de CUECAR S.A. se ajusta a derecho.</w:t>
      </w:r>
    </w:p>
    <w:p w:rsidR="00E36049" w:rsidRPr="00E36049" w:rsidRDefault="00E36049" w:rsidP="00E36049">
      <w:pPr>
        <w:spacing w:line="360" w:lineRule="auto"/>
        <w:jc w:val="both"/>
      </w:pPr>
      <w:r w:rsidRPr="00E36049">
        <w:t xml:space="preserve">Por otra parte, señalo mi desacuerdo parcial con lo expresado en el “ATENTO” de la Resolución, dado que siempre allí se debe hacer referencia a las reglas de derecho en que el acto se fundamenta; agregándose en este caso los Artículos 211 Literal E), 228 y en particular el </w:t>
      </w:r>
      <w:r w:rsidRPr="00E36049">
        <w:rPr>
          <w:u w:val="single"/>
        </w:rPr>
        <w:t>Artículo 311 Numeral 2) de la Constitución de la República</w:t>
      </w:r>
      <w:r w:rsidRPr="00E36049">
        <w:t>. Se debió apelar, como es de estilo y de recibo, únicamente a la expresión “a lo precedentemente expuesto” y al Artíc</w:t>
      </w:r>
      <w:r w:rsidR="001061AA">
        <w:t>ulo 211 Literal B) de la Carta.</w:t>
      </w:r>
    </w:p>
    <w:p w:rsidR="00E36049" w:rsidRPr="00E36049" w:rsidRDefault="00E36049" w:rsidP="00E36049">
      <w:pPr>
        <w:spacing w:line="360" w:lineRule="auto"/>
        <w:jc w:val="both"/>
      </w:pPr>
      <w:r w:rsidRPr="00E36049">
        <w:t>Por último, entiendo que se debió analizar y -en cualquier escenario resultante- comunicar la Resolución del Cuerpo a la Unidad de Acceso a la Información Pública, en tanto el Directorio de UTE declaró reservada la Resolución 18.-769 y todos los documentos a que esta refiere, al amparo de lo preceptuado en el Artículo 9 de la Ley 18.381 (Ley de Ac</w:t>
      </w:r>
      <w:r w:rsidR="001061AA">
        <w:t>ceso a la Información Pública).</w:t>
      </w:r>
    </w:p>
    <w:p w:rsidR="00E36049" w:rsidRPr="00E36049" w:rsidRDefault="00E36049" w:rsidP="00E36049">
      <w:pPr>
        <w:spacing w:line="360" w:lineRule="auto"/>
        <w:jc w:val="both"/>
      </w:pPr>
      <w:r w:rsidRPr="00E36049">
        <w:t>Una vez formada la voluntad orgánica del Tribunal, la Resolución de este debe publicarse en forma de minuta en su sitio web</w:t>
      </w:r>
      <w:r w:rsidRPr="00E36049">
        <w:rPr>
          <w:rStyle w:val="Refdenotaalpie"/>
        </w:rPr>
        <w:footnoteReference w:id="1"/>
      </w:r>
      <w:r w:rsidRPr="00E36049">
        <w:t xml:space="preserve">, dado que el dictado de la Resolución del Tribunal de Cuentas no lo exime de preservar la clasificación de reserva, ya que la Ley no le atribuyó potestad alguna para su desclasificación </w:t>
      </w:r>
      <w:proofErr w:type="gramStart"/>
      <w:r w:rsidRPr="00E36049">
        <w:t>parcial</w:t>
      </w:r>
      <w:proofErr w:type="gramEnd"/>
      <w:r w:rsidRPr="00E36049">
        <w:t xml:space="preserve"> o total.</w:t>
      </w:r>
    </w:p>
    <w:p w:rsidR="00E36049" w:rsidRPr="00E36049" w:rsidRDefault="00E36049" w:rsidP="00E36049">
      <w:pPr>
        <w:spacing w:line="360" w:lineRule="auto"/>
        <w:jc w:val="both"/>
      </w:pPr>
      <w:r w:rsidRPr="00E36049">
        <w:t xml:space="preserve">Reconozco que, a la luz de los acontecimientos de pública notoriedad acaecidos en forma previa y fundamentalmente a posteriori a la supuesta formación de la voluntad orgánica del Tribunal, y en tanto dicha reserva -en mi opinión- no la hemos resguardado </w:t>
      </w:r>
      <w:r w:rsidRPr="00E36049">
        <w:rPr>
          <w:i/>
        </w:rPr>
        <w:t>in totum</w:t>
      </w:r>
      <w:r w:rsidRPr="00E36049">
        <w:t>; sería hasta esclarecedor que la Resolución del Tribunal pudiera ser publicada en toda su extensión. No obstante, vale aclarar que esto no se ajusta a la normativa imperant</w:t>
      </w:r>
      <w:r w:rsidR="001061AA">
        <w:t>e en la materia, por supuesto.</w:t>
      </w:r>
    </w:p>
    <w:p w:rsidR="00E36049" w:rsidRPr="00E36049" w:rsidRDefault="00E36049" w:rsidP="00E36049">
      <w:pPr>
        <w:spacing w:line="360" w:lineRule="auto"/>
        <w:jc w:val="both"/>
      </w:pPr>
      <w:r w:rsidRPr="00E36049">
        <w:t>Por todo lo expuesto, he votado en forma discorde la Resolución de este expediente.-</w:t>
      </w:r>
      <w:r>
        <w:t>“</w:t>
      </w:r>
    </w:p>
    <w:p w:rsidR="00E36049" w:rsidRPr="00FD714B" w:rsidRDefault="00E36049" w:rsidP="00E36049">
      <w:pPr>
        <w:pStyle w:val="Textonotapie"/>
        <w:ind w:left="0"/>
        <w:jc w:val="both"/>
        <w:rPr>
          <w:lang w:val="es-ES"/>
        </w:rPr>
      </w:pPr>
      <w:r>
        <w:rPr>
          <w:rStyle w:val="Refdenotaalpie"/>
        </w:rPr>
        <w:footnoteRef/>
      </w:r>
      <w:r>
        <w:t xml:space="preserve"> </w:t>
      </w:r>
      <w:r w:rsidRPr="00FD714B">
        <w:t xml:space="preserve">Dicho con absoluta independencia a la decisión del Poder Ejecutivo de hacer público en el sitio web de la Presidencia de la República, el contrato final entre Uruguay y UPM (que incluye el Memorándum de Entendimiento de Energía Eléctrica), el mismo día de haberse celebrado (7 de noviembre de 2017).  </w:t>
      </w:r>
    </w:p>
    <w:p w:rsidR="00C96EFD" w:rsidRDefault="00C96EFD" w:rsidP="00E36049">
      <w:pPr>
        <w:spacing w:line="360" w:lineRule="auto"/>
        <w:jc w:val="both"/>
        <w:rPr>
          <w:b/>
        </w:rPr>
      </w:pPr>
    </w:p>
    <w:p w:rsidR="00E36049" w:rsidRDefault="00E36049" w:rsidP="00E36049">
      <w:pPr>
        <w:spacing w:line="360" w:lineRule="auto"/>
        <w:jc w:val="both"/>
        <w:rPr>
          <w:b/>
        </w:rPr>
      </w:pPr>
    </w:p>
    <w:p w:rsidR="00E36049" w:rsidRPr="00E36049" w:rsidRDefault="00E36049" w:rsidP="00E36049">
      <w:pPr>
        <w:spacing w:line="360" w:lineRule="auto"/>
        <w:jc w:val="both"/>
        <w:rPr>
          <w:b/>
        </w:rPr>
      </w:pPr>
    </w:p>
    <w:p w:rsidR="00C96EFD" w:rsidRDefault="00C96EFD" w:rsidP="00D71A3A">
      <w:pPr>
        <w:spacing w:line="360" w:lineRule="auto"/>
        <w:jc w:val="both"/>
        <w:rPr>
          <w:lang w:val="es-UY"/>
        </w:rPr>
      </w:pPr>
    </w:p>
    <w:p w:rsidR="00BC19F7" w:rsidRDefault="00C96EFD" w:rsidP="00BC19F7">
      <w:pPr>
        <w:spacing w:line="360" w:lineRule="auto"/>
        <w:jc w:val="both"/>
      </w:pPr>
      <w:r w:rsidRPr="00E9382D">
        <w:rPr>
          <w:b/>
          <w:lang w:val="es-UY"/>
        </w:rPr>
        <w:t>CON</w:t>
      </w:r>
      <w:r>
        <w:rPr>
          <w:b/>
          <w:lang w:val="es-UY"/>
        </w:rPr>
        <w:t>S</w:t>
      </w:r>
      <w:r w:rsidRPr="00E9382D">
        <w:rPr>
          <w:b/>
          <w:lang w:val="es-UY"/>
        </w:rPr>
        <w:t xml:space="preserve">TANCIA DE FUNDAMENTO DE VOTO </w:t>
      </w:r>
      <w:r>
        <w:rPr>
          <w:b/>
          <w:lang w:val="es-UY"/>
        </w:rPr>
        <w:t>DISCORDE</w:t>
      </w:r>
      <w:r w:rsidRPr="00E9382D">
        <w:rPr>
          <w:b/>
          <w:lang w:val="es-UY"/>
        </w:rPr>
        <w:t xml:space="preserve"> DEL </w:t>
      </w:r>
      <w:r w:rsidRPr="00837E21">
        <w:rPr>
          <w:b/>
          <w:lang w:val="es-UY"/>
        </w:rPr>
        <w:t xml:space="preserve">MINISTRO </w:t>
      </w:r>
      <w:r>
        <w:rPr>
          <w:b/>
          <w:lang w:val="es-UY"/>
        </w:rPr>
        <w:t>LEON LEV</w:t>
      </w:r>
      <w:r w:rsidRPr="005C0AC0">
        <w:rPr>
          <w:b/>
          <w:lang w:val="es-UY"/>
        </w:rPr>
        <w:t>:</w:t>
      </w:r>
      <w:r>
        <w:rPr>
          <w:lang w:val="es-UY"/>
        </w:rPr>
        <w:t xml:space="preserve"> </w:t>
      </w:r>
      <w:r w:rsidR="00E36049">
        <w:rPr>
          <w:lang w:val="es-UY"/>
        </w:rPr>
        <w:t>“</w:t>
      </w:r>
      <w:r w:rsidR="00BC19F7" w:rsidRPr="00BC19F7">
        <w:t>Discrepo con la Observación de la Contr</w:t>
      </w:r>
      <w:r w:rsidR="001061AA">
        <w:t>atación Directa de CUECAR S.A.,</w:t>
      </w:r>
    </w:p>
    <w:p w:rsidR="00BC19F7" w:rsidRPr="00BC19F7" w:rsidRDefault="00BC19F7" w:rsidP="00BC19F7">
      <w:pPr>
        <w:spacing w:line="360" w:lineRule="auto"/>
        <w:jc w:val="both"/>
      </w:pPr>
      <w:r w:rsidRPr="00BC19F7">
        <w:t>CONSIDERANDO 6 de la Resolución.</w:t>
      </w:r>
    </w:p>
    <w:p w:rsidR="00BC19F7" w:rsidRPr="00BC19F7" w:rsidRDefault="00BC19F7" w:rsidP="00BC19F7">
      <w:pPr>
        <w:spacing w:line="360" w:lineRule="auto"/>
        <w:jc w:val="both"/>
      </w:pPr>
      <w:r w:rsidRPr="00BC19F7">
        <w:t xml:space="preserve"> La Administración invoca la misma causal para la selección directa del </w:t>
      </w:r>
      <w:proofErr w:type="spellStart"/>
      <w:r w:rsidRPr="00BC19F7">
        <w:t>co</w:t>
      </w:r>
      <w:proofErr w:type="spellEnd"/>
      <w:r w:rsidRPr="00BC19F7">
        <w:t>-contratante en el Contrato de Obra que estará a cargo de CUECAR SA, en tanto se trata de tres</w:t>
      </w:r>
      <w:r w:rsidR="001061AA">
        <w:t xml:space="preserve"> </w:t>
      </w:r>
      <w:r w:rsidRPr="00BC19F7">
        <w:t xml:space="preserve">(3) contratos coligados. A. Compra y Venta propiamente dicha, B. Obra, </w:t>
      </w:r>
      <w:proofErr w:type="gramStart"/>
      <w:r w:rsidRPr="00BC19F7">
        <w:t>C :Uso</w:t>
      </w:r>
      <w:proofErr w:type="gramEnd"/>
      <w:r w:rsidRPr="00BC19F7">
        <w:t>.</w:t>
      </w:r>
    </w:p>
    <w:p w:rsidR="00BC19F7" w:rsidRPr="00BC19F7" w:rsidRDefault="00BC19F7" w:rsidP="00BC19F7">
      <w:pPr>
        <w:spacing w:line="360" w:lineRule="auto"/>
        <w:jc w:val="both"/>
      </w:pPr>
      <w:r w:rsidRPr="00BC19F7">
        <w:t xml:space="preserve">Ello halla fundamento en que la finalidad última de los mismos es justamente la prevista en la excepción contenida en el Numeral 21) del Literal C) del artículo 33 del TOCAF, la facultad conferida a UTE para adquirir directamente </w:t>
      </w:r>
      <w:proofErr w:type="gramStart"/>
      <w:r w:rsidRPr="00BC19F7">
        <w:t>“ la</w:t>
      </w:r>
      <w:proofErr w:type="gramEnd"/>
      <w:r w:rsidRPr="00BC19F7">
        <w:t xml:space="preserve"> energía generada por otros agentes en territorio nacional, de conformidad con la reglamentación que dicte el Poder Ejecutivo.”</w:t>
      </w:r>
    </w:p>
    <w:p w:rsidR="00C96EFD" w:rsidRDefault="00BC19F7" w:rsidP="00BC19F7">
      <w:pPr>
        <w:spacing w:line="360" w:lineRule="auto"/>
        <w:jc w:val="both"/>
        <w:rPr>
          <w:lang w:val="es-UY"/>
        </w:rPr>
      </w:pPr>
      <w:r w:rsidRPr="00BC19F7">
        <w:t>Siendo todos contratos indisolublemente ligados, estos se documentan en forma separada pero deben ser interpretados armónicamente bajo la luz del Artículo  33 del TOCAF, siendo por  tanto improcedente su observación por haberse realizado en forma directa con la subsidiaria de UPM, CUECAR SA. Ello en consecuencia de una interpretación lógica del negocio jurídico realizado por el ESTADO.</w:t>
      </w:r>
      <w:r w:rsidR="00E36049">
        <w:t>”</w:t>
      </w:r>
    </w:p>
    <w:p w:rsidR="00C96EFD" w:rsidRDefault="00C96EFD" w:rsidP="00D71A3A">
      <w:pPr>
        <w:spacing w:line="360" w:lineRule="auto"/>
        <w:jc w:val="both"/>
        <w:rPr>
          <w:lang w:val="es-UY"/>
        </w:rPr>
      </w:pPr>
    </w:p>
    <w:p w:rsidR="00C96EFD" w:rsidRDefault="00C96EFD" w:rsidP="00D71A3A">
      <w:pPr>
        <w:spacing w:line="360" w:lineRule="auto"/>
        <w:jc w:val="both"/>
        <w:rPr>
          <w:lang w:val="es-UY"/>
        </w:rPr>
      </w:pPr>
    </w:p>
    <w:p w:rsidR="00C96EFD" w:rsidRPr="001061AA" w:rsidRDefault="00C96EFD" w:rsidP="001061AA">
      <w:pPr>
        <w:spacing w:line="360" w:lineRule="auto"/>
        <w:rPr>
          <w:lang w:val="es-UY"/>
        </w:rPr>
      </w:pPr>
    </w:p>
    <w:sectPr w:rsidR="00C96EFD" w:rsidRPr="001061AA" w:rsidSect="002858F2">
      <w:footerReference w:type="default" r:id="rId7"/>
      <w:pgSz w:w="11907" w:h="16840" w:code="9"/>
      <w:pgMar w:top="3402" w:right="1701" w:bottom="1134" w:left="1701" w:header="720" w:footer="720" w:gutter="0"/>
      <w:paperSrc w:first="1" w:other="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49" w:rsidRDefault="00E36049" w:rsidP="00E36049">
      <w:r>
        <w:separator/>
      </w:r>
    </w:p>
  </w:endnote>
  <w:endnote w:type="continuationSeparator" w:id="0">
    <w:p w:rsidR="00E36049" w:rsidRDefault="00E36049" w:rsidP="00E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82323"/>
      <w:docPartObj>
        <w:docPartGallery w:val="Page Numbers (Bottom of Page)"/>
        <w:docPartUnique/>
      </w:docPartObj>
    </w:sdtPr>
    <w:sdtEndPr/>
    <w:sdtContent>
      <w:p w:rsidR="002858F2" w:rsidRDefault="002858F2">
        <w:pPr>
          <w:pStyle w:val="Piedepgina"/>
          <w:jc w:val="center"/>
        </w:pPr>
        <w:r>
          <w:fldChar w:fldCharType="begin"/>
        </w:r>
        <w:r>
          <w:instrText>PAGE   \* MERGEFORMAT</w:instrText>
        </w:r>
        <w:r>
          <w:fldChar w:fldCharType="separate"/>
        </w:r>
        <w:r w:rsidR="002663F6">
          <w:rPr>
            <w:noProof/>
          </w:rPr>
          <w:t>7</w:t>
        </w:r>
        <w:r>
          <w:fldChar w:fldCharType="end"/>
        </w:r>
      </w:p>
    </w:sdtContent>
  </w:sdt>
  <w:p w:rsidR="002858F2" w:rsidRDefault="002858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49" w:rsidRDefault="00E36049" w:rsidP="00E36049">
      <w:r>
        <w:separator/>
      </w:r>
    </w:p>
  </w:footnote>
  <w:footnote w:type="continuationSeparator" w:id="0">
    <w:p w:rsidR="00E36049" w:rsidRDefault="00E36049" w:rsidP="00E36049">
      <w:r>
        <w:continuationSeparator/>
      </w:r>
    </w:p>
  </w:footnote>
  <w:footnote w:id="1">
    <w:p w:rsidR="00E36049" w:rsidRPr="00E36049" w:rsidRDefault="00E36049" w:rsidP="00E36049">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FD"/>
    <w:rsid w:val="001061AA"/>
    <w:rsid w:val="002663F6"/>
    <w:rsid w:val="002858F2"/>
    <w:rsid w:val="00370455"/>
    <w:rsid w:val="00BC19F7"/>
    <w:rsid w:val="00C96EFD"/>
    <w:rsid w:val="00D847A3"/>
    <w:rsid w:val="00E36049"/>
    <w:rsid w:val="00F123AF"/>
    <w:rsid w:val="00FC55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D"/>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E36049"/>
    <w:pPr>
      <w:keepNext/>
      <w:spacing w:line="360" w:lineRule="auto"/>
      <w:jc w:val="both"/>
      <w:outlineLvl w:val="0"/>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C96EFD"/>
    <w:pPr>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C96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EFD"/>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E36049"/>
    <w:rPr>
      <w:rFonts w:ascii="Arial" w:eastAsia="Times New Roman" w:hAnsi="Arial" w:cs="Arial"/>
      <w:b/>
      <w:sz w:val="24"/>
      <w:szCs w:val="20"/>
      <w:lang w:val="es-MX" w:eastAsia="es-ES"/>
    </w:rPr>
  </w:style>
  <w:style w:type="paragraph" w:styleId="Textonotapie">
    <w:name w:val="footnote text"/>
    <w:basedOn w:val="Normal"/>
    <w:link w:val="TextonotapieCar"/>
    <w:uiPriority w:val="99"/>
    <w:semiHidden/>
    <w:unhideWhenUsed/>
    <w:rsid w:val="00E36049"/>
    <w:pPr>
      <w:ind w:left="221" w:right="227"/>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E36049"/>
    <w:rPr>
      <w:sz w:val="20"/>
      <w:szCs w:val="20"/>
      <w:lang w:val="es-MX"/>
    </w:rPr>
  </w:style>
  <w:style w:type="character" w:styleId="Refdenotaalpie">
    <w:name w:val="footnote reference"/>
    <w:basedOn w:val="Fuentedeprrafopredeter"/>
    <w:uiPriority w:val="99"/>
    <w:semiHidden/>
    <w:unhideWhenUsed/>
    <w:rsid w:val="00E36049"/>
    <w:rPr>
      <w:vertAlign w:val="superscript"/>
    </w:rPr>
  </w:style>
  <w:style w:type="paragraph" w:styleId="Encabezado">
    <w:name w:val="header"/>
    <w:basedOn w:val="Normal"/>
    <w:link w:val="EncabezadoCar"/>
    <w:uiPriority w:val="99"/>
    <w:unhideWhenUsed/>
    <w:rsid w:val="002858F2"/>
    <w:pPr>
      <w:tabs>
        <w:tab w:val="center" w:pos="4252"/>
        <w:tab w:val="right" w:pos="8504"/>
      </w:tabs>
    </w:pPr>
  </w:style>
  <w:style w:type="character" w:customStyle="1" w:styleId="EncabezadoCar">
    <w:name w:val="Encabezado Car"/>
    <w:basedOn w:val="Fuentedeprrafopredeter"/>
    <w:link w:val="Encabezado"/>
    <w:uiPriority w:val="99"/>
    <w:rsid w:val="002858F2"/>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2858F2"/>
    <w:pPr>
      <w:tabs>
        <w:tab w:val="center" w:pos="4252"/>
        <w:tab w:val="right" w:pos="8504"/>
      </w:tabs>
    </w:pPr>
  </w:style>
  <w:style w:type="character" w:customStyle="1" w:styleId="PiedepginaCar">
    <w:name w:val="Pie de página Car"/>
    <w:basedOn w:val="Fuentedeprrafopredeter"/>
    <w:link w:val="Piedepgina"/>
    <w:uiPriority w:val="99"/>
    <w:rsid w:val="002858F2"/>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D"/>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E36049"/>
    <w:pPr>
      <w:keepNext/>
      <w:spacing w:line="360" w:lineRule="auto"/>
      <w:jc w:val="both"/>
      <w:outlineLvl w:val="0"/>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C96EFD"/>
    <w:pPr>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C96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EFD"/>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E36049"/>
    <w:rPr>
      <w:rFonts w:ascii="Arial" w:eastAsia="Times New Roman" w:hAnsi="Arial" w:cs="Arial"/>
      <w:b/>
      <w:sz w:val="24"/>
      <w:szCs w:val="20"/>
      <w:lang w:val="es-MX" w:eastAsia="es-ES"/>
    </w:rPr>
  </w:style>
  <w:style w:type="paragraph" w:styleId="Textonotapie">
    <w:name w:val="footnote text"/>
    <w:basedOn w:val="Normal"/>
    <w:link w:val="TextonotapieCar"/>
    <w:uiPriority w:val="99"/>
    <w:semiHidden/>
    <w:unhideWhenUsed/>
    <w:rsid w:val="00E36049"/>
    <w:pPr>
      <w:ind w:left="221" w:right="227"/>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E36049"/>
    <w:rPr>
      <w:sz w:val="20"/>
      <w:szCs w:val="20"/>
      <w:lang w:val="es-MX"/>
    </w:rPr>
  </w:style>
  <w:style w:type="character" w:styleId="Refdenotaalpie">
    <w:name w:val="footnote reference"/>
    <w:basedOn w:val="Fuentedeprrafopredeter"/>
    <w:uiPriority w:val="99"/>
    <w:semiHidden/>
    <w:unhideWhenUsed/>
    <w:rsid w:val="00E36049"/>
    <w:rPr>
      <w:vertAlign w:val="superscript"/>
    </w:rPr>
  </w:style>
  <w:style w:type="paragraph" w:styleId="Encabezado">
    <w:name w:val="header"/>
    <w:basedOn w:val="Normal"/>
    <w:link w:val="EncabezadoCar"/>
    <w:uiPriority w:val="99"/>
    <w:unhideWhenUsed/>
    <w:rsid w:val="002858F2"/>
    <w:pPr>
      <w:tabs>
        <w:tab w:val="center" w:pos="4252"/>
        <w:tab w:val="right" w:pos="8504"/>
      </w:tabs>
    </w:pPr>
  </w:style>
  <w:style w:type="character" w:customStyle="1" w:styleId="EncabezadoCar">
    <w:name w:val="Encabezado Car"/>
    <w:basedOn w:val="Fuentedeprrafopredeter"/>
    <w:link w:val="Encabezado"/>
    <w:uiPriority w:val="99"/>
    <w:rsid w:val="002858F2"/>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2858F2"/>
    <w:pPr>
      <w:tabs>
        <w:tab w:val="center" w:pos="4252"/>
        <w:tab w:val="right" w:pos="8504"/>
      </w:tabs>
    </w:pPr>
  </w:style>
  <w:style w:type="character" w:customStyle="1" w:styleId="PiedepginaCar">
    <w:name w:val="Pie de página Car"/>
    <w:basedOn w:val="Fuentedeprrafopredeter"/>
    <w:link w:val="Piedepgina"/>
    <w:uiPriority w:val="99"/>
    <w:rsid w:val="002858F2"/>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3415</Words>
  <Characters>18786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4</cp:revision>
  <cp:lastPrinted>2018-06-22T19:32:00Z</cp:lastPrinted>
  <dcterms:created xsi:type="dcterms:W3CDTF">2018-06-22T18:19:00Z</dcterms:created>
  <dcterms:modified xsi:type="dcterms:W3CDTF">2018-07-19T16:45:00Z</dcterms:modified>
</cp:coreProperties>
</file>