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0E" w:rsidRPr="00786EEB" w:rsidRDefault="003E1F0E" w:rsidP="00786EEB">
      <w:pPr>
        <w:tabs>
          <w:tab w:val="center" w:pos="4253"/>
        </w:tabs>
        <w:suppressAutoHyphens/>
        <w:jc w:val="right"/>
        <w:rPr>
          <w:rFonts w:cs="Arial"/>
          <w:b/>
          <w:sz w:val="28"/>
          <w:szCs w:val="28"/>
          <w:lang w:val="es-ES_tradnl"/>
        </w:rPr>
      </w:pPr>
      <w:r>
        <w:rPr>
          <w:rFonts w:cs="Arial"/>
          <w:b/>
          <w:sz w:val="28"/>
          <w:szCs w:val="28"/>
          <w:lang w:val="es-ES_tradnl"/>
        </w:rPr>
        <w:t>RES. 1658/18</w:t>
      </w:r>
    </w:p>
    <w:p w:rsidR="003E1F0E" w:rsidRDefault="003E1F0E" w:rsidP="00786EEB">
      <w:pPr>
        <w:tabs>
          <w:tab w:val="center" w:pos="4253"/>
        </w:tabs>
        <w:suppressAutoHyphens/>
        <w:jc w:val="right"/>
        <w:rPr>
          <w:rFonts w:cs="Arial"/>
          <w:b/>
          <w:lang w:val="es-ES_tradnl"/>
        </w:rPr>
      </w:pPr>
    </w:p>
    <w:p w:rsidR="003E1F0E" w:rsidRPr="00762B34" w:rsidRDefault="003E1F0E">
      <w:pPr>
        <w:tabs>
          <w:tab w:val="center" w:pos="4253"/>
        </w:tabs>
        <w:suppressAutoHyphens/>
        <w:jc w:val="center"/>
        <w:rPr>
          <w:rFonts w:cs="Arial"/>
          <w:b/>
          <w:lang w:val="es-ES_tradnl"/>
        </w:rPr>
      </w:pPr>
      <w:r w:rsidRPr="00762B34">
        <w:rPr>
          <w:rFonts w:cs="Arial"/>
          <w:b/>
          <w:lang w:val="es-ES_tradnl"/>
        </w:rPr>
        <w:t>RESOLUCION ADOPTADA POR EL</w:t>
      </w:r>
    </w:p>
    <w:p w:rsidR="003E1F0E" w:rsidRPr="00762B34" w:rsidRDefault="003E1F0E">
      <w:pPr>
        <w:tabs>
          <w:tab w:val="left" w:pos="-720"/>
        </w:tabs>
        <w:suppressAutoHyphens/>
        <w:jc w:val="center"/>
        <w:rPr>
          <w:rFonts w:cs="Arial"/>
          <w:b/>
          <w:lang w:val="es-ES_tradnl"/>
        </w:rPr>
      </w:pPr>
    </w:p>
    <w:p w:rsidR="003E1F0E" w:rsidRPr="00762B34" w:rsidRDefault="003E1F0E">
      <w:pPr>
        <w:tabs>
          <w:tab w:val="center" w:pos="4253"/>
        </w:tabs>
        <w:suppressAutoHyphens/>
        <w:jc w:val="center"/>
        <w:rPr>
          <w:rFonts w:cs="Arial"/>
          <w:b/>
          <w:lang w:val="es-ES_tradnl"/>
        </w:rPr>
      </w:pPr>
      <w:r w:rsidRPr="00762B34">
        <w:rPr>
          <w:rFonts w:cs="Arial"/>
          <w:b/>
          <w:lang w:val="es-ES_tradnl"/>
        </w:rPr>
        <w:t>TRIBUNAL DE CUENTAS</w:t>
      </w:r>
    </w:p>
    <w:p w:rsidR="003E1F0E" w:rsidRPr="00762B34" w:rsidRDefault="003E1F0E">
      <w:pPr>
        <w:tabs>
          <w:tab w:val="left" w:pos="-720"/>
        </w:tabs>
        <w:suppressAutoHyphens/>
        <w:jc w:val="center"/>
        <w:rPr>
          <w:rFonts w:cs="Arial"/>
          <w:b/>
          <w:lang w:val="es-ES_tradnl"/>
        </w:rPr>
      </w:pPr>
    </w:p>
    <w:p w:rsidR="003E1F0E" w:rsidRPr="00762B34" w:rsidRDefault="003E1F0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16 DE MAYO </w:t>
      </w:r>
      <w:r>
        <w:rPr>
          <w:rFonts w:ascii="Helvetica" w:hAnsi="Helvetica"/>
          <w:b/>
          <w:lang w:val="es-ES_tradnl"/>
        </w:rPr>
        <w:t>DE 2018</w:t>
      </w:r>
    </w:p>
    <w:p w:rsidR="003E1F0E" w:rsidRPr="00762B34" w:rsidRDefault="003E1F0E">
      <w:pPr>
        <w:tabs>
          <w:tab w:val="center" w:pos="4253"/>
        </w:tabs>
        <w:suppressAutoHyphens/>
        <w:jc w:val="center"/>
        <w:rPr>
          <w:rFonts w:cs="Arial"/>
          <w:b/>
          <w:lang w:val="es-ES_tradnl"/>
        </w:rPr>
      </w:pPr>
    </w:p>
    <w:p w:rsidR="003E1F0E" w:rsidRPr="00751450" w:rsidRDefault="003E1F0E">
      <w:pPr>
        <w:tabs>
          <w:tab w:val="center" w:pos="4253"/>
        </w:tabs>
        <w:suppressAutoHyphens/>
        <w:jc w:val="center"/>
        <w:rPr>
          <w:rFonts w:cs="Arial"/>
          <w:b/>
          <w:lang w:val="es-UY"/>
        </w:rPr>
      </w:pPr>
      <w:r w:rsidRPr="00751450">
        <w:rPr>
          <w:rFonts w:cs="Arial"/>
          <w:b/>
          <w:lang w:val="es-UY"/>
        </w:rPr>
        <w:t>(E. E. Nº 201</w:t>
      </w:r>
      <w:r w:rsidR="00C75441">
        <w:rPr>
          <w:rFonts w:cs="Arial"/>
          <w:b/>
          <w:lang w:val="es-UY"/>
        </w:rPr>
        <w:t>8</w:t>
      </w:r>
      <w:bookmarkStart w:id="0" w:name="_GoBack"/>
      <w:bookmarkEnd w:id="0"/>
      <w:r w:rsidRPr="00751450">
        <w:rPr>
          <w:rFonts w:cs="Arial"/>
          <w:b/>
          <w:lang w:val="es-UY"/>
        </w:rPr>
        <w:t>-17-1-0002760, Ent. N° 2057/18)</w:t>
      </w:r>
    </w:p>
    <w:p w:rsidR="003E1F0E" w:rsidRDefault="003E1F0E" w:rsidP="00762B3D">
      <w:pPr>
        <w:spacing w:line="360" w:lineRule="auto"/>
        <w:ind w:firstLine="708"/>
        <w:jc w:val="both"/>
        <w:rPr>
          <w:rFonts w:cs="Arial"/>
          <w:b/>
        </w:rPr>
      </w:pPr>
    </w:p>
    <w:p w:rsidR="00751450" w:rsidRDefault="00751450" w:rsidP="00751450">
      <w:pPr>
        <w:spacing w:line="360" w:lineRule="auto"/>
        <w:ind w:firstLine="708"/>
        <w:jc w:val="both"/>
        <w:rPr>
          <w:rFonts w:cs="Arial"/>
        </w:rPr>
      </w:pPr>
      <w:r>
        <w:rPr>
          <w:rFonts w:cs="Arial"/>
          <w:b/>
        </w:rPr>
        <w:t>VISTO:</w:t>
      </w:r>
      <w:r>
        <w:rPr>
          <w:rFonts w:cs="Arial"/>
        </w:rPr>
        <w:t xml:space="preserve"> los antecedentes remitidos por la Administración de Servicios de Salud del Estado (A.S.S.E.), relacionados con el convenio de complementación a suscribir con la Cooperativa Regional de Asistencia Médica del Este (C.R.A.M.E.); </w:t>
      </w:r>
    </w:p>
    <w:p w:rsidR="00751450" w:rsidRDefault="00751450" w:rsidP="00751450">
      <w:pPr>
        <w:spacing w:line="360" w:lineRule="auto"/>
        <w:ind w:firstLine="708"/>
        <w:jc w:val="both"/>
        <w:rPr>
          <w:rFonts w:cs="Arial"/>
        </w:rPr>
      </w:pPr>
      <w:r>
        <w:rPr>
          <w:rFonts w:cs="Arial"/>
          <w:b/>
        </w:rPr>
        <w:t xml:space="preserve">RESULTANDO: </w:t>
      </w:r>
      <w:r>
        <w:rPr>
          <w:rFonts w:cs="Arial"/>
          <w:b/>
          <w:bCs/>
        </w:rPr>
        <w:t>1)</w:t>
      </w:r>
      <w:r>
        <w:rPr>
          <w:rFonts w:cs="Arial"/>
        </w:rPr>
        <w:t xml:space="preserve"> que se acompaña proyecto de convenio de complementación de asistencia médica que tiene por objeto procurar el acceso de todos los pobladores usuarios de las instituciones contratantes en la ciudad de Aiguá y su zona de influencia, la cual abarca Los Talas, Rincón de Aparicio, Coronilla, Valdivia y Mariscala en el Departamento de Lavalleja que dista alrededor de 20 km de la ciudad referida;</w:t>
      </w:r>
    </w:p>
    <w:p w:rsidR="00751450" w:rsidRDefault="00751450" w:rsidP="00751450">
      <w:pPr>
        <w:spacing w:line="360" w:lineRule="auto"/>
        <w:ind w:firstLine="2694"/>
        <w:jc w:val="both"/>
        <w:rPr>
          <w:rFonts w:cs="Arial"/>
        </w:rPr>
      </w:pPr>
      <w:r>
        <w:rPr>
          <w:rFonts w:cs="Arial"/>
          <w:b/>
        </w:rPr>
        <w:t>2)</w:t>
      </w:r>
      <w:r>
        <w:rPr>
          <w:rFonts w:cs="Arial"/>
        </w:rPr>
        <w:t xml:space="preserve"> que por dicho convenio A.S.S.E. se obliga: </w:t>
      </w:r>
      <w:r>
        <w:rPr>
          <w:rFonts w:cs="Arial"/>
          <w:b/>
        </w:rPr>
        <w:t>a)</w:t>
      </w:r>
      <w:r>
        <w:rPr>
          <w:rFonts w:cs="Arial"/>
        </w:rPr>
        <w:t xml:space="preserve"> a poner su infraestructura a disposición de los usuarios de C.R.A.M.E. para la atención de urgencias y emergencias las 24 horas del día los 365 días del año, </w:t>
      </w:r>
      <w:r>
        <w:rPr>
          <w:rFonts w:cs="Arial"/>
          <w:b/>
        </w:rPr>
        <w:t>b)</w:t>
      </w:r>
      <w:r>
        <w:rPr>
          <w:rFonts w:cs="Arial"/>
        </w:rPr>
        <w:t xml:space="preserve"> a brindar infraestructura para servicios ambulatorios, </w:t>
      </w:r>
      <w:r>
        <w:rPr>
          <w:rFonts w:cs="Arial"/>
          <w:b/>
        </w:rPr>
        <w:t>c)</w:t>
      </w:r>
      <w:r>
        <w:rPr>
          <w:rFonts w:cs="Arial"/>
        </w:rPr>
        <w:t xml:space="preserve"> a realizar traslados comunes de aquellos pacientes de C.R.A.M.E., que habiendo consultado en puerta deban ser trasladadas, de acuerdo al criterio del médico de guardia de A.S.S.E. a C.R.A.M.E. Maldonado, </w:t>
      </w:r>
      <w:r>
        <w:rPr>
          <w:rFonts w:cs="Arial"/>
          <w:b/>
        </w:rPr>
        <w:t>d)</w:t>
      </w:r>
      <w:r>
        <w:rPr>
          <w:rFonts w:cs="Arial"/>
        </w:rPr>
        <w:t xml:space="preserve"> a la internación de usuarios de C.R.A.M.E. (internación de corta estancia), </w:t>
      </w:r>
      <w:r>
        <w:rPr>
          <w:rFonts w:cs="Arial"/>
          <w:b/>
        </w:rPr>
        <w:t>e)</w:t>
      </w:r>
      <w:r>
        <w:rPr>
          <w:rFonts w:cs="Arial"/>
        </w:rPr>
        <w:t xml:space="preserve"> al acceso a radiología y laboratorio a usuarios de C.R.A.M.E. según disponibilidad del Centro Auxiliar;</w:t>
      </w:r>
    </w:p>
    <w:p w:rsidR="00751450" w:rsidRDefault="00751450" w:rsidP="00751450">
      <w:pPr>
        <w:spacing w:line="360" w:lineRule="auto"/>
        <w:ind w:firstLine="2694"/>
        <w:jc w:val="both"/>
        <w:rPr>
          <w:rFonts w:cs="Arial"/>
        </w:rPr>
      </w:pPr>
      <w:r>
        <w:rPr>
          <w:rFonts w:cs="Arial"/>
          <w:b/>
        </w:rPr>
        <w:t>3)</w:t>
      </w:r>
      <w:r>
        <w:rPr>
          <w:rFonts w:cs="Arial"/>
        </w:rPr>
        <w:t xml:space="preserve"> que por su parte, C.R.A.M.E. se obliga: </w:t>
      </w:r>
      <w:r>
        <w:rPr>
          <w:rFonts w:cs="Arial"/>
          <w:b/>
        </w:rPr>
        <w:t>a)</w:t>
      </w:r>
      <w:r>
        <w:rPr>
          <w:rFonts w:cs="Arial"/>
        </w:rPr>
        <w:t xml:space="preserve"> a brindar consultas con especialistas mensualmente, con un cupo de 3 números por consulta, siendo las especialidades: traumatología, endocrinología, </w:t>
      </w:r>
      <w:r>
        <w:rPr>
          <w:rFonts w:cs="Arial"/>
        </w:rPr>
        <w:lastRenderedPageBreak/>
        <w:t xml:space="preserve">oftalmología, cardiología, pediatría y ginecología, </w:t>
      </w:r>
      <w:r>
        <w:rPr>
          <w:rFonts w:cs="Arial"/>
          <w:b/>
        </w:rPr>
        <w:t>b)</w:t>
      </w:r>
      <w:r>
        <w:rPr>
          <w:rFonts w:cs="Arial"/>
        </w:rPr>
        <w:t xml:space="preserve"> a una guardia presencial la cual deberá  ser solicitada por A.S.S.E. con 72 hs. de antelación;</w:t>
      </w:r>
    </w:p>
    <w:p w:rsidR="00751450" w:rsidRDefault="00751450" w:rsidP="00751450">
      <w:pPr>
        <w:spacing w:line="360" w:lineRule="auto"/>
        <w:ind w:firstLine="2694"/>
        <w:jc w:val="both"/>
        <w:rPr>
          <w:rFonts w:cs="Arial"/>
        </w:rPr>
      </w:pPr>
      <w:r>
        <w:rPr>
          <w:rFonts w:cs="Arial"/>
          <w:b/>
        </w:rPr>
        <w:t>4)</w:t>
      </w:r>
      <w:r>
        <w:rPr>
          <w:rFonts w:cs="Arial"/>
        </w:rPr>
        <w:t xml:space="preserve"> que se conformará una cuenta corriente que se conciliará trimestralmente, debiendo la Comisión de Gestión controlar debidamente el registro de gastos que se proponga en el cierre de la misma, correspondiendo a la entidad que resulte deudora abonar a la contraparte el saldo correspondiente;</w:t>
      </w:r>
    </w:p>
    <w:p w:rsidR="00751450" w:rsidRDefault="00751450" w:rsidP="00751450">
      <w:pPr>
        <w:spacing w:line="360" w:lineRule="auto"/>
        <w:ind w:firstLine="2694"/>
        <w:jc w:val="both"/>
        <w:rPr>
          <w:rFonts w:cs="Arial"/>
        </w:rPr>
      </w:pPr>
      <w:r>
        <w:rPr>
          <w:rFonts w:cs="Arial"/>
          <w:b/>
        </w:rPr>
        <w:t>5)</w:t>
      </w:r>
      <w:r>
        <w:rPr>
          <w:rFonts w:cs="Arial"/>
        </w:rPr>
        <w:t xml:space="preserve"> que en tal sentido,  los aranceles por los servicios que prestarán las  partes  -los cuales se ajustarán anualmente por IPC-  son   establecidos en el Anexo I que forma parte del convenio, cuyo detalle es el siguiente: </w:t>
      </w:r>
      <w:r>
        <w:rPr>
          <w:rFonts w:cs="Arial"/>
          <w:b/>
        </w:rPr>
        <w:t>a)</w:t>
      </w:r>
      <w:r>
        <w:rPr>
          <w:rFonts w:cs="Arial"/>
        </w:rPr>
        <w:t xml:space="preserve"> Aranceles de C.R.A.M.E.: Traumatología: costo total por mes $5.729 + IVA; Ginecotologia: costo total por mes $ 5.729 + IVA; Pediatría: costo total por mes: $ 4.878 + IVA; Cardiología: costo total por mes $ 4.878 + IVA; Medicina General: costo total por mes $ 36.561 + IVA; Nutricionista: costo total por mes $ 4.155 + IVA; Oftalmología: costo total por mes $ 11.457 + IVA; Endocrinología: costo total por mes $ 4.878 + IVA. Guardia interna de 24 hs: $ 15.635 + IVA; y </w:t>
      </w:r>
      <w:r>
        <w:rPr>
          <w:rFonts w:cs="Arial"/>
          <w:b/>
        </w:rPr>
        <w:t>b)</w:t>
      </w:r>
      <w:r>
        <w:rPr>
          <w:rFonts w:cs="Arial"/>
        </w:rPr>
        <w:t xml:space="preserve"> Aranceles A.S.S.E.: Internación de corta estancia: $ 3.400 (hasta  12 horas); traslado Aiguá-Maldonado: $ 7.400; utilización de todas las instalaciones del Centro Auxiliar de Aiguá: $ 80.000 mensuales; Servicios de Radiología y Laboratorio: a determinar según la demanda;        </w:t>
      </w:r>
    </w:p>
    <w:p w:rsidR="00751450" w:rsidRDefault="00751450" w:rsidP="00751450">
      <w:pPr>
        <w:spacing w:line="360" w:lineRule="auto"/>
        <w:ind w:firstLine="2694"/>
        <w:jc w:val="both"/>
        <w:rPr>
          <w:rFonts w:cs="Arial"/>
        </w:rPr>
      </w:pPr>
      <w:r>
        <w:rPr>
          <w:rFonts w:cs="Arial"/>
          <w:b/>
        </w:rPr>
        <w:t xml:space="preserve">6) </w:t>
      </w:r>
      <w:r>
        <w:rPr>
          <w:rFonts w:cs="Arial"/>
        </w:rPr>
        <w:t>que se establece que el acuerdo comenzará a regir a partir del día siguiente a la intervención de este  Tribunal  y tendrá un plazo de vigencia de un año, renovándose automáticamente  por un plazo similar, salvo denuncia de una de las partes con 90 días de antelación;</w:t>
      </w:r>
    </w:p>
    <w:p w:rsidR="00751450" w:rsidRDefault="00751450" w:rsidP="00751450">
      <w:pPr>
        <w:spacing w:line="360" w:lineRule="auto"/>
        <w:ind w:firstLine="2694"/>
        <w:jc w:val="both"/>
        <w:rPr>
          <w:rFonts w:cs="Arial"/>
        </w:rPr>
      </w:pPr>
      <w:r>
        <w:rPr>
          <w:rFonts w:cs="Arial"/>
          <w:b/>
        </w:rPr>
        <w:t>7)</w:t>
      </w:r>
      <w:r>
        <w:rPr>
          <w:rFonts w:cs="Arial"/>
        </w:rPr>
        <w:t xml:space="preserve"> que consta en las actuaciones remitidas informes de la Dirección  General de Coordinación del MSP y de la Junta Nacional de Salud, otorgando el visto bueno al convenio mencionado;</w:t>
      </w:r>
    </w:p>
    <w:p w:rsidR="00751450" w:rsidRDefault="00751450" w:rsidP="00751450">
      <w:pPr>
        <w:spacing w:line="360" w:lineRule="auto"/>
        <w:ind w:firstLine="2694"/>
        <w:jc w:val="both"/>
        <w:rPr>
          <w:rFonts w:cs="Arial"/>
        </w:rPr>
      </w:pPr>
      <w:r>
        <w:rPr>
          <w:rFonts w:cs="Arial"/>
          <w:b/>
        </w:rPr>
        <w:t>8)</w:t>
      </w:r>
      <w:r>
        <w:rPr>
          <w:rFonts w:cs="Arial"/>
        </w:rPr>
        <w:t xml:space="preserve"> que se agrega Resolución del Ministerio de Salud Pública dictada con fecha 2/04/18, por la cual se aprueba el convenio a suscribirse entre ASSE y CRAME;</w:t>
      </w:r>
    </w:p>
    <w:p w:rsidR="00751450" w:rsidRDefault="00751450" w:rsidP="00751450">
      <w:pPr>
        <w:spacing w:line="360" w:lineRule="auto"/>
        <w:ind w:firstLine="708"/>
        <w:jc w:val="both"/>
        <w:rPr>
          <w:i/>
          <w:iCs/>
          <w:lang w:val="es-UY"/>
        </w:rPr>
      </w:pPr>
      <w:r>
        <w:rPr>
          <w:b/>
        </w:rPr>
        <w:lastRenderedPageBreak/>
        <w:t xml:space="preserve">CONSIDERANDO: 1) </w:t>
      </w:r>
      <w:r>
        <w:rPr>
          <w:bCs/>
          <w:lang w:val="es-MX"/>
        </w:rPr>
        <w:t>que de</w:t>
      </w:r>
      <w:r>
        <w:rPr>
          <w:lang w:val="es-UY"/>
        </w:rPr>
        <w:t xml:space="preserve"> conformidad con lo establecido en el Artículo 5, Literal G) de Ley 18.161 del </w:t>
      </w:r>
      <w:r>
        <w:rPr>
          <w:rFonts w:cs="Arial"/>
        </w:rPr>
        <w:t>29/7/07</w:t>
      </w:r>
      <w:r>
        <w:rPr>
          <w:lang w:val="es-UY"/>
        </w:rPr>
        <w:t>, el Directorio de A.S.S.E. tiene -entre otros poderes jurídicos- el de</w:t>
      </w:r>
      <w:r>
        <w:rPr>
          <w:i/>
          <w:iCs/>
          <w:lang w:val="es-UY"/>
        </w:rPr>
        <w:t xml:space="preserve"> “suscribir con otros servicios de salud, públicos o privados, compromisos de gestión concertada, evitando siempre la superposición innecesaria de servicios y la insuficiente utilización de los recursos humanos y materiales”;</w:t>
      </w:r>
    </w:p>
    <w:p w:rsidR="00751450" w:rsidRDefault="00751450" w:rsidP="00751450">
      <w:pPr>
        <w:pStyle w:val="Textoindependiente2"/>
        <w:ind w:firstLine="2835"/>
      </w:pPr>
      <w:r>
        <w:rPr>
          <w:b/>
          <w:lang w:val="es-UY"/>
        </w:rPr>
        <w:t xml:space="preserve"> </w:t>
      </w:r>
      <w:r>
        <w:rPr>
          <w:b/>
        </w:rPr>
        <w:t>2)</w:t>
      </w:r>
      <w:r>
        <w:t xml:space="preserve"> que por la Ley 18.211 del 5/12/07, ha implementado un Sistema Nacional Integrado de Salud, que tiene como objetivo, entre otros, articular la actividad de prestadores públicos y privados de atención integral a la salud (Artículo 4º Literal B);</w:t>
      </w:r>
    </w:p>
    <w:p w:rsidR="00751450" w:rsidRDefault="00751450" w:rsidP="00751450">
      <w:pPr>
        <w:pStyle w:val="Textoindependiente2"/>
        <w:ind w:firstLine="2835"/>
      </w:pPr>
      <w:r>
        <w:rPr>
          <w:rFonts w:cs="Arial"/>
          <w:b/>
          <w:bCs/>
        </w:rPr>
        <w:t xml:space="preserve"> 3) </w:t>
      </w:r>
      <w:r>
        <w:rPr>
          <w:rFonts w:cs="Arial"/>
        </w:rPr>
        <w:t>que las Instituciones de Asistencia Medica Colectiva (IAMC), han sido reguladas originariamente por la Ley 15.181 del 21/8/81, debiendo cumplir con la normativa vigente para su ejercicio;</w:t>
      </w:r>
    </w:p>
    <w:p w:rsidR="00751450" w:rsidRDefault="00751450" w:rsidP="00751450">
      <w:pPr>
        <w:pStyle w:val="Textoindependiente2"/>
        <w:ind w:firstLine="2835"/>
      </w:pPr>
      <w:r>
        <w:t xml:space="preserve"> </w:t>
      </w:r>
      <w:r>
        <w:rPr>
          <w:rFonts w:cs="Arial"/>
          <w:b/>
          <w:bCs/>
        </w:rPr>
        <w:t xml:space="preserve">4) </w:t>
      </w:r>
      <w:r>
        <w:rPr>
          <w:rFonts w:cs="Arial"/>
        </w:rPr>
        <w:t xml:space="preserve">que la Ley 16.170 del 28/12/90, en su Artículo 408 preceptúa que </w:t>
      </w:r>
      <w:r>
        <w:rPr>
          <w:rFonts w:cs="Arial"/>
          <w:i/>
          <w:iCs/>
        </w:rPr>
        <w:t>“…todas las prestaciones de salud que brinden los establecimientos asistenciales dependientes de la Administración de los Servicios de Salud del Estado (A.S.S.E.) a cualquier tipo de institución pública o privadas estarán sujetas a los aranceles que  fije la reglamentación”</w:t>
      </w:r>
      <w:r>
        <w:t xml:space="preserve">;  </w:t>
      </w:r>
    </w:p>
    <w:p w:rsidR="00751450" w:rsidRDefault="00751450" w:rsidP="00751450">
      <w:pPr>
        <w:pStyle w:val="Textoindependiente2"/>
        <w:ind w:firstLine="2835"/>
      </w:pPr>
      <w:r>
        <w:t xml:space="preserve"> </w:t>
      </w:r>
      <w:r>
        <w:rPr>
          <w:b/>
        </w:rPr>
        <w:t>5)</w:t>
      </w:r>
      <w:r>
        <w:t xml:space="preserve"> </w:t>
      </w:r>
      <w:r>
        <w:rPr>
          <w:rFonts w:cs="Arial"/>
        </w:rPr>
        <w:t>que  por su parte, en cuanto refiere al aspecto procedimental, el Numeral 31) del Literal C) del Artículo 33 del T.O.C.A.F. prevé como excepción al procedimiento competitivo la hipótesis de  contratación de bienes y servicios por parte de  A.S.S.E., en el marco de los convenios de complementación asistencial suscritos por el Directorio del Organismo, al amparo de las facultades que le otorga el Literal G) del Artículo 5º de la Ley 18.161 del 29/7/07, previo informe favorable del Ministerio de Salud Pública;</w:t>
      </w:r>
    </w:p>
    <w:p w:rsidR="00751450" w:rsidRDefault="00751450" w:rsidP="00751450">
      <w:pPr>
        <w:pStyle w:val="Textoindependiente2"/>
        <w:ind w:firstLine="2835"/>
      </w:pPr>
      <w:r>
        <w:t xml:space="preserve"> </w:t>
      </w:r>
      <w:r>
        <w:rPr>
          <w:b/>
          <w:bCs/>
        </w:rPr>
        <w:t xml:space="preserve">6) </w:t>
      </w:r>
      <w:r>
        <w:t>que en virtud de lo expuesto, el convenio a suscribirse no merece objeciones formales y su contenido encuadra, desde el punto de vista sustancial, en la normativa vigente así como en la excepción habilitante prevista por el Literal C) Numeral 31) del Artículo 33 del TOCAF;</w:t>
      </w:r>
    </w:p>
    <w:p w:rsidR="00751450" w:rsidRDefault="00751450" w:rsidP="00751450">
      <w:pPr>
        <w:spacing w:line="360" w:lineRule="auto"/>
        <w:ind w:firstLine="708"/>
        <w:rPr>
          <w:rFonts w:cs="Arial"/>
        </w:rPr>
      </w:pPr>
      <w:r>
        <w:rPr>
          <w:rFonts w:cs="Arial"/>
          <w:b/>
        </w:rPr>
        <w:lastRenderedPageBreak/>
        <w:t xml:space="preserve">ATENTO: </w:t>
      </w:r>
      <w:r>
        <w:rPr>
          <w:rFonts w:cs="Arial"/>
        </w:rPr>
        <w:t>a lo precedentemente expuesto y a lo dispuesto por el Artículo 211 Literal B) de la Constitución de la República,</w:t>
      </w:r>
    </w:p>
    <w:p w:rsidR="00751450" w:rsidRDefault="00751450" w:rsidP="00751450">
      <w:pPr>
        <w:spacing w:line="360" w:lineRule="auto"/>
        <w:jc w:val="center"/>
        <w:rPr>
          <w:rFonts w:cs="Arial"/>
          <w:b/>
        </w:rPr>
      </w:pPr>
      <w:r>
        <w:rPr>
          <w:rFonts w:cs="Arial"/>
          <w:b/>
        </w:rPr>
        <w:t>EL TRIBUNAL ACUERDA</w:t>
      </w:r>
    </w:p>
    <w:p w:rsidR="00751450" w:rsidRDefault="00751450" w:rsidP="00751450">
      <w:pPr>
        <w:pStyle w:val="Textoindependiente"/>
        <w:numPr>
          <w:ilvl w:val="0"/>
          <w:numId w:val="3"/>
        </w:numPr>
        <w:spacing w:after="0" w:line="360" w:lineRule="auto"/>
        <w:ind w:left="284" w:hanging="284"/>
        <w:jc w:val="both"/>
        <w:rPr>
          <w:rFonts w:cs="Arial"/>
        </w:rPr>
      </w:pPr>
      <w:r>
        <w:rPr>
          <w:rFonts w:cs="Arial"/>
        </w:rPr>
        <w:t>No formular observaciones al convenio remitido a suscribir por la Administración de Servicios de Salud del Estado y la Cooperativa  Regional de Asistencia Médica del Este;</w:t>
      </w:r>
    </w:p>
    <w:p w:rsidR="00751450" w:rsidRDefault="00751450" w:rsidP="00751450">
      <w:pPr>
        <w:numPr>
          <w:ilvl w:val="0"/>
          <w:numId w:val="3"/>
        </w:numPr>
        <w:spacing w:line="360" w:lineRule="auto"/>
        <w:ind w:left="284" w:hanging="284"/>
        <w:jc w:val="both"/>
      </w:pPr>
      <w:r>
        <w:t>Cometer a la Contadora Delegada en la Administración de los Servicios de Salud del Estado, la intervención del gasto</w:t>
      </w:r>
      <w:r>
        <w:rPr>
          <w:rFonts w:cs="Arial"/>
        </w:rPr>
        <w:t xml:space="preserve"> resultante de la implementación del acuerdo remitido, previo control de su imputación con cargo a grupo adecuado y con disponibilidad suficiente, así como del cumplimiento de lo dispuesto en los Artículos 46 y 72 del TOCAF y de que el convenio definitivo concuerde con los términos sometidos a intervención de este Tribunal;</w:t>
      </w:r>
    </w:p>
    <w:p w:rsidR="00751450" w:rsidRDefault="00751450" w:rsidP="00751450">
      <w:pPr>
        <w:pStyle w:val="Textoindependiente"/>
        <w:numPr>
          <w:ilvl w:val="0"/>
          <w:numId w:val="3"/>
        </w:numPr>
        <w:spacing w:after="0" w:line="360" w:lineRule="auto"/>
        <w:ind w:left="284" w:hanging="284"/>
        <w:jc w:val="both"/>
        <w:rPr>
          <w:rFonts w:cs="Arial"/>
        </w:rPr>
      </w:pPr>
      <w:r>
        <w:rPr>
          <w:rFonts w:cs="Arial"/>
        </w:rPr>
        <w:t>Comunicar a la Contadora Delegada en ASSE; y</w:t>
      </w:r>
    </w:p>
    <w:p w:rsidR="00751450" w:rsidRDefault="00751450" w:rsidP="00751450">
      <w:pPr>
        <w:pStyle w:val="Textoindependiente"/>
        <w:numPr>
          <w:ilvl w:val="0"/>
          <w:numId w:val="3"/>
        </w:numPr>
        <w:spacing w:after="0" w:line="360" w:lineRule="auto"/>
        <w:ind w:left="284" w:hanging="284"/>
        <w:jc w:val="both"/>
        <w:rPr>
          <w:rFonts w:cs="Arial"/>
        </w:rPr>
      </w:pPr>
      <w:r>
        <w:rPr>
          <w:rFonts w:cs="Arial"/>
        </w:rPr>
        <w:t>Devolver las actuaciones.</w:t>
      </w:r>
    </w:p>
    <w:p w:rsidR="00762B3D" w:rsidRDefault="00762B3D" w:rsidP="00762B3D">
      <w:pPr>
        <w:pStyle w:val="Textoindependiente"/>
        <w:spacing w:after="0" w:line="360" w:lineRule="auto"/>
        <w:rPr>
          <w:rFonts w:cs="Arial"/>
        </w:rPr>
      </w:pPr>
    </w:p>
    <w:p w:rsidR="00762B3D" w:rsidRDefault="00762B3D" w:rsidP="00762B3D">
      <w:pPr>
        <w:pStyle w:val="Textoindependiente"/>
        <w:spacing w:after="0" w:line="360" w:lineRule="auto"/>
        <w:rPr>
          <w:rFonts w:cs="Arial"/>
        </w:rPr>
      </w:pPr>
    </w:p>
    <w:p w:rsidR="00762B3D" w:rsidRDefault="00762B3D" w:rsidP="00762B3D">
      <w:pPr>
        <w:pStyle w:val="Textoindependiente"/>
        <w:spacing w:after="0" w:line="360" w:lineRule="auto"/>
        <w:rPr>
          <w:rFonts w:cs="Arial"/>
        </w:rPr>
      </w:pPr>
      <w:r>
        <w:rPr>
          <w:rFonts w:cs="Arial"/>
        </w:rPr>
        <w:t>aa</w:t>
      </w:r>
    </w:p>
    <w:sectPr w:rsidR="00762B3D" w:rsidSect="00751450">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53600"/>
    <w:multiLevelType w:val="hybridMultilevel"/>
    <w:tmpl w:val="DCF2BD9E"/>
    <w:lvl w:ilvl="0" w:tplc="C48CBA7C">
      <w:start w:val="1"/>
      <w:numFmt w:val="decimal"/>
      <w:lvlText w:val="%1)"/>
      <w:lvlJc w:val="left"/>
      <w:pPr>
        <w:ind w:left="644" w:hanging="360"/>
      </w:pPr>
      <w:rPr>
        <w:rFonts w:hint="default"/>
        <w:b/>
        <w:i w:val="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2669480F"/>
    <w:multiLevelType w:val="hybridMultilevel"/>
    <w:tmpl w:val="7408E1EC"/>
    <w:lvl w:ilvl="0" w:tplc="0C0A0011">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9B"/>
    <w:rsid w:val="00120F40"/>
    <w:rsid w:val="001A6BA8"/>
    <w:rsid w:val="001D4D2D"/>
    <w:rsid w:val="00283F5B"/>
    <w:rsid w:val="003B0E1F"/>
    <w:rsid w:val="003E1F0E"/>
    <w:rsid w:val="004A1C8C"/>
    <w:rsid w:val="004D1BC2"/>
    <w:rsid w:val="004E102C"/>
    <w:rsid w:val="005907C8"/>
    <w:rsid w:val="006203CD"/>
    <w:rsid w:val="00651240"/>
    <w:rsid w:val="006B57E2"/>
    <w:rsid w:val="0070391D"/>
    <w:rsid w:val="00751450"/>
    <w:rsid w:val="00762B3D"/>
    <w:rsid w:val="007E6685"/>
    <w:rsid w:val="00840C18"/>
    <w:rsid w:val="008779CC"/>
    <w:rsid w:val="008D1B78"/>
    <w:rsid w:val="008D499F"/>
    <w:rsid w:val="008E3F30"/>
    <w:rsid w:val="0093259B"/>
    <w:rsid w:val="009950F7"/>
    <w:rsid w:val="00A10E5E"/>
    <w:rsid w:val="00A30CAD"/>
    <w:rsid w:val="00C75441"/>
    <w:rsid w:val="00D02967"/>
    <w:rsid w:val="00D555DD"/>
    <w:rsid w:val="00D96E59"/>
    <w:rsid w:val="00F13CC5"/>
    <w:rsid w:val="00F34A5A"/>
    <w:rsid w:val="00F501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59B"/>
    <w:pPr>
      <w:spacing w:after="0" w:line="240" w:lineRule="auto"/>
      <w:jc w:val="left"/>
    </w:pPr>
    <w:rPr>
      <w:rFonts w:ascii="Arial" w:hAnsi="Arial"/>
      <w:sz w:val="24"/>
      <w:szCs w:val="24"/>
      <w:lang w:eastAsia="es-ES"/>
    </w:rPr>
  </w:style>
  <w:style w:type="paragraph" w:styleId="Ttulo1">
    <w:name w:val="heading 1"/>
    <w:basedOn w:val="Normal"/>
    <w:next w:val="Normal"/>
    <w:link w:val="Ttulo1Car"/>
    <w:qFormat/>
    <w:rsid w:val="00651240"/>
    <w:pPr>
      <w:keepNext/>
      <w:jc w:val="center"/>
      <w:outlineLvl w:val="0"/>
    </w:pPr>
    <w:rPr>
      <w:rFonts w:ascii="Times New Roman" w:hAnsi="Times New Roman"/>
      <w:b/>
      <w:bCs/>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Textoindependiente2">
    <w:name w:val="Body Text 2"/>
    <w:basedOn w:val="Normal"/>
    <w:link w:val="Textoindependiente2Car"/>
    <w:semiHidden/>
    <w:rsid w:val="0093259B"/>
    <w:pPr>
      <w:autoSpaceDE w:val="0"/>
      <w:autoSpaceDN w:val="0"/>
      <w:adjustRightInd w:val="0"/>
      <w:spacing w:line="360" w:lineRule="auto"/>
      <w:jc w:val="both"/>
    </w:pPr>
  </w:style>
  <w:style w:type="character" w:customStyle="1" w:styleId="Textoindependiente2Car">
    <w:name w:val="Texto independiente 2 Car"/>
    <w:basedOn w:val="Fuentedeprrafopredeter"/>
    <w:link w:val="Textoindependiente2"/>
    <w:semiHidden/>
    <w:rsid w:val="0093259B"/>
    <w:rPr>
      <w:rFonts w:ascii="Arial" w:hAnsi="Arial"/>
      <w:sz w:val="24"/>
      <w:szCs w:val="24"/>
      <w:lang w:eastAsia="es-ES"/>
    </w:rPr>
  </w:style>
  <w:style w:type="paragraph" w:styleId="Textoindependiente">
    <w:name w:val="Body Text"/>
    <w:basedOn w:val="Normal"/>
    <w:link w:val="TextoindependienteCar"/>
    <w:semiHidden/>
    <w:rsid w:val="0093259B"/>
    <w:pPr>
      <w:spacing w:after="120"/>
    </w:pPr>
  </w:style>
  <w:style w:type="character" w:customStyle="1" w:styleId="TextoindependienteCar">
    <w:name w:val="Texto independiente Car"/>
    <w:basedOn w:val="Fuentedeprrafopredeter"/>
    <w:link w:val="Textoindependiente"/>
    <w:semiHidden/>
    <w:rsid w:val="0093259B"/>
    <w:rPr>
      <w:rFonts w:ascii="Arial" w:hAnsi="Arial"/>
      <w:sz w:val="24"/>
      <w:szCs w:val="24"/>
      <w:lang w:eastAsia="es-ES"/>
    </w:rPr>
  </w:style>
  <w:style w:type="paragraph" w:styleId="Textodeglobo">
    <w:name w:val="Balloon Text"/>
    <w:basedOn w:val="Normal"/>
    <w:link w:val="TextodegloboCar"/>
    <w:uiPriority w:val="99"/>
    <w:semiHidden/>
    <w:unhideWhenUsed/>
    <w:rsid w:val="00762B3D"/>
    <w:rPr>
      <w:rFonts w:ascii="Tahoma" w:hAnsi="Tahoma" w:cs="Tahoma"/>
      <w:sz w:val="16"/>
      <w:szCs w:val="16"/>
    </w:rPr>
  </w:style>
  <w:style w:type="character" w:customStyle="1" w:styleId="TextodegloboCar">
    <w:name w:val="Texto de globo Car"/>
    <w:basedOn w:val="Fuentedeprrafopredeter"/>
    <w:link w:val="Textodeglobo"/>
    <w:uiPriority w:val="99"/>
    <w:semiHidden/>
    <w:rsid w:val="00762B3D"/>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59B"/>
    <w:pPr>
      <w:spacing w:after="0" w:line="240" w:lineRule="auto"/>
      <w:jc w:val="left"/>
    </w:pPr>
    <w:rPr>
      <w:rFonts w:ascii="Arial" w:hAnsi="Arial"/>
      <w:sz w:val="24"/>
      <w:szCs w:val="24"/>
      <w:lang w:eastAsia="es-ES"/>
    </w:rPr>
  </w:style>
  <w:style w:type="paragraph" w:styleId="Ttulo1">
    <w:name w:val="heading 1"/>
    <w:basedOn w:val="Normal"/>
    <w:next w:val="Normal"/>
    <w:link w:val="Ttulo1Car"/>
    <w:qFormat/>
    <w:rsid w:val="00651240"/>
    <w:pPr>
      <w:keepNext/>
      <w:jc w:val="center"/>
      <w:outlineLvl w:val="0"/>
    </w:pPr>
    <w:rPr>
      <w:rFonts w:ascii="Times New Roman" w:hAnsi="Times New Roman"/>
      <w:b/>
      <w:bCs/>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Textoindependiente2">
    <w:name w:val="Body Text 2"/>
    <w:basedOn w:val="Normal"/>
    <w:link w:val="Textoindependiente2Car"/>
    <w:semiHidden/>
    <w:rsid w:val="0093259B"/>
    <w:pPr>
      <w:autoSpaceDE w:val="0"/>
      <w:autoSpaceDN w:val="0"/>
      <w:adjustRightInd w:val="0"/>
      <w:spacing w:line="360" w:lineRule="auto"/>
      <w:jc w:val="both"/>
    </w:pPr>
  </w:style>
  <w:style w:type="character" w:customStyle="1" w:styleId="Textoindependiente2Car">
    <w:name w:val="Texto independiente 2 Car"/>
    <w:basedOn w:val="Fuentedeprrafopredeter"/>
    <w:link w:val="Textoindependiente2"/>
    <w:semiHidden/>
    <w:rsid w:val="0093259B"/>
    <w:rPr>
      <w:rFonts w:ascii="Arial" w:hAnsi="Arial"/>
      <w:sz w:val="24"/>
      <w:szCs w:val="24"/>
      <w:lang w:eastAsia="es-ES"/>
    </w:rPr>
  </w:style>
  <w:style w:type="paragraph" w:styleId="Textoindependiente">
    <w:name w:val="Body Text"/>
    <w:basedOn w:val="Normal"/>
    <w:link w:val="TextoindependienteCar"/>
    <w:semiHidden/>
    <w:rsid w:val="0093259B"/>
    <w:pPr>
      <w:spacing w:after="120"/>
    </w:pPr>
  </w:style>
  <w:style w:type="character" w:customStyle="1" w:styleId="TextoindependienteCar">
    <w:name w:val="Texto independiente Car"/>
    <w:basedOn w:val="Fuentedeprrafopredeter"/>
    <w:link w:val="Textoindependiente"/>
    <w:semiHidden/>
    <w:rsid w:val="0093259B"/>
    <w:rPr>
      <w:rFonts w:ascii="Arial" w:hAnsi="Arial"/>
      <w:sz w:val="24"/>
      <w:szCs w:val="24"/>
      <w:lang w:eastAsia="es-ES"/>
    </w:rPr>
  </w:style>
  <w:style w:type="paragraph" w:styleId="Textodeglobo">
    <w:name w:val="Balloon Text"/>
    <w:basedOn w:val="Normal"/>
    <w:link w:val="TextodegloboCar"/>
    <w:uiPriority w:val="99"/>
    <w:semiHidden/>
    <w:unhideWhenUsed/>
    <w:rsid w:val="00762B3D"/>
    <w:rPr>
      <w:rFonts w:ascii="Tahoma" w:hAnsi="Tahoma" w:cs="Tahoma"/>
      <w:sz w:val="16"/>
      <w:szCs w:val="16"/>
    </w:rPr>
  </w:style>
  <w:style w:type="character" w:customStyle="1" w:styleId="TextodegloboCar">
    <w:name w:val="Texto de globo Car"/>
    <w:basedOn w:val="Fuentedeprrafopredeter"/>
    <w:link w:val="Textodeglobo"/>
    <w:uiPriority w:val="99"/>
    <w:semiHidden/>
    <w:rsid w:val="00762B3D"/>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50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5496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4</cp:revision>
  <cp:lastPrinted>2018-05-22T18:34:00Z</cp:lastPrinted>
  <dcterms:created xsi:type="dcterms:W3CDTF">2018-05-22T18:03:00Z</dcterms:created>
  <dcterms:modified xsi:type="dcterms:W3CDTF">2018-05-23T17:41:00Z</dcterms:modified>
</cp:coreProperties>
</file>