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44" w:rsidRPr="00786EEB" w:rsidRDefault="0061144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1584/18</w:t>
      </w:r>
    </w:p>
    <w:p w:rsidR="00611444" w:rsidRDefault="0061144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11444" w:rsidRPr="00762B34" w:rsidRDefault="00611444" w:rsidP="0061144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611444" w:rsidRPr="00762B34" w:rsidRDefault="00611444" w:rsidP="0061144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611444" w:rsidRPr="00762B34" w:rsidRDefault="00611444" w:rsidP="0061144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611444" w:rsidRPr="00762B34" w:rsidRDefault="00611444" w:rsidP="0061144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611444" w:rsidRPr="00762B34" w:rsidRDefault="00611444" w:rsidP="0061144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9 DE MAYO </w:t>
      </w:r>
      <w:r>
        <w:rPr>
          <w:rFonts w:ascii="Helvetica" w:hAnsi="Helvetica"/>
          <w:b/>
          <w:lang w:val="es-ES_tradnl"/>
        </w:rPr>
        <w:t>DE 2018</w:t>
      </w:r>
    </w:p>
    <w:p w:rsidR="00611444" w:rsidRPr="00762B34" w:rsidRDefault="00611444" w:rsidP="0061144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611444" w:rsidRPr="00611444" w:rsidRDefault="00611444" w:rsidP="0061144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611444">
        <w:rPr>
          <w:rFonts w:ascii="Arial" w:hAnsi="Arial" w:cs="Arial"/>
          <w:b/>
        </w:rPr>
        <w:t xml:space="preserve">(E. E. Nº  2016-17-1-0008280, </w:t>
      </w:r>
      <w:proofErr w:type="spellStart"/>
      <w:r w:rsidRPr="00611444">
        <w:rPr>
          <w:rFonts w:ascii="Arial" w:hAnsi="Arial" w:cs="Arial"/>
          <w:b/>
        </w:rPr>
        <w:t>Ent</w:t>
      </w:r>
      <w:proofErr w:type="spellEnd"/>
      <w:r w:rsidRPr="00611444">
        <w:rPr>
          <w:rFonts w:ascii="Arial" w:hAnsi="Arial" w:cs="Arial"/>
          <w:b/>
        </w:rPr>
        <w:t>. N° 1869/18)</w:t>
      </w:r>
    </w:p>
    <w:p w:rsidR="00611444" w:rsidRPr="00611444" w:rsidRDefault="00611444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611444" w:rsidRDefault="00E270B6" w:rsidP="0061144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nuevas actuaciones remitidas por la Administración Nacional de </w:t>
      </w:r>
      <w:r w:rsidR="0061144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Combustibles </w:t>
      </w:r>
      <w:r w:rsidR="0061144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Alcohol</w:t>
      </w:r>
      <w:r w:rsidR="006114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y </w:t>
      </w:r>
      <w:r w:rsidR="006114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Portland </w:t>
      </w:r>
      <w:r w:rsidR="0061144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relacionadas </w:t>
      </w:r>
      <w:r w:rsidR="006114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la Licitación Pública </w:t>
      </w:r>
    </w:p>
    <w:p w:rsidR="00E270B6" w:rsidRDefault="00E270B6" w:rsidP="006114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1600156700, para la contratación de trabajos de desguace de tres tanques existentes, suministro</w:t>
      </w:r>
      <w:r w:rsidR="00F36E27">
        <w:rPr>
          <w:rFonts w:ascii="Arial" w:hAnsi="Arial" w:cs="Arial"/>
          <w:sz w:val="24"/>
          <w:szCs w:val="24"/>
        </w:rPr>
        <w:t xml:space="preserve"> y montaje</w:t>
      </w:r>
      <w:r>
        <w:rPr>
          <w:rFonts w:ascii="Arial" w:hAnsi="Arial" w:cs="Arial"/>
          <w:sz w:val="24"/>
          <w:szCs w:val="24"/>
        </w:rPr>
        <w:t xml:space="preserve"> de tres nuevos tanques de 1500 m</w:t>
      </w:r>
      <w:r w:rsidRPr="00E270B6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cada uno </w:t>
      </w:r>
      <w:proofErr w:type="gramStart"/>
      <w:r>
        <w:rPr>
          <w:rFonts w:ascii="Arial" w:hAnsi="Arial" w:cs="Arial"/>
          <w:sz w:val="24"/>
          <w:szCs w:val="24"/>
        </w:rPr>
        <w:t>para</w:t>
      </w:r>
      <w:proofErr w:type="gramEnd"/>
      <w:r>
        <w:rPr>
          <w:rFonts w:ascii="Arial" w:hAnsi="Arial" w:cs="Arial"/>
          <w:sz w:val="24"/>
          <w:szCs w:val="24"/>
        </w:rPr>
        <w:t xml:space="preserve"> aceite base de lubricantes y suministro y montaje de dos nuevos tanques de 400 m</w:t>
      </w:r>
      <w:r w:rsidRPr="00E270B6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cada uno para combustible de aviación Jet A1;</w:t>
      </w:r>
    </w:p>
    <w:p w:rsidR="00E270B6" w:rsidRDefault="00E270B6" w:rsidP="0061144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70B6">
        <w:rPr>
          <w:rFonts w:ascii="Arial" w:hAnsi="Arial" w:cs="Arial"/>
          <w:b/>
          <w:sz w:val="24"/>
          <w:szCs w:val="24"/>
        </w:rPr>
        <w:t>RESULTANDO:</w:t>
      </w:r>
      <w:r w:rsidR="0061144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1) </w:t>
      </w:r>
      <w:r w:rsidR="0034121C">
        <w:rPr>
          <w:rFonts w:ascii="Arial" w:hAnsi="Arial" w:cs="Arial"/>
          <w:sz w:val="24"/>
          <w:szCs w:val="24"/>
        </w:rPr>
        <w:t xml:space="preserve">que por Resolución N° 1011/11/2016 de fecha 24.11.16, el Directorio adjudicó la licitación de referencia al Consorcio en formación </w:t>
      </w:r>
      <w:proofErr w:type="spellStart"/>
      <w:r w:rsidR="0034121C">
        <w:rPr>
          <w:rFonts w:ascii="Arial" w:hAnsi="Arial" w:cs="Arial"/>
          <w:sz w:val="24"/>
          <w:szCs w:val="24"/>
        </w:rPr>
        <w:t>Sarbilco</w:t>
      </w:r>
      <w:proofErr w:type="spellEnd"/>
      <w:r w:rsidR="0034121C">
        <w:rPr>
          <w:rFonts w:ascii="Arial" w:hAnsi="Arial" w:cs="Arial"/>
          <w:sz w:val="24"/>
          <w:szCs w:val="24"/>
        </w:rPr>
        <w:t xml:space="preserve"> –</w:t>
      </w:r>
      <w:r w:rsidR="00F36E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6E27">
        <w:rPr>
          <w:rFonts w:ascii="Arial" w:hAnsi="Arial" w:cs="Arial"/>
          <w:sz w:val="24"/>
          <w:szCs w:val="24"/>
        </w:rPr>
        <w:t>Saceem</w:t>
      </w:r>
      <w:proofErr w:type="spellEnd"/>
      <w:r w:rsidR="00F36E27">
        <w:rPr>
          <w:rFonts w:ascii="Arial" w:hAnsi="Arial" w:cs="Arial"/>
          <w:sz w:val="24"/>
          <w:szCs w:val="24"/>
        </w:rPr>
        <w:t>, por los montos de</w:t>
      </w:r>
      <w:r w:rsidR="0034121C">
        <w:rPr>
          <w:rFonts w:ascii="Arial" w:hAnsi="Arial" w:cs="Arial"/>
          <w:sz w:val="24"/>
          <w:szCs w:val="24"/>
        </w:rPr>
        <w:t xml:space="preserve"> hasta $ 75.262.000,17 más $16.557.640,04 de IVA, y U$S 1.370.330,03 más U$S 301.472,61 de IVA; </w:t>
      </w:r>
    </w:p>
    <w:p w:rsidR="0034121C" w:rsidRDefault="0034121C" w:rsidP="0061144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4121C"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este Tribunal, mediante Resolución N°4485/16 adoptada en Sesión de fecha 21.12.16, observó</w:t>
      </w:r>
      <w:r w:rsidR="00A43864">
        <w:rPr>
          <w:rFonts w:ascii="Arial" w:hAnsi="Arial" w:cs="Arial"/>
          <w:sz w:val="24"/>
          <w:szCs w:val="24"/>
        </w:rPr>
        <w:t xml:space="preserve"> el gasto </w:t>
      </w:r>
      <w:r w:rsidR="009F0D8F">
        <w:rPr>
          <w:rFonts w:ascii="Arial" w:hAnsi="Arial" w:cs="Arial"/>
          <w:sz w:val="24"/>
          <w:szCs w:val="24"/>
        </w:rPr>
        <w:t>en razón de que:</w:t>
      </w:r>
    </w:p>
    <w:p w:rsidR="00C36CE9" w:rsidRDefault="009F0D8F" w:rsidP="006114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0D8F">
        <w:rPr>
          <w:rFonts w:ascii="Arial" w:hAnsi="Arial" w:cs="Arial"/>
          <w:b/>
          <w:sz w:val="24"/>
          <w:szCs w:val="24"/>
        </w:rPr>
        <w:t xml:space="preserve">2.1) </w:t>
      </w:r>
      <w:r>
        <w:rPr>
          <w:rFonts w:ascii="Arial" w:hAnsi="Arial" w:cs="Arial"/>
          <w:sz w:val="24"/>
          <w:szCs w:val="24"/>
        </w:rPr>
        <w:t xml:space="preserve">la propuesta de </w:t>
      </w:r>
      <w:proofErr w:type="spellStart"/>
      <w:r>
        <w:rPr>
          <w:rFonts w:ascii="Arial" w:hAnsi="Arial" w:cs="Arial"/>
          <w:sz w:val="24"/>
          <w:szCs w:val="24"/>
        </w:rPr>
        <w:t>Tecnocyl</w:t>
      </w:r>
      <w:proofErr w:type="spellEnd"/>
      <w:r>
        <w:rPr>
          <w:rFonts w:ascii="Arial" w:hAnsi="Arial" w:cs="Arial"/>
          <w:sz w:val="24"/>
          <w:szCs w:val="24"/>
        </w:rPr>
        <w:t xml:space="preserve"> S.A debió ser rechazada y, en consecuencia,  no debió ser técnicamente analizada, en tan</w:t>
      </w:r>
      <w:r w:rsidR="00C36CE9">
        <w:rPr>
          <w:rFonts w:ascii="Arial" w:hAnsi="Arial" w:cs="Arial"/>
          <w:sz w:val="24"/>
          <w:szCs w:val="24"/>
        </w:rPr>
        <w:t xml:space="preserve">to no </w:t>
      </w:r>
      <w:r w:rsidR="00CF71B7">
        <w:rPr>
          <w:rFonts w:ascii="Arial" w:hAnsi="Arial" w:cs="Arial"/>
          <w:sz w:val="24"/>
          <w:szCs w:val="24"/>
        </w:rPr>
        <w:t>se ajust</w:t>
      </w:r>
      <w:r w:rsidR="00C36CE9">
        <w:rPr>
          <w:rFonts w:ascii="Arial" w:hAnsi="Arial" w:cs="Arial"/>
          <w:sz w:val="24"/>
          <w:szCs w:val="24"/>
        </w:rPr>
        <w:t xml:space="preserve">ó </w:t>
      </w:r>
      <w:r w:rsidR="00CF71B7">
        <w:rPr>
          <w:rFonts w:ascii="Arial" w:hAnsi="Arial" w:cs="Arial"/>
          <w:sz w:val="24"/>
          <w:szCs w:val="24"/>
        </w:rPr>
        <w:t xml:space="preserve">al </w:t>
      </w:r>
      <w:r w:rsidR="00C36CE9">
        <w:rPr>
          <w:rFonts w:ascii="Arial" w:hAnsi="Arial" w:cs="Arial"/>
          <w:sz w:val="24"/>
          <w:szCs w:val="24"/>
        </w:rPr>
        <w:t xml:space="preserve"> requisito</w:t>
      </w:r>
      <w:r>
        <w:rPr>
          <w:rFonts w:ascii="Arial" w:hAnsi="Arial" w:cs="Arial"/>
          <w:sz w:val="24"/>
          <w:szCs w:val="24"/>
        </w:rPr>
        <w:t xml:space="preserve"> establecido en el numeral V.7 del Plie</w:t>
      </w:r>
      <w:r w:rsidR="00C36CE9">
        <w:rPr>
          <w:rFonts w:ascii="Arial" w:hAnsi="Arial" w:cs="Arial"/>
          <w:sz w:val="24"/>
          <w:szCs w:val="24"/>
        </w:rPr>
        <w:t xml:space="preserve">go de Condiciones Particulares </w:t>
      </w:r>
      <w:r>
        <w:rPr>
          <w:rFonts w:ascii="Arial" w:hAnsi="Arial" w:cs="Arial"/>
          <w:sz w:val="24"/>
          <w:szCs w:val="24"/>
        </w:rPr>
        <w:t>que exigió a los oferentes la presentación del certificado expedido por el Registro Nacional de Empresas de Obras Públicas vigente a la fecha de la apertura de las ofertas,</w:t>
      </w:r>
      <w:r w:rsidR="00C36CE9">
        <w:rPr>
          <w:rFonts w:ascii="Arial" w:hAnsi="Arial" w:cs="Arial"/>
          <w:sz w:val="24"/>
          <w:szCs w:val="24"/>
        </w:rPr>
        <w:t xml:space="preserve"> habiéndose dejado expresa constancia en el acta correspondiente que el certificado presentado por la referida firma se encontraba vencido;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CA5186" w:rsidRDefault="00C36CE9" w:rsidP="006114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6CE9">
        <w:rPr>
          <w:rFonts w:ascii="Arial" w:hAnsi="Arial" w:cs="Arial"/>
          <w:b/>
          <w:sz w:val="24"/>
          <w:szCs w:val="24"/>
        </w:rPr>
        <w:t>2.2)</w:t>
      </w:r>
      <w:r w:rsidR="00CA5186">
        <w:rPr>
          <w:rFonts w:ascii="Arial" w:hAnsi="Arial" w:cs="Arial"/>
          <w:sz w:val="24"/>
          <w:szCs w:val="24"/>
        </w:rPr>
        <w:t xml:space="preserve"> se contravino el orden de estudio establecido en</w:t>
      </w:r>
      <w:r w:rsidR="00CF71B7" w:rsidRPr="00CF71B7">
        <w:rPr>
          <w:rFonts w:ascii="Arial" w:hAnsi="Arial" w:cs="Arial"/>
          <w:sz w:val="24"/>
          <w:szCs w:val="24"/>
        </w:rPr>
        <w:t xml:space="preserve"> </w:t>
      </w:r>
      <w:r w:rsidR="00CF71B7">
        <w:rPr>
          <w:rFonts w:ascii="Arial" w:hAnsi="Arial" w:cs="Arial"/>
          <w:sz w:val="24"/>
          <w:szCs w:val="24"/>
        </w:rPr>
        <w:t xml:space="preserve"> el </w:t>
      </w:r>
      <w:r w:rsidR="00611444">
        <w:rPr>
          <w:rFonts w:ascii="Arial" w:hAnsi="Arial" w:cs="Arial"/>
          <w:sz w:val="24"/>
          <w:szCs w:val="24"/>
        </w:rPr>
        <w:t>A</w:t>
      </w:r>
      <w:r w:rsidR="00CF71B7">
        <w:rPr>
          <w:rFonts w:ascii="Arial" w:hAnsi="Arial" w:cs="Arial"/>
          <w:sz w:val="24"/>
          <w:szCs w:val="24"/>
        </w:rPr>
        <w:t>rtículo 68 del TOCAF</w:t>
      </w:r>
      <w:r w:rsidR="00CA5186">
        <w:rPr>
          <w:rFonts w:ascii="Arial" w:hAnsi="Arial" w:cs="Arial"/>
          <w:sz w:val="24"/>
          <w:szCs w:val="24"/>
        </w:rPr>
        <w:t xml:space="preserve">, al realizar el análisis de los requisitos técnicos únicamente respecto de las </w:t>
      </w:r>
      <w:r w:rsidR="00CA5186">
        <w:rPr>
          <w:rFonts w:ascii="Arial" w:hAnsi="Arial" w:cs="Arial"/>
          <w:sz w:val="24"/>
          <w:szCs w:val="24"/>
        </w:rPr>
        <w:lastRenderedPageBreak/>
        <w:t>propuestas que ofertaron menor precio, dejando algunas propuestas sin considerar;</w:t>
      </w:r>
    </w:p>
    <w:p w:rsidR="00C36CE9" w:rsidRDefault="00CA5186" w:rsidP="006114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A5186">
        <w:rPr>
          <w:rFonts w:ascii="Arial" w:hAnsi="Arial" w:cs="Arial"/>
          <w:b/>
          <w:sz w:val="24"/>
          <w:szCs w:val="24"/>
        </w:rPr>
        <w:t xml:space="preserve">2.3) </w:t>
      </w:r>
      <w:r>
        <w:rPr>
          <w:rFonts w:ascii="Arial" w:hAnsi="Arial" w:cs="Arial"/>
          <w:sz w:val="24"/>
          <w:szCs w:val="24"/>
        </w:rPr>
        <w:t xml:space="preserve">la solicitud de descuento por parte de la Administración y la aceptación de la adjudicataria accediendo al mismo implicó una modificación de la oferta luego de realizado el acto de apertura, en contravención de lo dispuesto por el </w:t>
      </w:r>
      <w:r w:rsidR="0061144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65 del TOCAF;</w:t>
      </w:r>
    </w:p>
    <w:p w:rsidR="00CA5186" w:rsidRDefault="00CA5186" w:rsidP="006114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A5186">
        <w:rPr>
          <w:rFonts w:ascii="Arial" w:hAnsi="Arial" w:cs="Arial"/>
          <w:b/>
          <w:sz w:val="24"/>
          <w:szCs w:val="24"/>
        </w:rPr>
        <w:t>2.4)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numeral </w:t>
      </w:r>
      <w:r w:rsidRPr="000E07A9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.13 </w:t>
      </w:r>
      <w:r w:rsidRPr="000E07A9">
        <w:rPr>
          <w:rFonts w:ascii="Arial" w:hAnsi="Arial" w:cs="Arial"/>
          <w:sz w:val="24"/>
          <w:szCs w:val="24"/>
        </w:rPr>
        <w:t>del Pliego de Condiciones Particulares exigió la exhibición en forma conjunta con las propuestas, de la constancia que acredite el cumplimiento de la Ley Nº 16.074 sobr</w:t>
      </w:r>
      <w:r w:rsidR="00BF1322">
        <w:rPr>
          <w:rFonts w:ascii="Arial" w:hAnsi="Arial" w:cs="Arial"/>
          <w:sz w:val="24"/>
          <w:szCs w:val="24"/>
        </w:rPr>
        <w:t>e Seguros contra Accidentes de T</w:t>
      </w:r>
      <w:r w:rsidRPr="000E07A9">
        <w:rPr>
          <w:rFonts w:ascii="Arial" w:hAnsi="Arial" w:cs="Arial"/>
          <w:sz w:val="24"/>
          <w:szCs w:val="24"/>
        </w:rPr>
        <w:t xml:space="preserve">rabajo y Enfermedades Profesionales, contraviniendo lo dispuesto en los  artículos 9 y 10 del Decreto </w:t>
      </w:r>
      <w:r>
        <w:rPr>
          <w:rFonts w:ascii="Arial" w:hAnsi="Arial" w:cs="Arial"/>
          <w:sz w:val="24"/>
          <w:szCs w:val="24"/>
        </w:rPr>
        <w:t>N°</w:t>
      </w:r>
      <w:r w:rsidRPr="000E07A9">
        <w:rPr>
          <w:rFonts w:ascii="Arial" w:hAnsi="Arial" w:cs="Arial"/>
          <w:sz w:val="24"/>
          <w:szCs w:val="24"/>
        </w:rPr>
        <w:t>131/2014,  que establece  que no es posible exigir al oferente recaudos que se encuentren en el RUPE</w:t>
      </w:r>
      <w:r>
        <w:rPr>
          <w:rFonts w:ascii="Arial" w:hAnsi="Arial" w:cs="Arial"/>
          <w:sz w:val="24"/>
          <w:szCs w:val="24"/>
        </w:rPr>
        <w:t>;</w:t>
      </w:r>
    </w:p>
    <w:p w:rsidR="00815D00" w:rsidRDefault="00CA5186" w:rsidP="006114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A518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1846C8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Resolución N° 512/2017 de fecha 18.05.17</w:t>
      </w:r>
      <w:r w:rsidR="00623426">
        <w:rPr>
          <w:rFonts w:ascii="Arial" w:hAnsi="Arial" w:cs="Arial"/>
          <w:sz w:val="24"/>
          <w:szCs w:val="24"/>
        </w:rPr>
        <w:t xml:space="preserve">, el Directorio reiteró el gasto </w:t>
      </w:r>
      <w:r w:rsidR="001846C8">
        <w:rPr>
          <w:rFonts w:ascii="Arial" w:hAnsi="Arial" w:cs="Arial"/>
          <w:sz w:val="24"/>
          <w:szCs w:val="24"/>
        </w:rPr>
        <w:t>y este Tribunal por Resolución 194/17 adoptada en sesión de fecha 22.06.17 mantuvo la observación formulada por Resolución N° 4485/16 de fecha 21.12.16;</w:t>
      </w:r>
    </w:p>
    <w:p w:rsidR="001846C8" w:rsidRDefault="001846C8" w:rsidP="0061144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846C8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en la oportunidad, la Gerencia de Producción de Energéticos, Gerencia de Ingeniería y Obras</w:t>
      </w:r>
      <w:r w:rsidR="00AA36B8">
        <w:rPr>
          <w:rFonts w:ascii="Arial" w:hAnsi="Arial" w:cs="Arial"/>
          <w:sz w:val="24"/>
          <w:szCs w:val="24"/>
        </w:rPr>
        <w:t xml:space="preserve"> con fecha 21.09.17,  </w:t>
      </w:r>
      <w:r>
        <w:rPr>
          <w:rFonts w:ascii="Arial" w:hAnsi="Arial" w:cs="Arial"/>
          <w:sz w:val="24"/>
          <w:szCs w:val="24"/>
        </w:rPr>
        <w:t>solicita la ampliación de los pedidos de compra emitidos relacionados con la presente licitación en razón de</w:t>
      </w:r>
      <w:r w:rsidR="007424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cambios de requisitos reglamentarios relativos a la disposición final de suelo contaminado generado en la excavación de la fundación de los tanques de lubricantes, aumento del metraje </w:t>
      </w:r>
      <w:r w:rsidR="00036F40">
        <w:rPr>
          <w:rFonts w:ascii="Arial" w:hAnsi="Arial" w:cs="Arial"/>
          <w:sz w:val="24"/>
          <w:szCs w:val="24"/>
        </w:rPr>
        <w:t xml:space="preserve">de fisuras a reparar en los muros de los </w:t>
      </w:r>
      <w:proofErr w:type="spellStart"/>
      <w:r w:rsidR="00036F40">
        <w:rPr>
          <w:rFonts w:ascii="Arial" w:hAnsi="Arial" w:cs="Arial"/>
          <w:sz w:val="24"/>
          <w:szCs w:val="24"/>
        </w:rPr>
        <w:t>envallados</w:t>
      </w:r>
      <w:proofErr w:type="spellEnd"/>
      <w:r w:rsidR="00036F40">
        <w:rPr>
          <w:rFonts w:ascii="Arial" w:hAnsi="Arial" w:cs="Arial"/>
          <w:sz w:val="24"/>
          <w:szCs w:val="24"/>
        </w:rPr>
        <w:t>, agregado de dos cám</w:t>
      </w:r>
      <w:r w:rsidR="00742425">
        <w:rPr>
          <w:rFonts w:ascii="Arial" w:hAnsi="Arial" w:cs="Arial"/>
          <w:sz w:val="24"/>
          <w:szCs w:val="24"/>
        </w:rPr>
        <w:t>aras cortafuego en los drenajes y</w:t>
      </w:r>
      <w:r w:rsidR="00036F40">
        <w:rPr>
          <w:rFonts w:ascii="Arial" w:hAnsi="Arial" w:cs="Arial"/>
          <w:sz w:val="24"/>
          <w:szCs w:val="24"/>
        </w:rPr>
        <w:t xml:space="preserve"> modificación del lugar de emplazamiento de dos tanques de Jet A1 de Planta </w:t>
      </w:r>
      <w:proofErr w:type="spellStart"/>
      <w:r w:rsidR="00036F40">
        <w:rPr>
          <w:rFonts w:ascii="Arial" w:hAnsi="Arial" w:cs="Arial"/>
          <w:sz w:val="24"/>
          <w:szCs w:val="24"/>
        </w:rPr>
        <w:t>Aerocombustibles</w:t>
      </w:r>
      <w:proofErr w:type="spellEnd"/>
      <w:r w:rsidR="00036F40">
        <w:rPr>
          <w:rFonts w:ascii="Arial" w:hAnsi="Arial" w:cs="Arial"/>
          <w:sz w:val="24"/>
          <w:szCs w:val="24"/>
        </w:rPr>
        <w:t xml:space="preserve"> Carrasco;</w:t>
      </w:r>
    </w:p>
    <w:p w:rsidR="00611444" w:rsidRDefault="00462BCC" w:rsidP="00184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457EC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462BCC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previa cotización de los trabajos a realizarse por </w:t>
      </w:r>
      <w:r w:rsidR="0061144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parte </w:t>
      </w:r>
      <w:r w:rsidR="0061144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del </w:t>
      </w:r>
      <w:r w:rsidR="0061144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Consorcio </w:t>
      </w:r>
      <w:r w:rsidR="0061144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adjudicatario, </w:t>
      </w:r>
      <w:r w:rsidR="0061144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por </w:t>
      </w:r>
      <w:r w:rsidR="0061144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Resolución </w:t>
      </w:r>
      <w:r w:rsidR="0061144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de </w:t>
      </w:r>
      <w:r w:rsidR="0061144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Directorio </w:t>
      </w:r>
    </w:p>
    <w:p w:rsidR="00611444" w:rsidRDefault="00462BCC" w:rsidP="006114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N° 2384/4/2018 de fecha 05.04.18 se dispuso ampliar</w:t>
      </w:r>
      <w:r w:rsidR="00505EE0">
        <w:rPr>
          <w:rFonts w:ascii="Arial" w:hAnsi="Arial" w:cs="Arial"/>
          <w:sz w:val="24"/>
          <w:szCs w:val="24"/>
        </w:rPr>
        <w:t xml:space="preserve">, condicionado a la intervención del gasto por parte del Tribunal de Cuentas, </w:t>
      </w:r>
      <w:r>
        <w:rPr>
          <w:rFonts w:ascii="Arial" w:hAnsi="Arial" w:cs="Arial"/>
          <w:sz w:val="24"/>
          <w:szCs w:val="24"/>
        </w:rPr>
        <w:t xml:space="preserve"> la licitación de referencia</w:t>
      </w:r>
      <w:r w:rsidR="00316B07">
        <w:rPr>
          <w:rFonts w:ascii="Arial" w:hAnsi="Arial" w:cs="Arial"/>
          <w:sz w:val="24"/>
          <w:szCs w:val="24"/>
        </w:rPr>
        <w:t xml:space="preserve"> </w:t>
      </w:r>
      <w:r w:rsidR="00611444">
        <w:rPr>
          <w:rFonts w:ascii="Arial" w:hAnsi="Arial" w:cs="Arial"/>
          <w:sz w:val="24"/>
          <w:szCs w:val="24"/>
        </w:rPr>
        <w:t xml:space="preserve">  </w:t>
      </w:r>
      <w:r w:rsidR="00316B07">
        <w:rPr>
          <w:rFonts w:ascii="Arial" w:hAnsi="Arial" w:cs="Arial"/>
          <w:sz w:val="24"/>
          <w:szCs w:val="24"/>
        </w:rPr>
        <w:t xml:space="preserve">por </w:t>
      </w:r>
      <w:r w:rsidR="00611444">
        <w:rPr>
          <w:rFonts w:ascii="Arial" w:hAnsi="Arial" w:cs="Arial"/>
          <w:sz w:val="24"/>
          <w:szCs w:val="24"/>
        </w:rPr>
        <w:t xml:space="preserve">  </w:t>
      </w:r>
      <w:r w:rsidR="00505EE0">
        <w:rPr>
          <w:rFonts w:ascii="Arial" w:hAnsi="Arial" w:cs="Arial"/>
          <w:sz w:val="24"/>
          <w:szCs w:val="24"/>
        </w:rPr>
        <w:t xml:space="preserve">los </w:t>
      </w:r>
      <w:r w:rsidR="00611444">
        <w:rPr>
          <w:rFonts w:ascii="Arial" w:hAnsi="Arial" w:cs="Arial"/>
          <w:sz w:val="24"/>
          <w:szCs w:val="24"/>
        </w:rPr>
        <w:t xml:space="preserve">  </w:t>
      </w:r>
      <w:r w:rsidR="00505EE0">
        <w:rPr>
          <w:rFonts w:ascii="Arial" w:hAnsi="Arial" w:cs="Arial"/>
          <w:sz w:val="24"/>
          <w:szCs w:val="24"/>
        </w:rPr>
        <w:t xml:space="preserve">siguientes </w:t>
      </w:r>
      <w:r w:rsidR="00611444">
        <w:rPr>
          <w:rFonts w:ascii="Arial" w:hAnsi="Arial" w:cs="Arial"/>
          <w:sz w:val="24"/>
          <w:szCs w:val="24"/>
        </w:rPr>
        <w:t xml:space="preserve">  </w:t>
      </w:r>
      <w:r w:rsidR="00505EE0">
        <w:rPr>
          <w:rFonts w:ascii="Arial" w:hAnsi="Arial" w:cs="Arial"/>
          <w:sz w:val="24"/>
          <w:szCs w:val="24"/>
        </w:rPr>
        <w:t>montos</w:t>
      </w:r>
      <w:proofErr w:type="gramStart"/>
      <w:r w:rsidR="00505EE0">
        <w:rPr>
          <w:rFonts w:ascii="Arial" w:hAnsi="Arial" w:cs="Arial"/>
          <w:sz w:val="24"/>
          <w:szCs w:val="24"/>
        </w:rPr>
        <w:t xml:space="preserve">: </w:t>
      </w:r>
      <w:r w:rsidR="00611444">
        <w:rPr>
          <w:rFonts w:ascii="Arial" w:hAnsi="Arial" w:cs="Arial"/>
          <w:sz w:val="24"/>
          <w:szCs w:val="24"/>
        </w:rPr>
        <w:t xml:space="preserve"> </w:t>
      </w:r>
      <w:r w:rsidR="00316B07">
        <w:rPr>
          <w:rFonts w:ascii="Arial" w:hAnsi="Arial" w:cs="Arial"/>
          <w:sz w:val="24"/>
          <w:szCs w:val="24"/>
        </w:rPr>
        <w:t>$</w:t>
      </w:r>
      <w:proofErr w:type="gramEnd"/>
      <w:r w:rsidR="00316B07">
        <w:rPr>
          <w:rFonts w:ascii="Arial" w:hAnsi="Arial" w:cs="Arial"/>
          <w:sz w:val="24"/>
          <w:szCs w:val="24"/>
        </w:rPr>
        <w:t xml:space="preserve"> 4:468.630,00 </w:t>
      </w:r>
      <w:r w:rsidR="00611444">
        <w:rPr>
          <w:rFonts w:ascii="Arial" w:hAnsi="Arial" w:cs="Arial"/>
          <w:sz w:val="24"/>
          <w:szCs w:val="24"/>
        </w:rPr>
        <w:t xml:space="preserve">  </w:t>
      </w:r>
      <w:r w:rsidR="00316B07">
        <w:rPr>
          <w:rFonts w:ascii="Arial" w:hAnsi="Arial" w:cs="Arial"/>
          <w:sz w:val="24"/>
          <w:szCs w:val="24"/>
        </w:rPr>
        <w:t xml:space="preserve">más </w:t>
      </w:r>
      <w:r w:rsidR="003160F7">
        <w:rPr>
          <w:rFonts w:ascii="Arial" w:hAnsi="Arial" w:cs="Arial"/>
          <w:sz w:val="24"/>
          <w:szCs w:val="24"/>
        </w:rPr>
        <w:t xml:space="preserve">el 22% de </w:t>
      </w:r>
      <w:r w:rsidR="00316B07">
        <w:rPr>
          <w:rFonts w:ascii="Arial" w:hAnsi="Arial" w:cs="Arial"/>
          <w:sz w:val="24"/>
          <w:szCs w:val="24"/>
        </w:rPr>
        <w:t xml:space="preserve">IVA, </w:t>
      </w:r>
    </w:p>
    <w:p w:rsidR="00462BCC" w:rsidRDefault="00316B07" w:rsidP="006114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$ 983.098,60 más U$S 31.822,00 más </w:t>
      </w:r>
      <w:r w:rsidR="003160F7">
        <w:rPr>
          <w:rFonts w:ascii="Arial" w:hAnsi="Arial" w:cs="Arial"/>
          <w:sz w:val="24"/>
          <w:szCs w:val="24"/>
        </w:rPr>
        <w:t xml:space="preserve">el 22% </w:t>
      </w:r>
      <w:r>
        <w:rPr>
          <w:rFonts w:ascii="Arial" w:hAnsi="Arial" w:cs="Arial"/>
          <w:sz w:val="24"/>
          <w:szCs w:val="24"/>
        </w:rPr>
        <w:t>de IVA</w:t>
      </w:r>
      <w:r w:rsidR="00CF3D63">
        <w:rPr>
          <w:rFonts w:ascii="Arial" w:hAnsi="Arial" w:cs="Arial"/>
          <w:sz w:val="24"/>
          <w:szCs w:val="24"/>
        </w:rPr>
        <w:t xml:space="preserve">, </w:t>
      </w:r>
      <w:r w:rsidR="00505EE0">
        <w:rPr>
          <w:rFonts w:ascii="Arial" w:hAnsi="Arial" w:cs="Arial"/>
          <w:sz w:val="24"/>
          <w:szCs w:val="24"/>
        </w:rPr>
        <w:t xml:space="preserve">U$S 7.000,84, estableciendo que las leyes sociales serán de cargo de ANCAP por un monto imponible de hasta $ 700.720, </w:t>
      </w:r>
      <w:r w:rsidR="00CF71B7">
        <w:rPr>
          <w:rFonts w:ascii="Arial" w:hAnsi="Arial" w:cs="Arial"/>
          <w:sz w:val="24"/>
          <w:szCs w:val="24"/>
        </w:rPr>
        <w:t xml:space="preserve"> ascendiendo la presente ampliación a $7.259.016,</w:t>
      </w:r>
      <w:r w:rsidR="00505EE0">
        <w:rPr>
          <w:rFonts w:ascii="Arial" w:hAnsi="Arial" w:cs="Arial"/>
          <w:sz w:val="24"/>
          <w:szCs w:val="24"/>
        </w:rPr>
        <w:t xml:space="preserve">oficiando </w:t>
      </w:r>
      <w:r w:rsidR="00D44C79">
        <w:rPr>
          <w:rFonts w:ascii="Arial" w:hAnsi="Arial" w:cs="Arial"/>
          <w:sz w:val="24"/>
          <w:szCs w:val="24"/>
        </w:rPr>
        <w:t xml:space="preserve">ANCAP </w:t>
      </w:r>
      <w:r w:rsidR="00505EE0">
        <w:rPr>
          <w:rFonts w:ascii="Arial" w:hAnsi="Arial" w:cs="Arial"/>
          <w:sz w:val="24"/>
          <w:szCs w:val="24"/>
        </w:rPr>
        <w:t xml:space="preserve">como agente de retención del IVA; </w:t>
      </w:r>
    </w:p>
    <w:p w:rsidR="00742425" w:rsidRPr="00742425" w:rsidRDefault="00020029" w:rsidP="0061144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</w:t>
      </w:r>
      <w:r w:rsidR="00611444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9D1DAF" w:rsidRPr="009D1DAF">
        <w:rPr>
          <w:rFonts w:ascii="Arial" w:hAnsi="Arial" w:cs="Arial"/>
          <w:sz w:val="24"/>
          <w:szCs w:val="24"/>
        </w:rPr>
        <w:t xml:space="preserve">que la ampliación </w:t>
      </w:r>
      <w:r w:rsidR="009D1DAF">
        <w:rPr>
          <w:rFonts w:ascii="Arial" w:hAnsi="Arial" w:cs="Arial"/>
          <w:sz w:val="24"/>
          <w:szCs w:val="24"/>
        </w:rPr>
        <w:t xml:space="preserve">dispuesta </w:t>
      </w:r>
      <w:r w:rsidR="009D1DAF" w:rsidRPr="009D1DAF">
        <w:rPr>
          <w:rFonts w:ascii="Arial" w:hAnsi="Arial" w:cs="Arial"/>
          <w:sz w:val="24"/>
          <w:szCs w:val="24"/>
        </w:rPr>
        <w:t xml:space="preserve">encuadra dentro de lo previsto por el </w:t>
      </w:r>
      <w:r w:rsidR="00611444">
        <w:rPr>
          <w:rFonts w:ascii="Arial" w:hAnsi="Arial" w:cs="Arial"/>
          <w:sz w:val="24"/>
          <w:szCs w:val="24"/>
        </w:rPr>
        <w:t>A</w:t>
      </w:r>
      <w:r w:rsidR="009D1DAF" w:rsidRPr="009D1DAF">
        <w:rPr>
          <w:rFonts w:ascii="Arial" w:hAnsi="Arial" w:cs="Arial"/>
          <w:sz w:val="24"/>
          <w:szCs w:val="24"/>
        </w:rPr>
        <w:t>rtículo 74 del TOCAF y corresponde al 100% de las prestaciones objeto del contrato, respeta las condiciones y modalidades del mismo, cuenta con la conformidad previa del adjudicatario y ha sido aprobada previamente por la autoridad competente;</w:t>
      </w:r>
    </w:p>
    <w:p w:rsidR="0026302F" w:rsidRDefault="00742425" w:rsidP="0061144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42425">
        <w:rPr>
          <w:rFonts w:ascii="Arial" w:hAnsi="Arial" w:cs="Arial"/>
          <w:b/>
          <w:sz w:val="24"/>
          <w:szCs w:val="24"/>
        </w:rPr>
        <w:t>2)</w:t>
      </w:r>
      <w:r w:rsidR="009D1DAF">
        <w:rPr>
          <w:rFonts w:ascii="Arial" w:hAnsi="Arial" w:cs="Arial"/>
          <w:sz w:val="24"/>
          <w:szCs w:val="24"/>
        </w:rPr>
        <w:t xml:space="preserve"> que no obstante, la ampliación de referencia </w:t>
      </w:r>
      <w:r w:rsidRPr="00742425">
        <w:rPr>
          <w:rFonts w:ascii="Arial" w:hAnsi="Arial" w:cs="Arial"/>
          <w:sz w:val="24"/>
          <w:szCs w:val="24"/>
        </w:rPr>
        <w:t>deriva de un procedimiento cuyo gasto fue observado originalmente por vicios de procedimiento no subsanables que la afectan;</w:t>
      </w:r>
    </w:p>
    <w:p w:rsidR="00955D23" w:rsidRDefault="00955D23" w:rsidP="0061144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 w:rsidRPr="004B61A8">
        <w:t xml:space="preserve"> </w:t>
      </w:r>
      <w:r w:rsidRPr="004B61A8">
        <w:rPr>
          <w:rFonts w:ascii="Arial" w:hAnsi="Arial" w:cs="Arial"/>
          <w:sz w:val="24"/>
          <w:szCs w:val="24"/>
        </w:rPr>
        <w:t xml:space="preserve">a lo expuesto y a lo dispuesto por el </w:t>
      </w:r>
      <w:r w:rsidR="00611444">
        <w:rPr>
          <w:rFonts w:ascii="Arial" w:hAnsi="Arial" w:cs="Arial"/>
          <w:sz w:val="24"/>
          <w:szCs w:val="24"/>
        </w:rPr>
        <w:t>A</w:t>
      </w:r>
      <w:r w:rsidRPr="004B61A8">
        <w:rPr>
          <w:rFonts w:ascii="Arial" w:hAnsi="Arial" w:cs="Arial"/>
          <w:sz w:val="24"/>
          <w:szCs w:val="24"/>
        </w:rPr>
        <w:t xml:space="preserve">rtículo 211 </w:t>
      </w:r>
      <w:r w:rsidR="00611444">
        <w:rPr>
          <w:rFonts w:ascii="Arial" w:hAnsi="Arial" w:cs="Arial"/>
          <w:sz w:val="24"/>
          <w:szCs w:val="24"/>
        </w:rPr>
        <w:t>L</w:t>
      </w:r>
      <w:r w:rsidRPr="004B61A8">
        <w:rPr>
          <w:rFonts w:ascii="Arial" w:hAnsi="Arial" w:cs="Arial"/>
          <w:sz w:val="24"/>
          <w:szCs w:val="24"/>
        </w:rPr>
        <w:t>iteral B) de la Constitución de la República:</w:t>
      </w:r>
    </w:p>
    <w:p w:rsidR="00955D23" w:rsidRPr="004B61A8" w:rsidRDefault="00955D23" w:rsidP="0061144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B61A8">
        <w:rPr>
          <w:rFonts w:ascii="Arial" w:hAnsi="Arial" w:cs="Arial"/>
          <w:b/>
          <w:sz w:val="24"/>
          <w:szCs w:val="24"/>
        </w:rPr>
        <w:t>EL TRIBUNAL ACUERDA</w:t>
      </w:r>
    </w:p>
    <w:p w:rsidR="00955D23" w:rsidRPr="009D1DAF" w:rsidRDefault="009D1DAF" w:rsidP="00611444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D1DAF">
        <w:rPr>
          <w:rFonts w:ascii="Arial" w:hAnsi="Arial" w:cs="Arial"/>
          <w:sz w:val="24"/>
          <w:szCs w:val="24"/>
        </w:rPr>
        <w:t xml:space="preserve">Observar el gasto </w:t>
      </w:r>
      <w:r w:rsidR="00D44C79">
        <w:rPr>
          <w:rFonts w:ascii="Arial" w:hAnsi="Arial" w:cs="Arial"/>
          <w:sz w:val="24"/>
          <w:szCs w:val="24"/>
        </w:rPr>
        <w:t xml:space="preserve">por lo expresado </w:t>
      </w:r>
      <w:r w:rsidRPr="009D1DAF">
        <w:rPr>
          <w:rFonts w:ascii="Arial" w:hAnsi="Arial" w:cs="Arial"/>
          <w:sz w:val="24"/>
          <w:szCs w:val="24"/>
        </w:rPr>
        <w:t xml:space="preserve"> en el Considerando 2)</w:t>
      </w:r>
      <w:r w:rsidR="00611444">
        <w:rPr>
          <w:rFonts w:ascii="Arial" w:hAnsi="Arial" w:cs="Arial"/>
          <w:sz w:val="24"/>
          <w:szCs w:val="24"/>
        </w:rPr>
        <w:t>; y</w:t>
      </w:r>
    </w:p>
    <w:p w:rsidR="009D1DAF" w:rsidRPr="009D1DAF" w:rsidRDefault="009D1DAF" w:rsidP="00611444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955D23" w:rsidRDefault="00955D23" w:rsidP="006114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A172C" w:rsidRDefault="002A172C" w:rsidP="00B05C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0029" w:rsidRDefault="00B05CDE" w:rsidP="00B05C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p w:rsidR="00E85985" w:rsidRPr="00E85985" w:rsidRDefault="00B05CDE" w:rsidP="00E859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382D">
        <w:rPr>
          <w:rFonts w:ascii="Arial" w:hAnsi="Arial" w:cs="Arial"/>
          <w:b/>
          <w:szCs w:val="24"/>
        </w:rPr>
        <w:t>CON</w:t>
      </w:r>
      <w:r>
        <w:rPr>
          <w:rFonts w:ascii="Arial" w:hAnsi="Arial" w:cs="Arial"/>
          <w:b/>
          <w:szCs w:val="24"/>
        </w:rPr>
        <w:t>S</w:t>
      </w:r>
      <w:r w:rsidRPr="00E9382D">
        <w:rPr>
          <w:rFonts w:ascii="Arial" w:hAnsi="Arial" w:cs="Arial"/>
          <w:b/>
          <w:szCs w:val="24"/>
        </w:rPr>
        <w:t xml:space="preserve">TANCIA DE FUNDAMENTO DE VOTO </w:t>
      </w:r>
      <w:r>
        <w:rPr>
          <w:rFonts w:ascii="Arial" w:hAnsi="Arial" w:cs="Arial"/>
          <w:b/>
          <w:szCs w:val="24"/>
        </w:rPr>
        <w:t>DISCORDE</w:t>
      </w:r>
      <w:r w:rsidRPr="00E9382D">
        <w:rPr>
          <w:rFonts w:ascii="Arial" w:hAnsi="Arial" w:cs="Arial"/>
          <w:b/>
          <w:szCs w:val="24"/>
        </w:rPr>
        <w:t xml:space="preserve"> DE</w:t>
      </w:r>
      <w:r>
        <w:rPr>
          <w:rFonts w:ascii="Arial" w:hAnsi="Arial" w:cs="Arial"/>
          <w:b/>
          <w:szCs w:val="24"/>
        </w:rPr>
        <w:t xml:space="preserve"> </w:t>
      </w:r>
      <w:r w:rsidRPr="00E9382D">
        <w:rPr>
          <w:rFonts w:ascii="Arial" w:hAnsi="Arial" w:cs="Arial"/>
          <w:b/>
          <w:szCs w:val="24"/>
        </w:rPr>
        <w:t>L</w:t>
      </w:r>
      <w:r>
        <w:rPr>
          <w:rFonts w:ascii="Arial" w:hAnsi="Arial" w:cs="Arial"/>
          <w:b/>
          <w:szCs w:val="24"/>
        </w:rPr>
        <w:t>A</w:t>
      </w:r>
      <w:r w:rsidRPr="00E9382D">
        <w:rPr>
          <w:rFonts w:ascii="Arial" w:hAnsi="Arial" w:cs="Arial"/>
          <w:b/>
          <w:szCs w:val="24"/>
        </w:rPr>
        <w:t xml:space="preserve"> PRESIDENT</w:t>
      </w:r>
      <w:r>
        <w:rPr>
          <w:rFonts w:ascii="Arial" w:hAnsi="Arial" w:cs="Arial"/>
          <w:b/>
          <w:szCs w:val="24"/>
        </w:rPr>
        <w:t>E</w:t>
      </w:r>
      <w:r w:rsidRPr="00E9382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    </w:t>
      </w:r>
      <w:r w:rsidRPr="002A172C">
        <w:rPr>
          <w:rFonts w:ascii="Arial" w:hAnsi="Arial" w:cs="Arial"/>
          <w:b/>
          <w:sz w:val="24"/>
          <w:szCs w:val="24"/>
        </w:rPr>
        <w:t xml:space="preserve">CRA. SUSANA </w:t>
      </w:r>
      <w:proofErr w:type="gramStart"/>
      <w:r w:rsidRPr="002A172C">
        <w:rPr>
          <w:rFonts w:ascii="Arial" w:hAnsi="Arial" w:cs="Arial"/>
          <w:b/>
          <w:sz w:val="24"/>
          <w:szCs w:val="24"/>
        </w:rPr>
        <w:t>DÍAZ :</w:t>
      </w:r>
      <w:proofErr w:type="gramEnd"/>
      <w:r w:rsidRPr="002A172C">
        <w:rPr>
          <w:rFonts w:ascii="Arial" w:hAnsi="Arial" w:cs="Arial"/>
          <w:b/>
          <w:sz w:val="24"/>
          <w:szCs w:val="24"/>
        </w:rPr>
        <w:t xml:space="preserve"> </w:t>
      </w:r>
      <w:r w:rsidRPr="00E85985">
        <w:rPr>
          <w:rFonts w:ascii="Arial" w:hAnsi="Arial" w:cs="Arial"/>
          <w:sz w:val="24"/>
          <w:szCs w:val="24"/>
        </w:rPr>
        <w:t>“</w:t>
      </w:r>
      <w:r w:rsidR="00E85985" w:rsidRPr="00E85985">
        <w:rPr>
          <w:rFonts w:ascii="Arial" w:hAnsi="Arial" w:cs="Arial"/>
          <w:sz w:val="24"/>
          <w:szCs w:val="24"/>
        </w:rPr>
        <w:t xml:space="preserve">Quien suscribe no acompañó el Proyecto elevado por los Servicios – Sesión del 9 de mayo de los corrientes – en virtud de no compartir las observaciones que lucen en el Resultando 2) realizadas en el ejercicio 2016, ejercicio durante el cual no actué en el Tribunal las </w:t>
      </w:r>
      <w:r w:rsidR="00E85985" w:rsidRPr="00E85985">
        <w:rPr>
          <w:rFonts w:ascii="Arial" w:hAnsi="Arial" w:cs="Arial"/>
          <w:sz w:val="24"/>
          <w:szCs w:val="24"/>
        </w:rPr>
        <w:lastRenderedPageBreak/>
        <w:t>observaciones realizadas no están siendo vota</w:t>
      </w:r>
      <w:bookmarkStart w:id="0" w:name="_GoBack"/>
      <w:bookmarkEnd w:id="0"/>
      <w:r w:rsidR="00E85985" w:rsidRPr="00E85985">
        <w:rPr>
          <w:rFonts w:ascii="Arial" w:hAnsi="Arial" w:cs="Arial"/>
          <w:sz w:val="24"/>
          <w:szCs w:val="24"/>
        </w:rPr>
        <w:t xml:space="preserve">das por </w:t>
      </w:r>
      <w:proofErr w:type="spellStart"/>
      <w:r w:rsidR="00E85985" w:rsidRPr="00E85985">
        <w:rPr>
          <w:rFonts w:ascii="Arial" w:hAnsi="Arial" w:cs="Arial"/>
          <w:sz w:val="24"/>
          <w:szCs w:val="24"/>
        </w:rPr>
        <w:t>mi</w:t>
      </w:r>
      <w:proofErr w:type="spellEnd"/>
      <w:r w:rsidR="00E85985" w:rsidRPr="00E85985">
        <w:rPr>
          <w:rFonts w:ascii="Arial" w:hAnsi="Arial" w:cs="Arial"/>
          <w:sz w:val="24"/>
          <w:szCs w:val="24"/>
        </w:rPr>
        <w:t xml:space="preserve"> por entender que lo realizado por el Organismo no vulnera los principios que </w:t>
      </w:r>
      <w:r w:rsidR="00E85985">
        <w:rPr>
          <w:rFonts w:ascii="Arial" w:hAnsi="Arial" w:cs="Arial"/>
          <w:sz w:val="24"/>
          <w:szCs w:val="24"/>
        </w:rPr>
        <w:t>e</w:t>
      </w:r>
      <w:r w:rsidR="00E85985" w:rsidRPr="00E85985">
        <w:rPr>
          <w:rFonts w:ascii="Arial" w:hAnsi="Arial" w:cs="Arial"/>
          <w:sz w:val="24"/>
          <w:szCs w:val="24"/>
        </w:rPr>
        <w:t xml:space="preserve">l TOCAF preserva. </w:t>
      </w:r>
    </w:p>
    <w:p w:rsidR="002A172C" w:rsidRPr="00E85985" w:rsidRDefault="00E85985" w:rsidP="00E859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5985">
        <w:rPr>
          <w:rFonts w:ascii="Arial" w:hAnsi="Arial" w:cs="Arial"/>
          <w:sz w:val="24"/>
          <w:szCs w:val="24"/>
        </w:rPr>
        <w:t>Por lo expuesto, no he votado el Oficio de referencia.”</w:t>
      </w:r>
      <w:r w:rsidR="002A172C" w:rsidRPr="00E85985">
        <w:rPr>
          <w:rFonts w:ascii="Arial" w:hAnsi="Arial" w:cs="Arial"/>
          <w:sz w:val="24"/>
          <w:szCs w:val="24"/>
        </w:rPr>
        <w:t xml:space="preserve"> </w:t>
      </w:r>
    </w:p>
    <w:p w:rsidR="00B05CDE" w:rsidRPr="002A172C" w:rsidRDefault="00B05CDE" w:rsidP="00D71A3A">
      <w:pPr>
        <w:spacing w:line="360" w:lineRule="auto"/>
        <w:jc w:val="both"/>
        <w:rPr>
          <w:rFonts w:ascii="Arial" w:hAnsi="Arial" w:cs="Arial"/>
          <w:szCs w:val="24"/>
          <w:lang w:val="es-MX"/>
        </w:rPr>
      </w:pPr>
    </w:p>
    <w:p w:rsidR="00524FEC" w:rsidRPr="002A172C" w:rsidRDefault="00B05CDE" w:rsidP="00524FE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9382D">
        <w:rPr>
          <w:rFonts w:ascii="Arial" w:hAnsi="Arial" w:cs="Arial"/>
          <w:b/>
          <w:szCs w:val="24"/>
        </w:rPr>
        <w:t>CON</w:t>
      </w:r>
      <w:r>
        <w:rPr>
          <w:rFonts w:ascii="Arial" w:hAnsi="Arial" w:cs="Arial"/>
          <w:b/>
          <w:szCs w:val="24"/>
        </w:rPr>
        <w:t>S</w:t>
      </w:r>
      <w:r w:rsidRPr="00E9382D">
        <w:rPr>
          <w:rFonts w:ascii="Arial" w:hAnsi="Arial" w:cs="Arial"/>
          <w:b/>
          <w:szCs w:val="24"/>
        </w:rPr>
        <w:t xml:space="preserve">TANCIA DE FUNDAMENTO DE VOTO </w:t>
      </w:r>
      <w:r>
        <w:rPr>
          <w:rFonts w:ascii="Arial" w:hAnsi="Arial" w:cs="Arial"/>
          <w:b/>
          <w:szCs w:val="24"/>
        </w:rPr>
        <w:t>DISCORDE</w:t>
      </w:r>
      <w:r w:rsidRPr="00E9382D">
        <w:rPr>
          <w:rFonts w:ascii="Arial" w:hAnsi="Arial" w:cs="Arial"/>
          <w:b/>
          <w:szCs w:val="24"/>
        </w:rPr>
        <w:t xml:space="preserve"> DEL </w:t>
      </w:r>
      <w:r w:rsidRPr="00837E21">
        <w:rPr>
          <w:rFonts w:ascii="Arial" w:hAnsi="Arial" w:cs="Arial"/>
          <w:b/>
          <w:szCs w:val="24"/>
        </w:rPr>
        <w:t>MINISTRO</w:t>
      </w:r>
      <w:r>
        <w:rPr>
          <w:rFonts w:ascii="Arial" w:hAnsi="Arial" w:cs="Arial"/>
          <w:szCs w:val="24"/>
        </w:rPr>
        <w:t xml:space="preserve">               </w:t>
      </w:r>
      <w:r w:rsidRPr="00D71A3A">
        <w:rPr>
          <w:rFonts w:ascii="Arial" w:hAnsi="Arial" w:cs="Arial"/>
          <w:b/>
          <w:szCs w:val="24"/>
        </w:rPr>
        <w:t>ING. MIGUEL AUMENTO:</w:t>
      </w:r>
      <w:r w:rsidRPr="005C0AC0">
        <w:rPr>
          <w:rFonts w:ascii="Arial" w:hAnsi="Arial" w:cs="Arial"/>
          <w:b/>
          <w:szCs w:val="24"/>
        </w:rPr>
        <w:t xml:space="preserve"> </w:t>
      </w:r>
      <w:r w:rsidR="00524FEC" w:rsidRPr="002A172C">
        <w:rPr>
          <w:rFonts w:ascii="Arial" w:hAnsi="Arial" w:cs="Arial"/>
          <w:sz w:val="24"/>
          <w:szCs w:val="24"/>
        </w:rPr>
        <w:t xml:space="preserve">He votado en forma discorde la Resolución recaída en este expediente, en tanto mantengo íntegramente mi posición, sustentada en ocasión de la Sesión del 22 de junio de 2017.”- </w:t>
      </w:r>
    </w:p>
    <w:p w:rsidR="00B05CDE" w:rsidRPr="005C0AC0" w:rsidRDefault="00B05CDE" w:rsidP="00D71A3A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B05CDE" w:rsidRDefault="00B05CDE" w:rsidP="00D71A3A">
      <w:pPr>
        <w:spacing w:line="360" w:lineRule="auto"/>
        <w:jc w:val="both"/>
        <w:rPr>
          <w:rFonts w:ascii="Arial" w:hAnsi="Arial" w:cs="Arial"/>
          <w:szCs w:val="24"/>
        </w:rPr>
      </w:pPr>
    </w:p>
    <w:p w:rsidR="00B05CDE" w:rsidRPr="00FB4277" w:rsidRDefault="00B05CDE" w:rsidP="00D71A3A">
      <w:pPr>
        <w:spacing w:line="360" w:lineRule="auto"/>
        <w:jc w:val="both"/>
        <w:rPr>
          <w:rFonts w:ascii="Arial" w:hAnsi="Arial" w:cs="Arial"/>
          <w:szCs w:val="24"/>
        </w:rPr>
      </w:pPr>
    </w:p>
    <w:p w:rsidR="00B05CDE" w:rsidRPr="00FB4277" w:rsidRDefault="00B05CDE" w:rsidP="00BF5137">
      <w:pPr>
        <w:spacing w:line="360" w:lineRule="auto"/>
        <w:jc w:val="both"/>
        <w:rPr>
          <w:rFonts w:ascii="Arial" w:hAnsi="Arial" w:cs="Arial"/>
          <w:szCs w:val="24"/>
        </w:rPr>
      </w:pPr>
    </w:p>
    <w:p w:rsidR="00B05CDE" w:rsidRDefault="00B05CDE" w:rsidP="00BF5137">
      <w:pPr>
        <w:spacing w:line="360" w:lineRule="auto"/>
        <w:jc w:val="both"/>
        <w:rPr>
          <w:rFonts w:ascii="Arial" w:hAnsi="Arial" w:cs="Arial"/>
          <w:szCs w:val="24"/>
        </w:rPr>
      </w:pPr>
    </w:p>
    <w:p w:rsidR="00B05CDE" w:rsidRPr="00FB4277" w:rsidRDefault="00B05CDE" w:rsidP="00305A73">
      <w:pPr>
        <w:spacing w:line="360" w:lineRule="auto"/>
        <w:rPr>
          <w:rFonts w:ascii="Arial" w:hAnsi="Arial" w:cs="Arial"/>
          <w:szCs w:val="24"/>
        </w:rPr>
      </w:pPr>
    </w:p>
    <w:p w:rsidR="00B05CDE" w:rsidRDefault="00B05CDE" w:rsidP="00FB4277">
      <w:pPr>
        <w:spacing w:line="360" w:lineRule="auto"/>
        <w:rPr>
          <w:rFonts w:ascii="Arial" w:hAnsi="Arial" w:cs="Arial"/>
          <w:szCs w:val="24"/>
        </w:rPr>
      </w:pPr>
    </w:p>
    <w:p w:rsidR="00B05CDE" w:rsidRPr="00FB4277" w:rsidRDefault="00B05CDE" w:rsidP="00FB4277">
      <w:pPr>
        <w:spacing w:line="360" w:lineRule="auto"/>
        <w:rPr>
          <w:rFonts w:ascii="Arial" w:hAnsi="Arial" w:cs="Arial"/>
          <w:szCs w:val="24"/>
        </w:rPr>
      </w:pPr>
    </w:p>
    <w:p w:rsidR="00B05CDE" w:rsidRPr="00FB4277" w:rsidRDefault="00B05CDE" w:rsidP="00FB4277">
      <w:pPr>
        <w:spacing w:line="360" w:lineRule="auto"/>
        <w:rPr>
          <w:rFonts w:ascii="Arial" w:hAnsi="Arial" w:cs="Arial"/>
          <w:szCs w:val="24"/>
        </w:rPr>
      </w:pPr>
      <w:r w:rsidRPr="00FB4277">
        <w:rPr>
          <w:rFonts w:ascii="Arial" w:hAnsi="Arial" w:cs="Arial"/>
          <w:szCs w:val="24"/>
        </w:rPr>
        <w:t xml:space="preserve">        </w:t>
      </w:r>
    </w:p>
    <w:p w:rsidR="00B05CDE" w:rsidRPr="006A2B03" w:rsidRDefault="00B05CDE" w:rsidP="006A2B03"/>
    <w:p w:rsidR="00B05CDE" w:rsidRDefault="00B05CDE" w:rsidP="00B05C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6CE9" w:rsidRDefault="00C36CE9" w:rsidP="00E270B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36CE9" w:rsidSect="00E85985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80BBA"/>
    <w:multiLevelType w:val="hybridMultilevel"/>
    <w:tmpl w:val="6E6A74A6"/>
    <w:lvl w:ilvl="0" w:tplc="9F74901E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B6"/>
    <w:rsid w:val="00020029"/>
    <w:rsid w:val="00036F40"/>
    <w:rsid w:val="0005507B"/>
    <w:rsid w:val="000F705E"/>
    <w:rsid w:val="00130655"/>
    <w:rsid w:val="001846C8"/>
    <w:rsid w:val="001C0ACB"/>
    <w:rsid w:val="0026302F"/>
    <w:rsid w:val="002A172C"/>
    <w:rsid w:val="003160F7"/>
    <w:rsid w:val="00316B07"/>
    <w:rsid w:val="0034121C"/>
    <w:rsid w:val="00342A7D"/>
    <w:rsid w:val="00457EC0"/>
    <w:rsid w:val="00462BCC"/>
    <w:rsid w:val="00505EE0"/>
    <w:rsid w:val="00524FEC"/>
    <w:rsid w:val="005A1806"/>
    <w:rsid w:val="00611444"/>
    <w:rsid w:val="00623426"/>
    <w:rsid w:val="006A6FB5"/>
    <w:rsid w:val="006C0B17"/>
    <w:rsid w:val="007062E9"/>
    <w:rsid w:val="00742425"/>
    <w:rsid w:val="007D4CD6"/>
    <w:rsid w:val="00815D00"/>
    <w:rsid w:val="0086135F"/>
    <w:rsid w:val="00927E77"/>
    <w:rsid w:val="0095146D"/>
    <w:rsid w:val="00955D23"/>
    <w:rsid w:val="009A5A29"/>
    <w:rsid w:val="009D1DAF"/>
    <w:rsid w:val="009F0D8F"/>
    <w:rsid w:val="00A31A43"/>
    <w:rsid w:val="00A43864"/>
    <w:rsid w:val="00A62A9A"/>
    <w:rsid w:val="00AA36B8"/>
    <w:rsid w:val="00B05CDE"/>
    <w:rsid w:val="00BE309E"/>
    <w:rsid w:val="00BE43C6"/>
    <w:rsid w:val="00BF1322"/>
    <w:rsid w:val="00C36CE9"/>
    <w:rsid w:val="00CA5186"/>
    <w:rsid w:val="00CF3D63"/>
    <w:rsid w:val="00CF71B7"/>
    <w:rsid w:val="00D44C79"/>
    <w:rsid w:val="00E270B6"/>
    <w:rsid w:val="00E85985"/>
    <w:rsid w:val="00F36E27"/>
    <w:rsid w:val="00F8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A172C"/>
    <w:pPr>
      <w:keepNext/>
      <w:spacing w:after="0" w:line="36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DA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A172C"/>
    <w:rPr>
      <w:rFonts w:ascii="Arial" w:eastAsia="Times New Roman" w:hAnsi="Arial" w:cs="Arial"/>
      <w:b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A172C"/>
    <w:pPr>
      <w:keepNext/>
      <w:spacing w:after="0" w:line="36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DA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A172C"/>
    <w:rPr>
      <w:rFonts w:ascii="Arial" w:eastAsia="Times New Roman" w:hAnsi="Arial" w:cs="Arial"/>
      <w:b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Miriam Cristina Rivero</cp:lastModifiedBy>
  <cp:revision>2</cp:revision>
  <cp:lastPrinted>2018-05-15T17:51:00Z</cp:lastPrinted>
  <dcterms:created xsi:type="dcterms:W3CDTF">2018-05-15T17:51:00Z</dcterms:created>
  <dcterms:modified xsi:type="dcterms:W3CDTF">2018-05-15T17:51:00Z</dcterms:modified>
</cp:coreProperties>
</file>