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94" w:rsidRPr="00943334" w:rsidRDefault="00D57B94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94333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43334" w:rsidRPr="00943334">
        <w:rPr>
          <w:rFonts w:ascii="Arial" w:hAnsi="Arial" w:cs="Arial"/>
          <w:b/>
          <w:sz w:val="28"/>
          <w:szCs w:val="28"/>
          <w:lang w:val="es-ES_tradnl"/>
        </w:rPr>
        <w:t>650</w:t>
      </w:r>
      <w:r w:rsidRPr="00943334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D57B94" w:rsidRDefault="00D57B9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7B94" w:rsidRPr="004746D1" w:rsidRDefault="00D57B9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57B94" w:rsidRPr="004746D1" w:rsidRDefault="00D57B9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57B94" w:rsidRPr="004746D1" w:rsidRDefault="00D57B9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>1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E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>B</w:t>
      </w:r>
      <w:r>
        <w:rPr>
          <w:rFonts w:ascii="Arial" w:hAnsi="Arial" w:cs="Arial"/>
          <w:b/>
          <w:sz w:val="24"/>
          <w:szCs w:val="24"/>
          <w:lang w:val="es-ES_tradnl"/>
        </w:rPr>
        <w:t>R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>ER</w:t>
      </w:r>
      <w:r>
        <w:rPr>
          <w:rFonts w:ascii="Arial" w:hAnsi="Arial" w:cs="Arial"/>
          <w:b/>
          <w:sz w:val="24"/>
          <w:szCs w:val="24"/>
          <w:lang w:val="es-ES_tradnl"/>
        </w:rPr>
        <w:t>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D57B94" w:rsidRDefault="00D57B9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 xml:space="preserve"> 2018-17-1-0000708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 xml:space="preserve"> 555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 w:rsidR="00943334"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943334" w:rsidRPr="004746D1" w:rsidRDefault="0094333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7B94" w:rsidRDefault="00D57B94" w:rsidP="00D57B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VISTO:</w:t>
      </w:r>
      <w:r w:rsidRPr="00D57B94">
        <w:rPr>
          <w:rFonts w:ascii="Arial" w:hAnsi="Arial" w:cs="Arial"/>
          <w:sz w:val="24"/>
          <w:szCs w:val="24"/>
        </w:rPr>
        <w:t xml:space="preserve"> la nota de fecha 24 de enero de 2018 remitida por el Contador Delegado en el Banco de Seguros del Estado, referente a gastos reiterados </w:t>
      </w:r>
      <w:r w:rsidR="00943334">
        <w:rPr>
          <w:rFonts w:ascii="Arial" w:hAnsi="Arial" w:cs="Arial"/>
          <w:sz w:val="24"/>
          <w:szCs w:val="24"/>
        </w:rPr>
        <w:t>en el mes de diciembre de 2017;</w:t>
      </w:r>
    </w:p>
    <w:p w:rsidR="00D57B94" w:rsidRDefault="00D57B94" w:rsidP="00D57B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RESULTANDO: 1)</w:t>
      </w:r>
      <w:r w:rsidRPr="00D57B94">
        <w:rPr>
          <w:rFonts w:ascii="Arial" w:hAnsi="Arial" w:cs="Arial"/>
          <w:sz w:val="24"/>
          <w:szCs w:val="24"/>
        </w:rPr>
        <w:t xml:space="preserve"> que el Contador Delegado observó diez gastos en los meses de noviembre y diciembre de 2017, reiterados oportunamente por el ordenador competente, d</w:t>
      </w:r>
      <w:r w:rsidR="00943334">
        <w:rPr>
          <w:rFonts w:ascii="Arial" w:hAnsi="Arial" w:cs="Arial"/>
          <w:sz w:val="24"/>
          <w:szCs w:val="24"/>
        </w:rPr>
        <w:t>e acuerdo al siguiente detalle;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57B94" w:rsidRPr="00D57B94" w:rsidTr="00D57B94">
        <w:tc>
          <w:tcPr>
            <w:tcW w:w="2881" w:type="dxa"/>
          </w:tcPr>
          <w:p w:rsidR="00D57B94" w:rsidRPr="00D57B94" w:rsidRDefault="00D57B94" w:rsidP="00D57B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B94">
              <w:rPr>
                <w:rFonts w:ascii="Arial" w:hAnsi="Arial" w:cs="Arial"/>
                <w:b/>
                <w:sz w:val="20"/>
                <w:szCs w:val="20"/>
              </w:rPr>
              <w:t>NORMATIVA</w:t>
            </w:r>
          </w:p>
        </w:tc>
        <w:tc>
          <w:tcPr>
            <w:tcW w:w="2881" w:type="dxa"/>
          </w:tcPr>
          <w:p w:rsidR="00D57B94" w:rsidRPr="00D57B94" w:rsidRDefault="00D57B94" w:rsidP="00D57B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B94">
              <w:rPr>
                <w:rFonts w:ascii="Arial" w:hAnsi="Arial" w:cs="Arial"/>
                <w:b/>
                <w:sz w:val="20"/>
                <w:szCs w:val="20"/>
              </w:rPr>
              <w:t>IMPORTE EN $</w:t>
            </w:r>
          </w:p>
        </w:tc>
        <w:tc>
          <w:tcPr>
            <w:tcW w:w="2882" w:type="dxa"/>
          </w:tcPr>
          <w:p w:rsidR="00D57B94" w:rsidRPr="00D57B94" w:rsidRDefault="00D57B94" w:rsidP="00D57B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B94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D57B94" w:rsidTr="00D57B94">
        <w:tc>
          <w:tcPr>
            <w:tcW w:w="2881" w:type="dxa"/>
          </w:tcPr>
          <w:p w:rsidR="00D57B94" w:rsidRPr="00480FA3" w:rsidRDefault="00D57B94" w:rsidP="007054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Artículo 15</w:t>
            </w:r>
            <w:r w:rsidR="00480FA3" w:rsidRPr="00480FA3">
              <w:rPr>
                <w:rFonts w:ascii="Arial" w:hAnsi="Arial" w:cs="Arial"/>
              </w:rPr>
              <w:t xml:space="preserve"> </w:t>
            </w:r>
            <w:r w:rsidR="007054BD">
              <w:rPr>
                <w:rFonts w:ascii="Arial" w:hAnsi="Arial" w:cs="Arial"/>
              </w:rPr>
              <w:t>-</w:t>
            </w:r>
            <w:r w:rsidRPr="00480FA3">
              <w:rPr>
                <w:rFonts w:ascii="Arial" w:hAnsi="Arial" w:cs="Arial"/>
              </w:rPr>
              <w:t xml:space="preserve"> TOCAF</w:t>
            </w:r>
          </w:p>
        </w:tc>
        <w:tc>
          <w:tcPr>
            <w:tcW w:w="2881" w:type="dxa"/>
          </w:tcPr>
          <w:p w:rsidR="00D57B94" w:rsidRPr="00480FA3" w:rsidRDefault="00D57B94" w:rsidP="00D57B9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7:172.684</w:t>
            </w:r>
          </w:p>
        </w:tc>
        <w:tc>
          <w:tcPr>
            <w:tcW w:w="2882" w:type="dxa"/>
          </w:tcPr>
          <w:p w:rsidR="00D57B94" w:rsidRPr="00480FA3" w:rsidRDefault="00D57B94" w:rsidP="00D57B9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5</w:t>
            </w:r>
          </w:p>
        </w:tc>
      </w:tr>
      <w:tr w:rsidR="00D57B94" w:rsidTr="00D57B94">
        <w:tc>
          <w:tcPr>
            <w:tcW w:w="2881" w:type="dxa"/>
          </w:tcPr>
          <w:p w:rsidR="00D57B94" w:rsidRPr="00480FA3" w:rsidRDefault="00D57B94" w:rsidP="007054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 xml:space="preserve">Artículos 15 y 44 </w:t>
            </w:r>
            <w:r w:rsidR="007054BD">
              <w:rPr>
                <w:rFonts w:ascii="Arial" w:hAnsi="Arial" w:cs="Arial"/>
              </w:rPr>
              <w:t>-</w:t>
            </w:r>
            <w:r w:rsidR="00480FA3" w:rsidRPr="00480FA3">
              <w:rPr>
                <w:rFonts w:ascii="Arial" w:hAnsi="Arial" w:cs="Arial"/>
              </w:rPr>
              <w:t xml:space="preserve"> </w:t>
            </w:r>
            <w:r w:rsidR="00480FA3">
              <w:rPr>
                <w:rFonts w:ascii="Arial" w:hAnsi="Arial" w:cs="Arial"/>
              </w:rPr>
              <w:t>TOCAF</w:t>
            </w:r>
            <w:r w:rsidRPr="00480F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1" w:type="dxa"/>
          </w:tcPr>
          <w:p w:rsidR="00D57B94" w:rsidRPr="00480FA3" w:rsidRDefault="00D57B94" w:rsidP="00D57B9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7:378.870</w:t>
            </w:r>
          </w:p>
        </w:tc>
        <w:tc>
          <w:tcPr>
            <w:tcW w:w="2882" w:type="dxa"/>
          </w:tcPr>
          <w:p w:rsidR="00D57B94" w:rsidRPr="00480FA3" w:rsidRDefault="00D57B94" w:rsidP="00D57B9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1</w:t>
            </w:r>
          </w:p>
        </w:tc>
      </w:tr>
      <w:tr w:rsidR="00D57B94" w:rsidTr="00D57B94">
        <w:tc>
          <w:tcPr>
            <w:tcW w:w="2881" w:type="dxa"/>
          </w:tcPr>
          <w:p w:rsidR="00D57B94" w:rsidRPr="00480FA3" w:rsidRDefault="00D57B94" w:rsidP="00480F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 xml:space="preserve">Artículo 33 </w:t>
            </w:r>
            <w:r w:rsidR="00480FA3" w:rsidRPr="00480FA3">
              <w:rPr>
                <w:rFonts w:ascii="Arial" w:hAnsi="Arial" w:cs="Arial"/>
              </w:rPr>
              <w:t>-</w:t>
            </w:r>
            <w:r w:rsidRPr="00480FA3">
              <w:rPr>
                <w:rFonts w:ascii="Arial" w:hAnsi="Arial" w:cs="Arial"/>
              </w:rPr>
              <w:t xml:space="preserve"> </w:t>
            </w:r>
            <w:r w:rsidR="00480FA3">
              <w:rPr>
                <w:rFonts w:ascii="Arial" w:hAnsi="Arial" w:cs="Arial"/>
              </w:rPr>
              <w:t>TOCAF</w:t>
            </w:r>
          </w:p>
        </w:tc>
        <w:tc>
          <w:tcPr>
            <w:tcW w:w="2881" w:type="dxa"/>
          </w:tcPr>
          <w:p w:rsidR="00D57B94" w:rsidRPr="00480FA3" w:rsidRDefault="00D57B94" w:rsidP="00D57B9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10:903.424</w:t>
            </w:r>
          </w:p>
        </w:tc>
        <w:tc>
          <w:tcPr>
            <w:tcW w:w="2882" w:type="dxa"/>
          </w:tcPr>
          <w:p w:rsidR="00D57B94" w:rsidRPr="00480FA3" w:rsidRDefault="00D57B94" w:rsidP="00D57B9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FA3">
              <w:rPr>
                <w:rFonts w:ascii="Arial" w:hAnsi="Arial" w:cs="Arial"/>
              </w:rPr>
              <w:t>4</w:t>
            </w:r>
          </w:p>
        </w:tc>
      </w:tr>
      <w:tr w:rsidR="00D57B94" w:rsidTr="00D57B94">
        <w:tc>
          <w:tcPr>
            <w:tcW w:w="2881" w:type="dxa"/>
          </w:tcPr>
          <w:p w:rsidR="00D57B94" w:rsidRPr="00480FA3" w:rsidRDefault="00D57B94" w:rsidP="00D57B9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80FA3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2881" w:type="dxa"/>
          </w:tcPr>
          <w:p w:rsidR="00D57B94" w:rsidRPr="00480FA3" w:rsidRDefault="00D57B94" w:rsidP="00D57B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480FA3">
              <w:rPr>
                <w:rFonts w:ascii="Arial" w:hAnsi="Arial" w:cs="Arial"/>
                <w:b/>
              </w:rPr>
              <w:t>25:454.978</w:t>
            </w:r>
          </w:p>
        </w:tc>
        <w:tc>
          <w:tcPr>
            <w:tcW w:w="2882" w:type="dxa"/>
          </w:tcPr>
          <w:p w:rsidR="00D57B94" w:rsidRPr="00480FA3" w:rsidRDefault="00D57B94" w:rsidP="00D57B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FA3">
              <w:rPr>
                <w:rFonts w:ascii="Arial" w:hAnsi="Arial" w:cs="Arial"/>
                <w:b/>
              </w:rPr>
              <w:t>10</w:t>
            </w:r>
          </w:p>
        </w:tc>
      </w:tr>
    </w:tbl>
    <w:p w:rsidR="00D57B94" w:rsidRDefault="00D57B94" w:rsidP="00D57B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57B94" w:rsidRDefault="00943334" w:rsidP="00D57B94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57B94" w:rsidRPr="00D57B94">
        <w:rPr>
          <w:rFonts w:ascii="Arial" w:hAnsi="Arial" w:cs="Arial"/>
          <w:b/>
          <w:sz w:val="24"/>
          <w:szCs w:val="24"/>
        </w:rPr>
        <w:t>2)</w:t>
      </w:r>
      <w:r w:rsidR="00D57B94" w:rsidRPr="00D57B94">
        <w:rPr>
          <w:rFonts w:ascii="Arial" w:hAnsi="Arial" w:cs="Arial"/>
          <w:sz w:val="24"/>
          <w:szCs w:val="24"/>
        </w:rPr>
        <w:t xml:space="preserve"> que en las resoluciones de reiteración se establecen</w:t>
      </w:r>
      <w:r>
        <w:rPr>
          <w:rFonts w:ascii="Arial" w:hAnsi="Arial" w:cs="Arial"/>
          <w:sz w:val="24"/>
          <w:szCs w:val="24"/>
        </w:rPr>
        <w:t xml:space="preserve"> los fundamentos de las mismas;</w:t>
      </w:r>
    </w:p>
    <w:p w:rsidR="00D57B94" w:rsidRDefault="00D57B94" w:rsidP="00D57B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CONSIDERANDO: 1)</w:t>
      </w:r>
      <w:r w:rsidRPr="00D57B94">
        <w:rPr>
          <w:rFonts w:ascii="Arial" w:hAnsi="Arial" w:cs="Arial"/>
          <w:sz w:val="24"/>
          <w:szCs w:val="24"/>
        </w:rPr>
        <w:t xml:space="preserve"> que el </w:t>
      </w:r>
      <w:r w:rsidR="00943334">
        <w:rPr>
          <w:rFonts w:ascii="Arial" w:hAnsi="Arial" w:cs="Arial"/>
          <w:sz w:val="24"/>
          <w:szCs w:val="24"/>
        </w:rPr>
        <w:t>A</w:t>
      </w:r>
      <w:r w:rsidRPr="00D57B94">
        <w:rPr>
          <w:rFonts w:ascii="Arial" w:hAnsi="Arial" w:cs="Arial"/>
          <w:sz w:val="24"/>
          <w:szCs w:val="24"/>
        </w:rPr>
        <w:t xml:space="preserve">rtículo 475 de la Ley N° 17.296 de 21 de febrero de 2001 establece que los ordenadores de gastos y pagos, al ejercer la facultad de insistencia o reiteración que les acuerda el Literal B) del </w:t>
      </w:r>
      <w:r w:rsidR="00943334">
        <w:rPr>
          <w:rFonts w:ascii="Arial" w:hAnsi="Arial" w:cs="Arial"/>
          <w:sz w:val="24"/>
          <w:szCs w:val="24"/>
        </w:rPr>
        <w:t>A</w:t>
      </w:r>
      <w:r w:rsidRPr="00D57B94">
        <w:rPr>
          <w:rFonts w:ascii="Arial" w:hAnsi="Arial" w:cs="Arial"/>
          <w:sz w:val="24"/>
          <w:szCs w:val="24"/>
        </w:rPr>
        <w:t>rtículo 211 de la Constitución de la República, deben hacerlo en forma fundada, expresando de manera detallada los motivos que justifican a su juicio se</w:t>
      </w:r>
      <w:r w:rsidR="00943334">
        <w:rPr>
          <w:rFonts w:ascii="Arial" w:hAnsi="Arial" w:cs="Arial"/>
          <w:sz w:val="24"/>
          <w:szCs w:val="24"/>
        </w:rPr>
        <w:t>guir el curso del gasto o pago;</w:t>
      </w:r>
    </w:p>
    <w:p w:rsidR="00D57B94" w:rsidRDefault="00D57B94" w:rsidP="00D57B94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2)</w:t>
      </w:r>
      <w:r w:rsidRPr="00D57B94">
        <w:rPr>
          <w:rFonts w:ascii="Arial" w:hAnsi="Arial" w:cs="Arial"/>
          <w:sz w:val="24"/>
          <w:szCs w:val="24"/>
        </w:rPr>
        <w:t xml:space="preserve"> que los fundamentos expuestos en las resoluciones de reiteración no ameritan el leva</w:t>
      </w:r>
      <w:r w:rsidR="00943334">
        <w:rPr>
          <w:rFonts w:ascii="Arial" w:hAnsi="Arial" w:cs="Arial"/>
          <w:sz w:val="24"/>
          <w:szCs w:val="24"/>
        </w:rPr>
        <w:t>ntamiento de las observaciones;</w:t>
      </w:r>
    </w:p>
    <w:p w:rsidR="00D57B94" w:rsidRDefault="00D57B94" w:rsidP="00D57B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lastRenderedPageBreak/>
        <w:t>ATENTO:</w:t>
      </w:r>
      <w:r w:rsidRPr="00D57B94"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</w:t>
      </w:r>
      <w:r w:rsidR="00943334">
        <w:rPr>
          <w:rFonts w:ascii="Arial" w:hAnsi="Arial" w:cs="Arial"/>
          <w:sz w:val="24"/>
          <w:szCs w:val="24"/>
        </w:rPr>
        <w:t>nstitución de la República;</w:t>
      </w:r>
    </w:p>
    <w:p w:rsidR="00D57B94" w:rsidRPr="00D57B94" w:rsidRDefault="00D57B94" w:rsidP="00824E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EL TRIBUNAL ACUERDA</w:t>
      </w:r>
    </w:p>
    <w:p w:rsidR="00D57B94" w:rsidRDefault="00D57B94" w:rsidP="00480FA3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 xml:space="preserve">1) </w:t>
      </w:r>
      <w:r w:rsidRPr="00D57B94">
        <w:rPr>
          <w:rFonts w:ascii="Arial" w:hAnsi="Arial" w:cs="Arial"/>
          <w:sz w:val="24"/>
          <w:szCs w:val="24"/>
        </w:rPr>
        <w:t xml:space="preserve">Ratificar las observaciones formuladas por el Contador Delegado en </w:t>
      </w:r>
      <w:r w:rsidR="00943334">
        <w:rPr>
          <w:rFonts w:ascii="Arial" w:hAnsi="Arial" w:cs="Arial"/>
          <w:sz w:val="24"/>
          <w:szCs w:val="24"/>
        </w:rPr>
        <w:t>el Banco de Seguros del Estado;</w:t>
      </w:r>
    </w:p>
    <w:p w:rsidR="00943334" w:rsidRDefault="00D57B94" w:rsidP="00480F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57B94">
        <w:rPr>
          <w:rFonts w:ascii="Arial" w:hAnsi="Arial" w:cs="Arial"/>
          <w:b/>
          <w:sz w:val="24"/>
          <w:szCs w:val="24"/>
        </w:rPr>
        <w:t>2)</w:t>
      </w:r>
      <w:r w:rsidRPr="00D57B94">
        <w:rPr>
          <w:rFonts w:ascii="Arial" w:hAnsi="Arial" w:cs="Arial"/>
          <w:sz w:val="24"/>
          <w:szCs w:val="24"/>
        </w:rPr>
        <w:t xml:space="preserve"> Comunicar esta Resolución al Orga</w:t>
      </w:r>
      <w:r w:rsidR="00943334">
        <w:rPr>
          <w:rFonts w:ascii="Arial" w:hAnsi="Arial" w:cs="Arial"/>
          <w:sz w:val="24"/>
          <w:szCs w:val="24"/>
        </w:rPr>
        <w:t>nismo y al Contador Delegado; y</w:t>
      </w:r>
    </w:p>
    <w:p w:rsidR="0062403A" w:rsidRDefault="00D57B94" w:rsidP="00480F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43334">
        <w:rPr>
          <w:rFonts w:ascii="Arial" w:hAnsi="Arial" w:cs="Arial"/>
          <w:b/>
          <w:sz w:val="24"/>
          <w:szCs w:val="24"/>
        </w:rPr>
        <w:t>3)</w:t>
      </w:r>
      <w:r w:rsidRPr="00D57B94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943334" w:rsidRDefault="00943334" w:rsidP="00D57B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3334" w:rsidRPr="00D57B94" w:rsidRDefault="00943334" w:rsidP="00D57B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943334" w:rsidRPr="00D57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94"/>
    <w:rsid w:val="00154579"/>
    <w:rsid w:val="00480FA3"/>
    <w:rsid w:val="0062403A"/>
    <w:rsid w:val="007054BD"/>
    <w:rsid w:val="00824EBB"/>
    <w:rsid w:val="00943334"/>
    <w:rsid w:val="00D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2018-06-04T19:46:00Z</dcterms:created>
  <dcterms:modified xsi:type="dcterms:W3CDTF">2018-06-04T20:21:00Z</dcterms:modified>
</cp:coreProperties>
</file>