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28A" w:rsidRPr="00CB328A" w:rsidRDefault="00CB328A" w:rsidP="00292093">
      <w:pPr>
        <w:tabs>
          <w:tab w:val="center" w:pos="4253"/>
        </w:tabs>
        <w:suppressAutoHyphens/>
        <w:jc w:val="right"/>
        <w:rPr>
          <w:rFonts w:ascii="Arial" w:hAnsi="Arial" w:cs="Arial"/>
          <w:b/>
          <w:sz w:val="32"/>
          <w:szCs w:val="32"/>
          <w:lang w:val="es-ES_tradnl"/>
        </w:rPr>
      </w:pPr>
      <w:bookmarkStart w:id="0" w:name="_GoBack"/>
      <w:bookmarkEnd w:id="0"/>
      <w:r w:rsidRPr="00CB328A">
        <w:rPr>
          <w:rFonts w:ascii="Arial" w:hAnsi="Arial" w:cs="Arial"/>
          <w:b/>
          <w:sz w:val="32"/>
          <w:szCs w:val="32"/>
          <w:lang w:val="es-ES_tradnl"/>
        </w:rPr>
        <w:t>RES. 648/18</w:t>
      </w:r>
    </w:p>
    <w:p w:rsidR="00CB328A" w:rsidRDefault="00CB328A">
      <w:pPr>
        <w:tabs>
          <w:tab w:val="center" w:pos="4253"/>
        </w:tabs>
        <w:suppressAutoHyphens/>
        <w:jc w:val="center"/>
        <w:rPr>
          <w:rFonts w:ascii="Arial" w:hAnsi="Arial" w:cs="Arial"/>
          <w:b/>
          <w:sz w:val="24"/>
          <w:szCs w:val="24"/>
          <w:lang w:val="es-ES_tradnl"/>
        </w:rPr>
      </w:pPr>
    </w:p>
    <w:p w:rsidR="00CB328A" w:rsidRPr="004746D1" w:rsidRDefault="00CB328A">
      <w:pPr>
        <w:tabs>
          <w:tab w:val="center" w:pos="4253"/>
        </w:tabs>
        <w:suppressAutoHyphens/>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CB328A" w:rsidRPr="004746D1" w:rsidRDefault="00CB328A">
      <w:pPr>
        <w:tabs>
          <w:tab w:val="center" w:pos="4253"/>
        </w:tabs>
        <w:suppressAutoHyphens/>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CB328A" w:rsidRPr="004746D1" w:rsidRDefault="00CB328A">
      <w:pPr>
        <w:tabs>
          <w:tab w:val="center" w:pos="4253"/>
        </w:tabs>
        <w:suppressAutoHyphens/>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2</w:t>
      </w:r>
      <w:r w:rsidR="00F840AD">
        <w:rPr>
          <w:rFonts w:ascii="Arial" w:hAnsi="Arial" w:cs="Arial"/>
          <w:b/>
          <w:sz w:val="24"/>
          <w:szCs w:val="24"/>
          <w:lang w:val="es-ES_tradnl"/>
        </w:rPr>
        <w:t>1</w:t>
      </w:r>
      <w:r>
        <w:rPr>
          <w:rFonts w:ascii="Arial" w:hAnsi="Arial" w:cs="Arial"/>
          <w:b/>
          <w:sz w:val="24"/>
          <w:szCs w:val="24"/>
          <w:lang w:val="es-ES_tradnl"/>
        </w:rPr>
        <w:t xml:space="preserve"> </w:t>
      </w:r>
      <w:r w:rsidRPr="00A03CC2">
        <w:rPr>
          <w:rFonts w:ascii="Arial" w:hAnsi="Arial" w:cs="Arial"/>
          <w:b/>
          <w:sz w:val="24"/>
          <w:szCs w:val="24"/>
          <w:lang w:val="es-ES_tradnl"/>
        </w:rPr>
        <w:t xml:space="preserve">DE </w:t>
      </w:r>
      <w:r w:rsidR="00F840AD">
        <w:rPr>
          <w:rFonts w:ascii="Arial" w:hAnsi="Arial" w:cs="Arial"/>
          <w:b/>
          <w:sz w:val="24"/>
          <w:szCs w:val="24"/>
          <w:lang w:val="es-ES_tradnl"/>
        </w:rPr>
        <w:t>F</w:t>
      </w:r>
      <w:r>
        <w:rPr>
          <w:rFonts w:ascii="Arial" w:hAnsi="Arial" w:cs="Arial"/>
          <w:b/>
          <w:sz w:val="24"/>
          <w:szCs w:val="24"/>
          <w:lang w:val="es-ES_tradnl"/>
        </w:rPr>
        <w:t>E</w:t>
      </w:r>
      <w:r w:rsidR="00F840AD">
        <w:rPr>
          <w:rFonts w:ascii="Arial" w:hAnsi="Arial" w:cs="Arial"/>
          <w:b/>
          <w:sz w:val="24"/>
          <w:szCs w:val="24"/>
          <w:lang w:val="es-ES_tradnl"/>
        </w:rPr>
        <w:t>B</w:t>
      </w:r>
      <w:r>
        <w:rPr>
          <w:rFonts w:ascii="Arial" w:hAnsi="Arial" w:cs="Arial"/>
          <w:b/>
          <w:sz w:val="24"/>
          <w:szCs w:val="24"/>
          <w:lang w:val="es-ES_tradnl"/>
        </w:rPr>
        <w:t>R</w:t>
      </w:r>
      <w:r w:rsidR="00F840AD">
        <w:rPr>
          <w:rFonts w:ascii="Arial" w:hAnsi="Arial" w:cs="Arial"/>
          <w:b/>
          <w:sz w:val="24"/>
          <w:szCs w:val="24"/>
          <w:lang w:val="es-ES_tradnl"/>
        </w:rPr>
        <w:t>ER</w:t>
      </w:r>
      <w:r>
        <w:rPr>
          <w:rFonts w:ascii="Arial" w:hAnsi="Arial" w:cs="Arial"/>
          <w:b/>
          <w:sz w:val="24"/>
          <w:szCs w:val="24"/>
          <w:lang w:val="es-ES_tradnl"/>
        </w:rPr>
        <w:t>O</w:t>
      </w:r>
      <w:r>
        <w:rPr>
          <w:rFonts w:ascii="Arial" w:hAnsi="Arial" w:cs="Arial"/>
          <w:b/>
          <w:lang w:val="es-ES_tradnl"/>
        </w:rPr>
        <w:t xml:space="preserve"> </w:t>
      </w:r>
      <w:r>
        <w:rPr>
          <w:rFonts w:ascii="Arial" w:hAnsi="Arial" w:cs="Arial"/>
          <w:b/>
          <w:sz w:val="24"/>
          <w:szCs w:val="24"/>
          <w:lang w:val="es-ES_tradnl"/>
        </w:rPr>
        <w:t>DE 2018</w:t>
      </w:r>
    </w:p>
    <w:p w:rsidR="00CB328A" w:rsidRPr="004746D1" w:rsidRDefault="00CB328A">
      <w:pPr>
        <w:tabs>
          <w:tab w:val="center" w:pos="4253"/>
        </w:tabs>
        <w:suppressAutoHyphens/>
        <w:jc w:val="center"/>
        <w:rPr>
          <w:rFonts w:ascii="Arial" w:hAnsi="Arial" w:cs="Arial"/>
          <w:b/>
          <w:sz w:val="24"/>
          <w:szCs w:val="24"/>
          <w:lang w:val="es-ES_tradnl"/>
        </w:rPr>
      </w:pPr>
      <w:r>
        <w:rPr>
          <w:rFonts w:ascii="Arial" w:hAnsi="Arial" w:cs="Arial"/>
          <w:b/>
          <w:sz w:val="24"/>
          <w:szCs w:val="24"/>
          <w:lang w:val="es-ES_tradnl"/>
        </w:rPr>
        <w:t xml:space="preserve">(E. E. Nº 2018-17-1-000656,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Pr>
          <w:rFonts w:ascii="Arial" w:hAnsi="Arial" w:cs="Arial"/>
          <w:b/>
          <w:sz w:val="24"/>
          <w:szCs w:val="24"/>
          <w:lang w:val="es-ES_tradnl"/>
        </w:rPr>
        <w:t xml:space="preserve"> N° 545</w:t>
      </w:r>
      <w:r w:rsidRPr="004746D1">
        <w:rPr>
          <w:rFonts w:ascii="Arial" w:hAnsi="Arial" w:cs="Arial"/>
          <w:b/>
          <w:sz w:val="24"/>
          <w:szCs w:val="24"/>
          <w:lang w:val="es-ES_tradnl"/>
        </w:rPr>
        <w:t>/</w:t>
      </w:r>
      <w:r>
        <w:rPr>
          <w:rFonts w:ascii="Arial" w:hAnsi="Arial" w:cs="Arial"/>
          <w:b/>
          <w:sz w:val="24"/>
          <w:szCs w:val="24"/>
          <w:lang w:val="es-ES_tradnl"/>
        </w:rPr>
        <w:t>18</w:t>
      </w:r>
      <w:r w:rsidRPr="004746D1">
        <w:rPr>
          <w:rFonts w:ascii="Arial" w:hAnsi="Arial" w:cs="Arial"/>
          <w:b/>
          <w:sz w:val="24"/>
          <w:szCs w:val="24"/>
          <w:lang w:val="es-ES_tradnl"/>
        </w:rPr>
        <w:t>)</w:t>
      </w:r>
    </w:p>
    <w:p w:rsidR="00CB328A" w:rsidRPr="004746D1" w:rsidRDefault="00CB328A">
      <w:pPr>
        <w:tabs>
          <w:tab w:val="center" w:pos="4253"/>
        </w:tabs>
        <w:suppressAutoHyphens/>
        <w:jc w:val="center"/>
        <w:rPr>
          <w:rFonts w:ascii="Arial" w:hAnsi="Arial" w:cs="Arial"/>
          <w:spacing w:val="-3"/>
          <w:sz w:val="24"/>
          <w:szCs w:val="24"/>
          <w:lang w:val="es-ES_tradnl"/>
        </w:rPr>
      </w:pPr>
    </w:p>
    <w:p w:rsidR="00CB328A" w:rsidRDefault="00CB328A" w:rsidP="00CB328A">
      <w:pPr>
        <w:spacing w:line="360" w:lineRule="auto"/>
        <w:ind w:firstLine="851"/>
        <w:jc w:val="both"/>
        <w:rPr>
          <w:rFonts w:ascii="Arial" w:hAnsi="Arial" w:cs="Arial"/>
          <w:sz w:val="24"/>
          <w:szCs w:val="24"/>
        </w:rPr>
      </w:pPr>
      <w:r w:rsidRPr="00CB328A">
        <w:rPr>
          <w:rFonts w:ascii="Arial" w:hAnsi="Arial" w:cs="Arial"/>
          <w:b/>
          <w:sz w:val="24"/>
          <w:szCs w:val="24"/>
        </w:rPr>
        <w:t>VISTO:</w:t>
      </w:r>
      <w:r w:rsidRPr="00CB328A">
        <w:rPr>
          <w:rFonts w:ascii="Arial" w:hAnsi="Arial" w:cs="Arial"/>
          <w:sz w:val="24"/>
          <w:szCs w:val="24"/>
        </w:rPr>
        <w:t xml:space="preserve"> la nota de fecha 19 de enero de 2018 remitida por la Contadora Delegada en la Junta Departamental de Rocha, relacionada con reiteraciones de gastos efectuadas en el mes de diciembre de 2017;</w:t>
      </w:r>
    </w:p>
    <w:p w:rsidR="00CB328A" w:rsidRDefault="00CB328A" w:rsidP="00CB328A">
      <w:pPr>
        <w:spacing w:line="360" w:lineRule="auto"/>
        <w:ind w:firstLine="851"/>
        <w:jc w:val="both"/>
        <w:rPr>
          <w:rFonts w:ascii="Arial" w:hAnsi="Arial" w:cs="Arial"/>
          <w:sz w:val="24"/>
          <w:szCs w:val="24"/>
        </w:rPr>
      </w:pPr>
      <w:r w:rsidRPr="00CB328A">
        <w:rPr>
          <w:rFonts w:ascii="Arial" w:hAnsi="Arial" w:cs="Arial"/>
          <w:b/>
          <w:sz w:val="24"/>
          <w:szCs w:val="24"/>
        </w:rPr>
        <w:t>RESULTANDO: 1)</w:t>
      </w:r>
      <w:r w:rsidRPr="00CB328A">
        <w:rPr>
          <w:rFonts w:ascii="Arial" w:hAnsi="Arial" w:cs="Arial"/>
          <w:sz w:val="24"/>
          <w:szCs w:val="24"/>
        </w:rPr>
        <w:t xml:space="preserve"> que la Contadora </w:t>
      </w:r>
      <w:r>
        <w:rPr>
          <w:rFonts w:ascii="Arial" w:hAnsi="Arial" w:cs="Arial"/>
          <w:sz w:val="24"/>
          <w:szCs w:val="24"/>
        </w:rPr>
        <w:t>Delegada observó 3 gastos por $</w:t>
      </w:r>
      <w:r w:rsidRPr="00CB328A">
        <w:rPr>
          <w:rFonts w:ascii="Arial" w:hAnsi="Arial" w:cs="Arial"/>
          <w:sz w:val="24"/>
          <w:szCs w:val="24"/>
        </w:rPr>
        <w:t>1:240.146, en el mes de diciembre de 20</w:t>
      </w:r>
      <w:r w:rsidR="00521A8E">
        <w:rPr>
          <w:rFonts w:ascii="Arial" w:hAnsi="Arial" w:cs="Arial"/>
          <w:sz w:val="24"/>
          <w:szCs w:val="24"/>
        </w:rPr>
        <w:t>17, según el siguiente detalle:</w:t>
      </w:r>
    </w:p>
    <w:tbl>
      <w:tblPr>
        <w:tblStyle w:val="Tablaconcuadrcula"/>
        <w:tblW w:w="0" w:type="auto"/>
        <w:tblLook w:val="04A0" w:firstRow="1" w:lastRow="0" w:firstColumn="1" w:lastColumn="0" w:noHBand="0" w:noVBand="1"/>
      </w:tblPr>
      <w:tblGrid>
        <w:gridCol w:w="5778"/>
        <w:gridCol w:w="1418"/>
        <w:gridCol w:w="1448"/>
      </w:tblGrid>
      <w:tr w:rsidR="00CB328A" w:rsidRPr="00CB328A" w:rsidTr="00521A8E">
        <w:tc>
          <w:tcPr>
            <w:tcW w:w="5778" w:type="dxa"/>
          </w:tcPr>
          <w:p w:rsidR="00CB328A" w:rsidRPr="00CB328A" w:rsidRDefault="00CB328A" w:rsidP="00CB328A">
            <w:pPr>
              <w:spacing w:line="360" w:lineRule="auto"/>
              <w:jc w:val="center"/>
              <w:rPr>
                <w:rFonts w:ascii="Arial" w:hAnsi="Arial" w:cs="Arial"/>
                <w:b/>
                <w:sz w:val="24"/>
                <w:szCs w:val="24"/>
              </w:rPr>
            </w:pPr>
            <w:r w:rsidRPr="00CB328A">
              <w:rPr>
                <w:rFonts w:ascii="Arial" w:hAnsi="Arial" w:cs="Arial"/>
                <w:b/>
                <w:sz w:val="24"/>
                <w:szCs w:val="24"/>
              </w:rPr>
              <w:t>Motivo</w:t>
            </w:r>
          </w:p>
        </w:tc>
        <w:tc>
          <w:tcPr>
            <w:tcW w:w="1418" w:type="dxa"/>
          </w:tcPr>
          <w:p w:rsidR="00CB328A" w:rsidRPr="00CB328A" w:rsidRDefault="00CB328A" w:rsidP="00CB328A">
            <w:pPr>
              <w:spacing w:line="360" w:lineRule="auto"/>
              <w:jc w:val="center"/>
              <w:rPr>
                <w:rFonts w:ascii="Arial" w:hAnsi="Arial" w:cs="Arial"/>
                <w:b/>
                <w:sz w:val="24"/>
                <w:szCs w:val="24"/>
              </w:rPr>
            </w:pPr>
            <w:r w:rsidRPr="00CB328A">
              <w:rPr>
                <w:rFonts w:ascii="Arial" w:hAnsi="Arial" w:cs="Arial"/>
                <w:b/>
                <w:sz w:val="24"/>
                <w:szCs w:val="24"/>
              </w:rPr>
              <w:t>Cantidad</w:t>
            </w:r>
          </w:p>
        </w:tc>
        <w:tc>
          <w:tcPr>
            <w:tcW w:w="1448" w:type="dxa"/>
          </w:tcPr>
          <w:p w:rsidR="00CB328A" w:rsidRPr="00CB328A" w:rsidRDefault="00CB328A" w:rsidP="00CB328A">
            <w:pPr>
              <w:spacing w:line="360" w:lineRule="auto"/>
              <w:jc w:val="center"/>
              <w:rPr>
                <w:rFonts w:ascii="Arial" w:hAnsi="Arial" w:cs="Arial"/>
                <w:b/>
                <w:sz w:val="24"/>
                <w:szCs w:val="24"/>
              </w:rPr>
            </w:pPr>
            <w:r w:rsidRPr="00CB328A">
              <w:rPr>
                <w:rFonts w:ascii="Arial" w:hAnsi="Arial" w:cs="Arial"/>
                <w:b/>
                <w:sz w:val="24"/>
                <w:szCs w:val="24"/>
              </w:rPr>
              <w:t>Importe $</w:t>
            </w:r>
          </w:p>
        </w:tc>
      </w:tr>
      <w:tr w:rsidR="00CB328A" w:rsidTr="00521A8E">
        <w:tc>
          <w:tcPr>
            <w:tcW w:w="5778" w:type="dxa"/>
          </w:tcPr>
          <w:p w:rsidR="00CB328A" w:rsidRDefault="00CB328A" w:rsidP="00521A8E">
            <w:pPr>
              <w:spacing w:line="360" w:lineRule="auto"/>
              <w:jc w:val="both"/>
              <w:rPr>
                <w:rFonts w:ascii="Arial" w:hAnsi="Arial" w:cs="Arial"/>
                <w:sz w:val="24"/>
                <w:szCs w:val="24"/>
              </w:rPr>
            </w:pPr>
            <w:r>
              <w:rPr>
                <w:rFonts w:ascii="Arial" w:hAnsi="Arial" w:cs="Arial"/>
                <w:sz w:val="24"/>
                <w:szCs w:val="24"/>
              </w:rPr>
              <w:t>Por incu</w:t>
            </w:r>
            <w:r w:rsidR="00521A8E">
              <w:rPr>
                <w:rFonts w:ascii="Arial" w:hAnsi="Arial" w:cs="Arial"/>
                <w:sz w:val="24"/>
                <w:szCs w:val="24"/>
              </w:rPr>
              <w:t>m</w:t>
            </w:r>
            <w:r>
              <w:rPr>
                <w:rFonts w:ascii="Arial" w:hAnsi="Arial" w:cs="Arial"/>
                <w:sz w:val="24"/>
                <w:szCs w:val="24"/>
              </w:rPr>
              <w:t>plimiento de la Reso</w:t>
            </w:r>
            <w:r w:rsidR="00521A8E">
              <w:rPr>
                <w:rFonts w:ascii="Arial" w:hAnsi="Arial" w:cs="Arial"/>
                <w:sz w:val="24"/>
                <w:szCs w:val="24"/>
              </w:rPr>
              <w:t>lución del TCR del 22/12/10 y de las Resoluciones 80 y 81/11 de la Junta Departamental.</w:t>
            </w:r>
          </w:p>
        </w:tc>
        <w:tc>
          <w:tcPr>
            <w:tcW w:w="1418" w:type="dxa"/>
          </w:tcPr>
          <w:p w:rsidR="00CB328A" w:rsidRPr="00521A8E" w:rsidRDefault="00521A8E" w:rsidP="00521A8E">
            <w:pPr>
              <w:spacing w:line="360" w:lineRule="auto"/>
              <w:jc w:val="right"/>
              <w:rPr>
                <w:rFonts w:ascii="Arial" w:hAnsi="Arial" w:cs="Arial"/>
                <w:sz w:val="24"/>
                <w:szCs w:val="24"/>
              </w:rPr>
            </w:pPr>
            <w:r w:rsidRPr="00521A8E">
              <w:rPr>
                <w:rFonts w:ascii="Arial" w:hAnsi="Arial" w:cs="Arial"/>
                <w:sz w:val="24"/>
                <w:szCs w:val="24"/>
              </w:rPr>
              <w:t>2</w:t>
            </w:r>
          </w:p>
        </w:tc>
        <w:tc>
          <w:tcPr>
            <w:tcW w:w="1448" w:type="dxa"/>
          </w:tcPr>
          <w:p w:rsidR="00CB328A" w:rsidRDefault="00521A8E" w:rsidP="00521A8E">
            <w:pPr>
              <w:spacing w:line="360" w:lineRule="auto"/>
              <w:jc w:val="right"/>
              <w:rPr>
                <w:rFonts w:ascii="Arial" w:hAnsi="Arial" w:cs="Arial"/>
                <w:sz w:val="24"/>
                <w:szCs w:val="24"/>
              </w:rPr>
            </w:pPr>
            <w:r>
              <w:rPr>
                <w:rFonts w:ascii="Arial" w:hAnsi="Arial" w:cs="Arial"/>
                <w:sz w:val="24"/>
                <w:szCs w:val="24"/>
              </w:rPr>
              <w:t>6.787</w:t>
            </w:r>
          </w:p>
        </w:tc>
      </w:tr>
      <w:tr w:rsidR="00CB328A" w:rsidTr="00521A8E">
        <w:tc>
          <w:tcPr>
            <w:tcW w:w="5778" w:type="dxa"/>
          </w:tcPr>
          <w:p w:rsidR="00CB328A" w:rsidRDefault="00521A8E" w:rsidP="00CB328A">
            <w:pPr>
              <w:spacing w:line="360" w:lineRule="auto"/>
              <w:jc w:val="both"/>
              <w:rPr>
                <w:rFonts w:ascii="Arial" w:hAnsi="Arial" w:cs="Arial"/>
                <w:sz w:val="24"/>
                <w:szCs w:val="24"/>
              </w:rPr>
            </w:pPr>
            <w:r>
              <w:rPr>
                <w:rFonts w:ascii="Arial" w:hAnsi="Arial" w:cs="Arial"/>
                <w:sz w:val="24"/>
                <w:szCs w:val="24"/>
              </w:rPr>
              <w:t>Por incumplimiento del art. 86 de la Constitución de la República</w:t>
            </w:r>
          </w:p>
        </w:tc>
        <w:tc>
          <w:tcPr>
            <w:tcW w:w="1418" w:type="dxa"/>
          </w:tcPr>
          <w:p w:rsidR="00CB328A" w:rsidRPr="00521A8E" w:rsidRDefault="00521A8E" w:rsidP="00521A8E">
            <w:pPr>
              <w:spacing w:line="360" w:lineRule="auto"/>
              <w:jc w:val="right"/>
              <w:rPr>
                <w:rFonts w:ascii="Arial" w:hAnsi="Arial" w:cs="Arial"/>
                <w:sz w:val="24"/>
                <w:szCs w:val="24"/>
              </w:rPr>
            </w:pPr>
            <w:r w:rsidRPr="00521A8E">
              <w:rPr>
                <w:rFonts w:ascii="Arial" w:hAnsi="Arial" w:cs="Arial"/>
                <w:sz w:val="24"/>
                <w:szCs w:val="24"/>
              </w:rPr>
              <w:t>1</w:t>
            </w:r>
          </w:p>
        </w:tc>
        <w:tc>
          <w:tcPr>
            <w:tcW w:w="1448" w:type="dxa"/>
          </w:tcPr>
          <w:p w:rsidR="00CB328A" w:rsidRDefault="00521A8E" w:rsidP="00521A8E">
            <w:pPr>
              <w:spacing w:line="360" w:lineRule="auto"/>
              <w:jc w:val="right"/>
              <w:rPr>
                <w:rFonts w:ascii="Arial" w:hAnsi="Arial" w:cs="Arial"/>
                <w:sz w:val="24"/>
                <w:szCs w:val="24"/>
              </w:rPr>
            </w:pPr>
            <w:r>
              <w:rPr>
                <w:rFonts w:ascii="Arial" w:hAnsi="Arial" w:cs="Arial"/>
                <w:sz w:val="24"/>
                <w:szCs w:val="24"/>
              </w:rPr>
              <w:t>1:233.359</w:t>
            </w:r>
          </w:p>
        </w:tc>
      </w:tr>
      <w:tr w:rsidR="00CB328A" w:rsidTr="00521A8E">
        <w:tc>
          <w:tcPr>
            <w:tcW w:w="5778" w:type="dxa"/>
          </w:tcPr>
          <w:p w:rsidR="00CB328A" w:rsidRPr="00F840AD" w:rsidRDefault="00F840AD" w:rsidP="00CB328A">
            <w:pPr>
              <w:spacing w:line="360" w:lineRule="auto"/>
              <w:jc w:val="both"/>
              <w:rPr>
                <w:rFonts w:ascii="Arial" w:hAnsi="Arial" w:cs="Arial"/>
                <w:b/>
                <w:sz w:val="24"/>
                <w:szCs w:val="24"/>
              </w:rPr>
            </w:pPr>
            <w:r w:rsidRPr="00F840AD">
              <w:rPr>
                <w:rFonts w:ascii="Arial" w:hAnsi="Arial" w:cs="Arial"/>
                <w:b/>
                <w:sz w:val="24"/>
                <w:szCs w:val="24"/>
              </w:rPr>
              <w:t>Total</w:t>
            </w:r>
          </w:p>
        </w:tc>
        <w:tc>
          <w:tcPr>
            <w:tcW w:w="1418" w:type="dxa"/>
          </w:tcPr>
          <w:p w:rsidR="00CB328A" w:rsidRPr="00521A8E" w:rsidRDefault="00521A8E" w:rsidP="00521A8E">
            <w:pPr>
              <w:spacing w:line="360" w:lineRule="auto"/>
              <w:jc w:val="right"/>
              <w:rPr>
                <w:rFonts w:ascii="Arial" w:hAnsi="Arial" w:cs="Arial"/>
                <w:b/>
                <w:sz w:val="24"/>
                <w:szCs w:val="24"/>
              </w:rPr>
            </w:pPr>
            <w:r w:rsidRPr="00521A8E">
              <w:rPr>
                <w:rFonts w:ascii="Arial" w:hAnsi="Arial" w:cs="Arial"/>
                <w:b/>
                <w:sz w:val="24"/>
                <w:szCs w:val="24"/>
              </w:rPr>
              <w:t>3</w:t>
            </w:r>
          </w:p>
        </w:tc>
        <w:tc>
          <w:tcPr>
            <w:tcW w:w="1448" w:type="dxa"/>
          </w:tcPr>
          <w:p w:rsidR="00CB328A" w:rsidRPr="00521A8E" w:rsidRDefault="00521A8E" w:rsidP="00521A8E">
            <w:pPr>
              <w:spacing w:line="360" w:lineRule="auto"/>
              <w:jc w:val="right"/>
              <w:rPr>
                <w:rFonts w:ascii="Arial" w:hAnsi="Arial" w:cs="Arial"/>
                <w:b/>
                <w:sz w:val="24"/>
                <w:szCs w:val="24"/>
              </w:rPr>
            </w:pPr>
            <w:r w:rsidRPr="00521A8E">
              <w:rPr>
                <w:rFonts w:ascii="Arial" w:hAnsi="Arial" w:cs="Arial"/>
                <w:b/>
                <w:sz w:val="24"/>
                <w:szCs w:val="24"/>
              </w:rPr>
              <w:t>1:240.146</w:t>
            </w:r>
          </w:p>
        </w:tc>
      </w:tr>
    </w:tbl>
    <w:p w:rsidR="00CB328A" w:rsidRDefault="00CB328A" w:rsidP="00CB328A">
      <w:pPr>
        <w:spacing w:line="360" w:lineRule="auto"/>
        <w:ind w:firstLine="851"/>
        <w:jc w:val="both"/>
        <w:rPr>
          <w:rFonts w:ascii="Arial" w:hAnsi="Arial" w:cs="Arial"/>
          <w:sz w:val="24"/>
          <w:szCs w:val="24"/>
        </w:rPr>
      </w:pPr>
    </w:p>
    <w:p w:rsidR="00CB328A" w:rsidRDefault="00E229B0" w:rsidP="00CB328A">
      <w:pPr>
        <w:spacing w:line="360" w:lineRule="auto"/>
        <w:ind w:firstLine="2694"/>
        <w:jc w:val="both"/>
        <w:rPr>
          <w:rFonts w:ascii="Arial" w:hAnsi="Arial" w:cs="Arial"/>
          <w:sz w:val="24"/>
          <w:szCs w:val="24"/>
        </w:rPr>
      </w:pPr>
      <w:r>
        <w:rPr>
          <w:rFonts w:ascii="Arial" w:hAnsi="Arial" w:cs="Arial"/>
          <w:b/>
          <w:sz w:val="24"/>
          <w:szCs w:val="24"/>
        </w:rPr>
        <w:t xml:space="preserve"> </w:t>
      </w:r>
      <w:r w:rsidR="00CB328A" w:rsidRPr="00CB328A">
        <w:rPr>
          <w:rFonts w:ascii="Arial" w:hAnsi="Arial" w:cs="Arial"/>
          <w:b/>
          <w:sz w:val="24"/>
          <w:szCs w:val="24"/>
        </w:rPr>
        <w:t xml:space="preserve">2) </w:t>
      </w:r>
      <w:r w:rsidR="00CB328A" w:rsidRPr="00CB328A">
        <w:rPr>
          <w:rFonts w:ascii="Arial" w:hAnsi="Arial" w:cs="Arial"/>
          <w:sz w:val="24"/>
          <w:szCs w:val="24"/>
        </w:rPr>
        <w:t>que en las resoluciones de reiteración no se establecen los fundamentos de las mismas;</w:t>
      </w:r>
    </w:p>
    <w:p w:rsidR="00CB328A" w:rsidRDefault="00CB328A" w:rsidP="00CB328A">
      <w:pPr>
        <w:spacing w:line="360" w:lineRule="auto"/>
        <w:ind w:firstLine="851"/>
        <w:jc w:val="both"/>
        <w:rPr>
          <w:rFonts w:ascii="Arial" w:hAnsi="Arial" w:cs="Arial"/>
          <w:sz w:val="24"/>
          <w:szCs w:val="24"/>
        </w:rPr>
      </w:pPr>
      <w:r w:rsidRPr="00CB328A">
        <w:rPr>
          <w:rFonts w:ascii="Arial" w:hAnsi="Arial" w:cs="Arial"/>
          <w:b/>
          <w:sz w:val="24"/>
          <w:szCs w:val="24"/>
        </w:rPr>
        <w:t>CONSIDERANDO: 1)</w:t>
      </w:r>
      <w:r w:rsidRPr="00CB328A">
        <w:rPr>
          <w:rFonts w:ascii="Arial" w:hAnsi="Arial" w:cs="Arial"/>
          <w:sz w:val="24"/>
          <w:szCs w:val="24"/>
        </w:rPr>
        <w:t xml:space="preserve"> que el </w:t>
      </w:r>
      <w:r w:rsidR="00521A8E">
        <w:rPr>
          <w:rFonts w:ascii="Arial" w:hAnsi="Arial" w:cs="Arial"/>
          <w:sz w:val="24"/>
          <w:szCs w:val="24"/>
        </w:rPr>
        <w:t>A</w:t>
      </w:r>
      <w:r w:rsidRPr="00CB328A">
        <w:rPr>
          <w:rFonts w:ascii="Arial" w:hAnsi="Arial" w:cs="Arial"/>
          <w:sz w:val="24"/>
          <w:szCs w:val="24"/>
        </w:rPr>
        <w:t>rt</w:t>
      </w:r>
      <w:r w:rsidR="00521A8E">
        <w:rPr>
          <w:rFonts w:ascii="Arial" w:hAnsi="Arial" w:cs="Arial"/>
          <w:sz w:val="24"/>
          <w:szCs w:val="24"/>
        </w:rPr>
        <w:t>ículo</w:t>
      </w:r>
      <w:r w:rsidRPr="00CB328A">
        <w:rPr>
          <w:rFonts w:ascii="Arial" w:hAnsi="Arial" w:cs="Arial"/>
          <w:sz w:val="24"/>
          <w:szCs w:val="24"/>
        </w:rPr>
        <w:t xml:space="preserve"> 475 de la Ley N° 17.296 de 21 de febrero de 2001 establece que los Ordenadores de gastos y pagos, al ejercer la facultad de insistencia o reiteración que les acuerda el </w:t>
      </w:r>
      <w:r w:rsidR="00521A8E">
        <w:rPr>
          <w:rFonts w:ascii="Arial" w:hAnsi="Arial" w:cs="Arial"/>
          <w:sz w:val="24"/>
          <w:szCs w:val="24"/>
        </w:rPr>
        <w:t>L</w:t>
      </w:r>
      <w:r w:rsidRPr="00CB328A">
        <w:rPr>
          <w:rFonts w:ascii="Arial" w:hAnsi="Arial" w:cs="Arial"/>
          <w:sz w:val="24"/>
          <w:szCs w:val="24"/>
        </w:rPr>
        <w:t>it</w:t>
      </w:r>
      <w:r w:rsidR="00521A8E">
        <w:rPr>
          <w:rFonts w:ascii="Arial" w:hAnsi="Arial" w:cs="Arial"/>
          <w:sz w:val="24"/>
          <w:szCs w:val="24"/>
        </w:rPr>
        <w:t>eral</w:t>
      </w:r>
      <w:r w:rsidRPr="00CB328A">
        <w:rPr>
          <w:rFonts w:ascii="Arial" w:hAnsi="Arial" w:cs="Arial"/>
          <w:sz w:val="24"/>
          <w:szCs w:val="24"/>
        </w:rPr>
        <w:t xml:space="preserve"> B) del </w:t>
      </w:r>
      <w:r w:rsidR="00E229B0">
        <w:rPr>
          <w:rFonts w:ascii="Arial" w:hAnsi="Arial" w:cs="Arial"/>
          <w:sz w:val="24"/>
          <w:szCs w:val="24"/>
        </w:rPr>
        <w:t>A</w:t>
      </w:r>
      <w:r w:rsidRPr="00CB328A">
        <w:rPr>
          <w:rFonts w:ascii="Arial" w:hAnsi="Arial" w:cs="Arial"/>
          <w:sz w:val="24"/>
          <w:szCs w:val="24"/>
        </w:rPr>
        <w:t>rtículo 211 de la Constitución de la República deben hacerlo en forma fundada, expresando de manera detallada los motivos que justifican a su juicio seguir el curso del gasto</w:t>
      </w:r>
      <w:r w:rsidR="00E229B0">
        <w:rPr>
          <w:rFonts w:ascii="Arial" w:hAnsi="Arial" w:cs="Arial"/>
          <w:sz w:val="24"/>
          <w:szCs w:val="24"/>
        </w:rPr>
        <w:t xml:space="preserve"> o pago;</w:t>
      </w:r>
    </w:p>
    <w:p w:rsidR="00E229B0" w:rsidRDefault="00CB328A" w:rsidP="00E229B0">
      <w:pPr>
        <w:spacing w:line="360" w:lineRule="auto"/>
        <w:ind w:firstLine="2977"/>
        <w:jc w:val="both"/>
        <w:rPr>
          <w:rFonts w:ascii="Arial" w:hAnsi="Arial" w:cs="Arial"/>
          <w:sz w:val="24"/>
          <w:szCs w:val="24"/>
        </w:rPr>
      </w:pPr>
      <w:r>
        <w:rPr>
          <w:rFonts w:ascii="Arial" w:hAnsi="Arial" w:cs="Arial"/>
          <w:b/>
          <w:sz w:val="24"/>
          <w:szCs w:val="24"/>
        </w:rPr>
        <w:lastRenderedPageBreak/>
        <w:t xml:space="preserve"> </w:t>
      </w:r>
      <w:r w:rsidRPr="00CB328A">
        <w:rPr>
          <w:rFonts w:ascii="Arial" w:hAnsi="Arial" w:cs="Arial"/>
          <w:b/>
          <w:sz w:val="24"/>
          <w:szCs w:val="24"/>
        </w:rPr>
        <w:t>2)</w:t>
      </w:r>
      <w:r w:rsidRPr="00CB328A">
        <w:rPr>
          <w:rFonts w:ascii="Arial" w:hAnsi="Arial" w:cs="Arial"/>
          <w:sz w:val="24"/>
          <w:szCs w:val="24"/>
        </w:rPr>
        <w:t xml:space="preserve"> que no se aportan nuevos elementos que ameriten el levantamiento de las observaciones;</w:t>
      </w:r>
    </w:p>
    <w:p w:rsidR="00CB328A" w:rsidRDefault="00CB328A" w:rsidP="00E229B0">
      <w:pPr>
        <w:spacing w:line="360" w:lineRule="auto"/>
        <w:ind w:firstLine="851"/>
        <w:jc w:val="both"/>
        <w:rPr>
          <w:rFonts w:ascii="Arial" w:hAnsi="Arial" w:cs="Arial"/>
          <w:sz w:val="24"/>
          <w:szCs w:val="24"/>
        </w:rPr>
      </w:pPr>
      <w:r w:rsidRPr="00CB328A">
        <w:rPr>
          <w:rFonts w:ascii="Arial" w:hAnsi="Arial" w:cs="Arial"/>
          <w:b/>
          <w:sz w:val="24"/>
          <w:szCs w:val="24"/>
        </w:rPr>
        <w:t>ATENTO:</w:t>
      </w:r>
      <w:r w:rsidRPr="00CB328A">
        <w:rPr>
          <w:rFonts w:ascii="Arial" w:hAnsi="Arial" w:cs="Arial"/>
          <w:sz w:val="24"/>
          <w:szCs w:val="24"/>
        </w:rPr>
        <w:t xml:space="preserve"> a lo expuesto precedentemente y a lo establecido por el </w:t>
      </w:r>
      <w:r w:rsidR="00E229B0">
        <w:rPr>
          <w:rFonts w:ascii="Arial" w:hAnsi="Arial" w:cs="Arial"/>
          <w:sz w:val="24"/>
          <w:szCs w:val="24"/>
        </w:rPr>
        <w:t>A</w:t>
      </w:r>
      <w:r w:rsidRPr="00CB328A">
        <w:rPr>
          <w:rFonts w:ascii="Arial" w:hAnsi="Arial" w:cs="Arial"/>
          <w:sz w:val="24"/>
          <w:szCs w:val="24"/>
        </w:rPr>
        <w:t>rt</w:t>
      </w:r>
      <w:r w:rsidR="00E229B0">
        <w:rPr>
          <w:rFonts w:ascii="Arial" w:hAnsi="Arial" w:cs="Arial"/>
          <w:sz w:val="24"/>
          <w:szCs w:val="24"/>
        </w:rPr>
        <w:t>ículo</w:t>
      </w:r>
      <w:r w:rsidRPr="00CB328A">
        <w:rPr>
          <w:rFonts w:ascii="Arial" w:hAnsi="Arial" w:cs="Arial"/>
          <w:sz w:val="24"/>
          <w:szCs w:val="24"/>
        </w:rPr>
        <w:t xml:space="preserve"> 211 </w:t>
      </w:r>
      <w:r w:rsidR="00E229B0">
        <w:rPr>
          <w:rFonts w:ascii="Arial" w:hAnsi="Arial" w:cs="Arial"/>
          <w:sz w:val="24"/>
          <w:szCs w:val="24"/>
        </w:rPr>
        <w:t>L</w:t>
      </w:r>
      <w:r w:rsidRPr="00CB328A">
        <w:rPr>
          <w:rFonts w:ascii="Arial" w:hAnsi="Arial" w:cs="Arial"/>
          <w:sz w:val="24"/>
          <w:szCs w:val="24"/>
        </w:rPr>
        <w:t>iteral B) de la Constitución de la República;</w:t>
      </w:r>
    </w:p>
    <w:p w:rsidR="00CB328A" w:rsidRPr="00CB328A" w:rsidRDefault="00CB328A" w:rsidP="00CB328A">
      <w:pPr>
        <w:spacing w:line="360" w:lineRule="auto"/>
        <w:ind w:firstLine="851"/>
        <w:jc w:val="center"/>
        <w:rPr>
          <w:rFonts w:ascii="Arial" w:hAnsi="Arial" w:cs="Arial"/>
          <w:b/>
          <w:sz w:val="24"/>
          <w:szCs w:val="24"/>
        </w:rPr>
      </w:pPr>
      <w:r w:rsidRPr="00CB328A">
        <w:rPr>
          <w:rFonts w:ascii="Arial" w:hAnsi="Arial" w:cs="Arial"/>
          <w:b/>
          <w:sz w:val="24"/>
          <w:szCs w:val="24"/>
        </w:rPr>
        <w:t>EL TRIBUNAL ACUERDA</w:t>
      </w:r>
    </w:p>
    <w:p w:rsidR="00CB328A" w:rsidRDefault="00CB328A" w:rsidP="00CB328A">
      <w:pPr>
        <w:spacing w:line="360" w:lineRule="auto"/>
        <w:jc w:val="both"/>
        <w:rPr>
          <w:rFonts w:ascii="Arial" w:hAnsi="Arial" w:cs="Arial"/>
          <w:sz w:val="24"/>
          <w:szCs w:val="24"/>
        </w:rPr>
      </w:pPr>
      <w:r w:rsidRPr="00CB328A">
        <w:rPr>
          <w:rFonts w:ascii="Arial" w:hAnsi="Arial" w:cs="Arial"/>
          <w:b/>
          <w:sz w:val="24"/>
          <w:szCs w:val="24"/>
        </w:rPr>
        <w:t xml:space="preserve">1) </w:t>
      </w:r>
      <w:r w:rsidRPr="00CB328A">
        <w:rPr>
          <w:rFonts w:ascii="Arial" w:hAnsi="Arial" w:cs="Arial"/>
          <w:sz w:val="24"/>
          <w:szCs w:val="24"/>
        </w:rPr>
        <w:t>Ratificar las observaciones formuladas por la Contadora Delegada en l</w:t>
      </w:r>
      <w:r w:rsidR="00521A8E">
        <w:rPr>
          <w:rFonts w:ascii="Arial" w:hAnsi="Arial" w:cs="Arial"/>
          <w:sz w:val="24"/>
          <w:szCs w:val="24"/>
        </w:rPr>
        <w:t>a Junta Departamental de Rocha;</w:t>
      </w:r>
      <w:r w:rsidR="00E229B0">
        <w:rPr>
          <w:rFonts w:ascii="Arial" w:hAnsi="Arial" w:cs="Arial"/>
          <w:sz w:val="24"/>
          <w:szCs w:val="24"/>
        </w:rPr>
        <w:t xml:space="preserve"> y</w:t>
      </w:r>
    </w:p>
    <w:p w:rsidR="0062403A" w:rsidRDefault="00CB328A" w:rsidP="00E229B0">
      <w:pPr>
        <w:spacing w:line="360" w:lineRule="auto"/>
        <w:jc w:val="both"/>
        <w:rPr>
          <w:rFonts w:ascii="Arial" w:hAnsi="Arial" w:cs="Arial"/>
          <w:sz w:val="24"/>
          <w:szCs w:val="24"/>
        </w:rPr>
      </w:pPr>
      <w:r w:rsidRPr="00CB328A">
        <w:rPr>
          <w:rFonts w:ascii="Arial" w:hAnsi="Arial" w:cs="Arial"/>
          <w:b/>
          <w:sz w:val="24"/>
          <w:szCs w:val="24"/>
        </w:rPr>
        <w:t>2)</w:t>
      </w:r>
      <w:r w:rsidRPr="00CB328A">
        <w:rPr>
          <w:rFonts w:ascii="Arial" w:hAnsi="Arial" w:cs="Arial"/>
          <w:sz w:val="24"/>
          <w:szCs w:val="24"/>
        </w:rPr>
        <w:t xml:space="preserve"> Dar cuenta a la Junta Departamental de Rocha y a la Contadora Delegada.</w:t>
      </w:r>
    </w:p>
    <w:p w:rsidR="00521A8E" w:rsidRDefault="00521A8E" w:rsidP="00CB328A">
      <w:pPr>
        <w:spacing w:line="360" w:lineRule="auto"/>
        <w:jc w:val="both"/>
        <w:rPr>
          <w:rFonts w:ascii="Arial" w:hAnsi="Arial" w:cs="Arial"/>
          <w:sz w:val="24"/>
          <w:szCs w:val="24"/>
        </w:rPr>
      </w:pPr>
    </w:p>
    <w:p w:rsidR="00521A8E" w:rsidRPr="00CB328A" w:rsidRDefault="00521A8E" w:rsidP="00CB328A">
      <w:pPr>
        <w:spacing w:line="360" w:lineRule="auto"/>
        <w:jc w:val="both"/>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521A8E" w:rsidRPr="00CB32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28A"/>
    <w:rsid w:val="00154579"/>
    <w:rsid w:val="00521A8E"/>
    <w:rsid w:val="0062403A"/>
    <w:rsid w:val="00CB328A"/>
    <w:rsid w:val="00CB5A88"/>
    <w:rsid w:val="00E229B0"/>
    <w:rsid w:val="00F840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B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252</Words>
  <Characters>1390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dcterms:created xsi:type="dcterms:W3CDTF">2018-06-04T19:11:00Z</dcterms:created>
  <dcterms:modified xsi:type="dcterms:W3CDTF">2018-06-04T19:21:00Z</dcterms:modified>
</cp:coreProperties>
</file>