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F6" w:rsidRPr="0048751D" w:rsidRDefault="000F7DF6" w:rsidP="0048751D">
      <w:pPr>
        <w:tabs>
          <w:tab w:val="center" w:pos="4253"/>
        </w:tabs>
        <w:suppressAutoHyphens/>
        <w:jc w:val="right"/>
        <w:rPr>
          <w:rFonts w:cs="Arial"/>
          <w:b/>
          <w:sz w:val="28"/>
          <w:szCs w:val="28"/>
          <w:lang w:val="es-ES_tradnl"/>
        </w:rPr>
      </w:pPr>
      <w:r w:rsidRPr="0048751D">
        <w:rPr>
          <w:rFonts w:cs="Arial"/>
          <w:b/>
          <w:sz w:val="28"/>
          <w:szCs w:val="28"/>
          <w:lang w:val="es-ES_tradnl"/>
        </w:rPr>
        <w:t xml:space="preserve">RES. </w:t>
      </w:r>
      <w:r>
        <w:rPr>
          <w:rFonts w:cs="Arial"/>
          <w:b/>
          <w:sz w:val="28"/>
          <w:szCs w:val="28"/>
          <w:lang w:val="es-ES_tradnl"/>
        </w:rPr>
        <w:t>1483</w:t>
      </w:r>
      <w:r w:rsidRPr="0048751D">
        <w:rPr>
          <w:rFonts w:cs="Arial"/>
          <w:b/>
          <w:sz w:val="28"/>
          <w:szCs w:val="28"/>
          <w:lang w:val="es-ES_tradnl"/>
        </w:rPr>
        <w:t>/18</w:t>
      </w:r>
    </w:p>
    <w:p w:rsidR="000F7DF6" w:rsidRPr="0048751D" w:rsidRDefault="000F7DF6" w:rsidP="0048751D">
      <w:pPr>
        <w:tabs>
          <w:tab w:val="center" w:pos="4253"/>
        </w:tabs>
        <w:suppressAutoHyphens/>
        <w:jc w:val="right"/>
        <w:rPr>
          <w:rFonts w:cs="Arial"/>
          <w:b/>
          <w:lang w:val="es-ES_tradnl"/>
        </w:rPr>
      </w:pPr>
    </w:p>
    <w:p w:rsidR="000F7DF6" w:rsidRPr="0048751D" w:rsidRDefault="000F7DF6" w:rsidP="0048751D">
      <w:pPr>
        <w:tabs>
          <w:tab w:val="center" w:pos="4253"/>
        </w:tabs>
        <w:suppressAutoHyphens/>
        <w:jc w:val="center"/>
        <w:rPr>
          <w:rFonts w:cs="Arial"/>
          <w:b/>
          <w:lang w:val="es-ES_tradnl"/>
        </w:rPr>
      </w:pPr>
      <w:r w:rsidRPr="0048751D">
        <w:rPr>
          <w:rFonts w:cs="Arial"/>
          <w:b/>
          <w:lang w:val="es-ES_tradnl"/>
        </w:rPr>
        <w:t>RESOLUCION ADOPTADA POR EL</w:t>
      </w:r>
    </w:p>
    <w:p w:rsidR="000F7DF6" w:rsidRPr="0048751D" w:rsidRDefault="000F7DF6" w:rsidP="0048751D">
      <w:pPr>
        <w:tabs>
          <w:tab w:val="left" w:pos="-720"/>
        </w:tabs>
        <w:suppressAutoHyphens/>
        <w:jc w:val="center"/>
        <w:rPr>
          <w:rFonts w:cs="Arial"/>
          <w:b/>
          <w:lang w:val="es-ES_tradnl"/>
        </w:rPr>
      </w:pPr>
    </w:p>
    <w:p w:rsidR="000F7DF6" w:rsidRPr="0048751D" w:rsidRDefault="000F7DF6" w:rsidP="0048751D">
      <w:pPr>
        <w:tabs>
          <w:tab w:val="center" w:pos="4253"/>
        </w:tabs>
        <w:suppressAutoHyphens/>
        <w:jc w:val="center"/>
        <w:rPr>
          <w:rFonts w:cs="Arial"/>
          <w:b/>
          <w:lang w:val="es-ES_tradnl"/>
        </w:rPr>
      </w:pPr>
      <w:r w:rsidRPr="0048751D">
        <w:rPr>
          <w:rFonts w:cs="Arial"/>
          <w:b/>
          <w:lang w:val="es-ES_tradnl"/>
        </w:rPr>
        <w:t>TRIBUNAL DE CUENTAS</w:t>
      </w:r>
    </w:p>
    <w:p w:rsidR="000F7DF6" w:rsidRPr="0048751D" w:rsidRDefault="000F7DF6" w:rsidP="0048751D">
      <w:pPr>
        <w:tabs>
          <w:tab w:val="left" w:pos="-720"/>
        </w:tabs>
        <w:suppressAutoHyphens/>
        <w:jc w:val="center"/>
        <w:rPr>
          <w:rFonts w:cs="Arial"/>
          <w:b/>
          <w:lang w:val="es-ES_tradnl"/>
        </w:rPr>
      </w:pPr>
    </w:p>
    <w:p w:rsidR="000F7DF6" w:rsidRPr="0048751D" w:rsidRDefault="000F7DF6" w:rsidP="0048751D">
      <w:pPr>
        <w:tabs>
          <w:tab w:val="center" w:pos="4253"/>
        </w:tabs>
        <w:suppressAutoHyphens/>
        <w:jc w:val="center"/>
        <w:rPr>
          <w:rFonts w:cs="Arial"/>
          <w:b/>
          <w:lang w:val="es-ES_tradnl"/>
        </w:rPr>
      </w:pPr>
      <w:r w:rsidRPr="0048751D">
        <w:rPr>
          <w:rFonts w:cs="Arial"/>
          <w:b/>
          <w:lang w:val="es-ES_tradnl"/>
        </w:rPr>
        <w:t xml:space="preserve">EN SESION DE FECHA 2 DE MAYO </w:t>
      </w:r>
      <w:r w:rsidRPr="0048751D">
        <w:rPr>
          <w:rFonts w:ascii="Helvetica" w:hAnsi="Helvetica"/>
          <w:b/>
          <w:lang w:val="es-ES_tradnl"/>
        </w:rPr>
        <w:t>DE 2018</w:t>
      </w:r>
    </w:p>
    <w:p w:rsidR="000F7DF6" w:rsidRPr="0048751D" w:rsidRDefault="000F7DF6" w:rsidP="0048751D">
      <w:pPr>
        <w:tabs>
          <w:tab w:val="center" w:pos="4253"/>
        </w:tabs>
        <w:suppressAutoHyphens/>
        <w:jc w:val="center"/>
        <w:rPr>
          <w:rFonts w:cs="Arial"/>
          <w:b/>
          <w:lang w:val="es-ES_tradnl"/>
        </w:rPr>
      </w:pPr>
    </w:p>
    <w:p w:rsidR="000F7DF6" w:rsidRPr="0048751D" w:rsidRDefault="000F7DF6" w:rsidP="0048751D">
      <w:pPr>
        <w:tabs>
          <w:tab w:val="center" w:pos="4253"/>
        </w:tabs>
        <w:suppressAutoHyphens/>
        <w:jc w:val="center"/>
        <w:rPr>
          <w:rFonts w:cs="Arial"/>
          <w:b/>
          <w:lang w:val="en-US"/>
        </w:rPr>
      </w:pPr>
      <w:r w:rsidRPr="0048751D">
        <w:rPr>
          <w:rFonts w:cs="Arial"/>
          <w:b/>
          <w:lang w:val="en-US"/>
        </w:rPr>
        <w:t xml:space="preserve">(E. E. Nº </w:t>
      </w:r>
      <w:r>
        <w:rPr>
          <w:rFonts w:cs="Arial"/>
          <w:b/>
          <w:lang w:val="en-US"/>
        </w:rPr>
        <w:t>2018-17-1-0002340</w:t>
      </w:r>
      <w:r w:rsidRPr="0048751D">
        <w:rPr>
          <w:rFonts w:cs="Arial"/>
          <w:b/>
          <w:lang w:val="en-US"/>
        </w:rPr>
        <w:t xml:space="preserve">, </w:t>
      </w:r>
      <w:proofErr w:type="gramStart"/>
      <w:r w:rsidRPr="0048751D">
        <w:rPr>
          <w:rFonts w:cs="Arial"/>
          <w:b/>
          <w:lang w:val="en-US"/>
        </w:rPr>
        <w:t>Ent</w:t>
      </w:r>
      <w:proofErr w:type="gramEnd"/>
      <w:r w:rsidRPr="0048751D">
        <w:rPr>
          <w:rFonts w:cs="Arial"/>
          <w:b/>
          <w:lang w:val="en-US"/>
        </w:rPr>
        <w:t xml:space="preserve">. N° </w:t>
      </w:r>
      <w:r>
        <w:rPr>
          <w:rFonts w:cs="Arial"/>
          <w:b/>
          <w:lang w:val="en-US"/>
        </w:rPr>
        <w:t>1762/18</w:t>
      </w:r>
      <w:r w:rsidRPr="0048751D">
        <w:rPr>
          <w:rFonts w:cs="Arial"/>
          <w:b/>
          <w:lang w:val="en-US"/>
        </w:rPr>
        <w:t>)</w:t>
      </w:r>
    </w:p>
    <w:p w:rsidR="000F7DF6" w:rsidRPr="0048751D" w:rsidRDefault="000F7DF6" w:rsidP="0048751D">
      <w:pPr>
        <w:tabs>
          <w:tab w:val="center" w:pos="4253"/>
        </w:tabs>
        <w:suppressAutoHyphens/>
        <w:jc w:val="center"/>
        <w:rPr>
          <w:rFonts w:ascii="Helvetica" w:hAnsi="Helvetica"/>
          <w:b/>
          <w:lang w:val="en-US"/>
        </w:rPr>
      </w:pPr>
    </w:p>
    <w:p w:rsidR="000F7DF6" w:rsidRDefault="00620C83" w:rsidP="000F7DF6">
      <w:pPr>
        <w:spacing w:line="360" w:lineRule="auto"/>
        <w:ind w:firstLine="851"/>
        <w:jc w:val="both"/>
      </w:pPr>
      <w:r>
        <w:rPr>
          <w:b/>
          <w:bCs/>
        </w:rPr>
        <w:t xml:space="preserve">VISTO: </w:t>
      </w:r>
      <w:r>
        <w:t xml:space="preserve">estas actuaciones remitidas por el </w:t>
      </w:r>
      <w:r>
        <w:rPr>
          <w:rFonts w:cs="Arial"/>
          <w:lang w:val="es-MX"/>
        </w:rPr>
        <w:t>Ministerio de Vivienda, Ordenamiento Territorial y Medio Ambiente (M.V.O.T.M.A.)</w:t>
      </w:r>
      <w:r>
        <w:t>, relacionadas con el convenio  a suscribir  con el Laboratorio Tecnológico del Uruguay (L.A.T.U.);</w:t>
      </w:r>
    </w:p>
    <w:p w:rsidR="000F7DF6" w:rsidRDefault="00620C83" w:rsidP="000F7DF6">
      <w:pPr>
        <w:spacing w:line="360" w:lineRule="auto"/>
        <w:ind w:firstLine="851"/>
        <w:jc w:val="both"/>
      </w:pPr>
      <w:r>
        <w:rPr>
          <w:b/>
          <w:bCs/>
        </w:rPr>
        <w:t xml:space="preserve">RESULTANDO: 1) </w:t>
      </w:r>
      <w:r>
        <w:t>que se remite pr</w:t>
      </w:r>
      <w:r w:rsidR="000F7DF6">
        <w:t>oyecto de convenio a suscribir por</w:t>
      </w:r>
      <w:r>
        <w:t xml:space="preserve"> el M.V.O.T.M.A. y el L.A.T.U. cuyo objeto consiste en fortalecer y mantener la estrategia de interacción y coordinación entre ambas partes, tendientes a realizar una utilización eficiente de las capacidades analíticas y de medición disponibles a nivel nacional a través del fortalecimiento de la capacidad técnica y operativa del LATU y del MVOTMA en su rol de principal institución a cargo de la gestión ambiental del país;</w:t>
      </w:r>
    </w:p>
    <w:p w:rsidR="004E1E91" w:rsidRDefault="00620C83" w:rsidP="004E1E91">
      <w:pPr>
        <w:spacing w:line="360" w:lineRule="auto"/>
        <w:ind w:firstLine="2835"/>
        <w:jc w:val="both"/>
      </w:pPr>
      <w:r>
        <w:rPr>
          <w:b/>
          <w:bCs/>
        </w:rPr>
        <w:t xml:space="preserve">2) </w:t>
      </w:r>
      <w:r>
        <w:t xml:space="preserve">que en este sentido, por intermedio del convenio, el L.A.T.U. se obliga a: </w:t>
      </w:r>
      <w:r w:rsidRPr="007A51BA">
        <w:rPr>
          <w:b/>
        </w:rPr>
        <w:t>a)</w:t>
      </w:r>
      <w:r>
        <w:t xml:space="preserve"> realizar un fortalecimiento de sus capacidades analíticas a través de la incorporación en sus programas anuales de acreditación de ensayos ambientales, cubriendo aquellas determinaciones en matrices ambientales que sean prioritarias para la D.I.N.A.M.A., </w:t>
      </w:r>
      <w:r w:rsidRPr="007A51BA">
        <w:rPr>
          <w:b/>
        </w:rPr>
        <w:t>b)</w:t>
      </w:r>
      <w:r>
        <w:t xml:space="preserve"> contribuir al fortalecimiento de las capacidades de la D.I.N.A.M.A., así como para la red de laboratorios que real</w:t>
      </w:r>
      <w:r w:rsidR="00FE68BE">
        <w:t>i</w:t>
      </w:r>
      <w:r>
        <w:t xml:space="preserve">zan análisis ambientales a través del apoyo en materia de capacitación, de conformidad con los requerimientos y programas elaborados por el M.V.O.T.M.A., </w:t>
      </w:r>
      <w:r w:rsidRPr="00FC2338">
        <w:rPr>
          <w:b/>
        </w:rPr>
        <w:t>c)</w:t>
      </w:r>
      <w:r>
        <w:t xml:space="preserve"> procesar las muestras ambientales,</w:t>
      </w:r>
      <w:r w:rsidR="000F7DF6">
        <w:t xml:space="preserve"> en tiempo y forma, de acuerdo con</w:t>
      </w:r>
      <w:r>
        <w:t xml:space="preserve"> las necesidades analíticas de D.I.N.A.M.A. que hayan sido consensuados previamente con el L.A.T.U.; </w:t>
      </w:r>
      <w:r w:rsidRPr="00FC2338">
        <w:rPr>
          <w:b/>
        </w:rPr>
        <w:t>d)</w:t>
      </w:r>
      <w:r>
        <w:t xml:space="preserve"> almacenar </w:t>
      </w:r>
      <w:proofErr w:type="spellStart"/>
      <w:r>
        <w:t>contramuestra</w:t>
      </w:r>
      <w:proofErr w:type="spellEnd"/>
      <w:r>
        <w:t xml:space="preserve"> en condiciones en los casos que corresponda para eventualmente re</w:t>
      </w:r>
      <w:r w:rsidR="00FE68BE">
        <w:t>analizar</w:t>
      </w:r>
      <w:r>
        <w:t xml:space="preserve"> las </w:t>
      </w:r>
      <w:r>
        <w:lastRenderedPageBreak/>
        <w:t xml:space="preserve">muestras, </w:t>
      </w:r>
      <w:r w:rsidRPr="00FC2338">
        <w:rPr>
          <w:b/>
        </w:rPr>
        <w:t>e)</w:t>
      </w:r>
      <w:r>
        <w:t xml:space="preserve"> apoyar al laboratorio de la D.I.N.A.M.A., brindando asesoramiento técnico y la contratación de los servicios de </w:t>
      </w:r>
      <w:proofErr w:type="spellStart"/>
      <w:r>
        <w:t>interlaboratorio</w:t>
      </w:r>
      <w:proofErr w:type="spellEnd"/>
      <w:r>
        <w:t xml:space="preserve"> en el exterior, cuando las capacidades nacionales en la materia no se adapten a los requerimientos, </w:t>
      </w:r>
      <w:r w:rsidRPr="00FC2338">
        <w:rPr>
          <w:b/>
        </w:rPr>
        <w:t>f)</w:t>
      </w:r>
      <w:r>
        <w:t xml:space="preserve"> para la prestación de los servicios analíticos, incluyendo los análisis realizados en el exterior, el L.A.T.U. realizará la </w:t>
      </w:r>
      <w:proofErr w:type="spellStart"/>
      <w:r>
        <w:t>presupuestación</w:t>
      </w:r>
      <w:proofErr w:type="spellEnd"/>
      <w:r>
        <w:t xml:space="preserve"> correspondiente y gestionará las acciones con el fin de debitar los Bioensayos de Toxicidad aguda con Vibrio </w:t>
      </w:r>
      <w:proofErr w:type="spellStart"/>
      <w:r>
        <w:t>fischeri</w:t>
      </w:r>
      <w:proofErr w:type="spellEnd"/>
      <w:r>
        <w:t xml:space="preserve"> (Sistema </w:t>
      </w:r>
      <w:proofErr w:type="spellStart"/>
      <w:r>
        <w:t>Microtox</w:t>
      </w:r>
      <w:proofErr w:type="spellEnd"/>
      <w:r>
        <w:t>) que real</w:t>
      </w:r>
      <w:r w:rsidR="00E073FD">
        <w:t>i</w:t>
      </w:r>
      <w:r>
        <w:t>ce el laboratorio de D.I.N.A.M.A. a solicitud del L.A.T.U.</w:t>
      </w:r>
      <w:r w:rsidR="000A7966">
        <w:t xml:space="preserve">, </w:t>
      </w:r>
      <w:r w:rsidR="000A7966" w:rsidRPr="000A7966">
        <w:rPr>
          <w:b/>
        </w:rPr>
        <w:t>g)</w:t>
      </w:r>
      <w:r w:rsidR="000A7966">
        <w:rPr>
          <w:b/>
        </w:rPr>
        <w:t xml:space="preserve"> </w:t>
      </w:r>
      <w:r w:rsidR="000A7966" w:rsidRPr="000A7966">
        <w:t>i</w:t>
      </w:r>
      <w:r w:rsidR="000A7966">
        <w:t xml:space="preserve">mputar el crédito generado por DINAMA por análisis </w:t>
      </w:r>
      <w:proofErr w:type="spellStart"/>
      <w:r w:rsidR="000A7966">
        <w:t>Microtox</w:t>
      </w:r>
      <w:proofErr w:type="spellEnd"/>
      <w:r w:rsidR="000A7966">
        <w:t xml:space="preserve"> por concept</w:t>
      </w:r>
      <w:r w:rsidR="00F31CD0">
        <w:t>o</w:t>
      </w:r>
      <w:r w:rsidR="000A7966">
        <w:t xml:space="preserve"> al pago de los análisis y ensayos que realiza el LATU en el marco del convenio, procediendo a realizar la bonificación correspondiente en la/s solicitud/es de análisis y ensayos de MVOTMA/DINAMA.</w:t>
      </w:r>
      <w:r>
        <w:t xml:space="preserve"> Los informes de solicitud de servicios analíticos se expedirán en formato digital con firma electrónica. Por cada uno de e</w:t>
      </w:r>
      <w:r w:rsidR="00F31CD0">
        <w:t>stos se cobrará al M.V.O.T.M.A./</w:t>
      </w:r>
      <w:r>
        <w:t>D.I.N.A.</w:t>
      </w:r>
      <w:r w:rsidR="004E1E91">
        <w:t>M.A. un timbre profesional de $</w:t>
      </w:r>
      <w:r w:rsidR="00E073FD">
        <w:t>88</w:t>
      </w:r>
      <w:r>
        <w:t xml:space="preserve">, importe que será ajustado de acuerdo con lo que establezca la caja de profesionales, </w:t>
      </w:r>
      <w:r w:rsidR="000A7966" w:rsidRPr="000A7966">
        <w:rPr>
          <w:b/>
        </w:rPr>
        <w:t>h</w:t>
      </w:r>
      <w:r w:rsidRPr="000A7966">
        <w:rPr>
          <w:b/>
        </w:rPr>
        <w:t>)</w:t>
      </w:r>
      <w:r>
        <w:t xml:space="preserve"> el L.A.T.U. deberá </w:t>
      </w:r>
      <w:r w:rsidR="000A7966">
        <w:t>com</w:t>
      </w:r>
      <w:r w:rsidR="004E1E91">
        <w:t>unicar al laboratorio de DINAMA</w:t>
      </w:r>
      <w:r w:rsidR="000A7966">
        <w:t>, cualquier cambio  sustancial en las metodologías analíticas,</w:t>
      </w:r>
      <w:r>
        <w:t xml:space="preserve"> </w:t>
      </w:r>
      <w:r w:rsidR="000A7966" w:rsidRPr="000A7966">
        <w:rPr>
          <w:b/>
        </w:rPr>
        <w:t>i</w:t>
      </w:r>
      <w:r w:rsidRPr="000A7966">
        <w:rPr>
          <w:b/>
        </w:rPr>
        <w:t>)</w:t>
      </w:r>
      <w:r>
        <w:t xml:space="preserve"> brindar al laboratorio de D.I.N.A.M.A., la información necesaria en cuanto al aseguramiento de la calidad implementado para la confiabilidad de los datos reportados, así como los resultados obtenidos en los ejercicios de </w:t>
      </w:r>
      <w:proofErr w:type="spellStart"/>
      <w:r>
        <w:t>intercalibración</w:t>
      </w:r>
      <w:proofErr w:type="spellEnd"/>
      <w:r>
        <w:t xml:space="preserve"> en los que participa el laboratorio L.A.T.U. para aquellas determinaciones analíticas por D.I.N.A.M.A., </w:t>
      </w:r>
      <w:r w:rsidR="000A7966">
        <w:rPr>
          <w:b/>
        </w:rPr>
        <w:t>j</w:t>
      </w:r>
      <w:r w:rsidRPr="00562EF6">
        <w:rPr>
          <w:b/>
        </w:rPr>
        <w:t>)</w:t>
      </w:r>
      <w:r>
        <w:t xml:space="preserve"> realizar las calibraciones de los equipos de medición del Laboratorio de la D.I.N.A.M.A.</w:t>
      </w:r>
      <w:r w:rsidR="00E606E8">
        <w:t>,</w:t>
      </w:r>
      <w:r>
        <w:t xml:space="preserve"> </w:t>
      </w:r>
      <w:r w:rsidR="000A7966" w:rsidRPr="000A7966">
        <w:rPr>
          <w:b/>
        </w:rPr>
        <w:t>k</w:t>
      </w:r>
      <w:r w:rsidRPr="000A7966">
        <w:rPr>
          <w:b/>
        </w:rPr>
        <w:t>)</w:t>
      </w:r>
      <w:r>
        <w:t xml:space="preserve"> presentar informes periódicos de seguimiento del estado de situación de las solicitudes o servicios subcontratados que posibilite la cuantificación de los mismos, así como el estado administrativo de cada solicitud o sub contratación;</w:t>
      </w:r>
    </w:p>
    <w:p w:rsidR="004E1E91" w:rsidRDefault="00620C83" w:rsidP="004E1E91">
      <w:pPr>
        <w:spacing w:line="360" w:lineRule="auto"/>
        <w:ind w:firstLine="2835"/>
        <w:jc w:val="both"/>
      </w:pPr>
      <w:r w:rsidRPr="00562EF6">
        <w:rPr>
          <w:b/>
        </w:rPr>
        <w:t>3)</w:t>
      </w:r>
      <w:r>
        <w:t xml:space="preserve"> que por su parte, el M.V.O.T.M.A. se obliga a: </w:t>
      </w:r>
      <w:r w:rsidRPr="00562EF6">
        <w:rPr>
          <w:b/>
        </w:rPr>
        <w:t>a</w:t>
      </w:r>
      <w:proofErr w:type="gramStart"/>
      <w:r w:rsidRPr="00562EF6">
        <w:rPr>
          <w:b/>
        </w:rPr>
        <w:t>)</w:t>
      </w:r>
      <w:r>
        <w:t>generar</w:t>
      </w:r>
      <w:proofErr w:type="gramEnd"/>
      <w:r>
        <w:t xml:space="preserve"> un ámbito de coordinación técnica que posibilite realizar una planificación estratégica de trabajo conjunto de manera sostenible. Coordinar el </w:t>
      </w:r>
      <w:r>
        <w:lastRenderedPageBreak/>
        <w:t xml:space="preserve">grupo de trabajo con el fin de </w:t>
      </w:r>
      <w:r w:rsidR="00E606E8">
        <w:t>avanzar</w:t>
      </w:r>
      <w:r>
        <w:t xml:space="preserve"> </w:t>
      </w:r>
      <w:r w:rsidR="00E606E8">
        <w:t xml:space="preserve">en </w:t>
      </w:r>
      <w:r>
        <w:t>la transición</w:t>
      </w:r>
      <w:r w:rsidR="00E606E8">
        <w:t xml:space="preserve"> de los </w:t>
      </w:r>
      <w:r>
        <w:t>parámetros posibles de ser analizados a nivel nacional,</w:t>
      </w:r>
      <w:r w:rsidR="00E606E8">
        <w:t xml:space="preserve"> manteniendo los logros obtenidos en convenios anteriores,</w:t>
      </w:r>
      <w:r>
        <w:t xml:space="preserve"> </w:t>
      </w:r>
      <w:r w:rsidRPr="00D9160D">
        <w:rPr>
          <w:b/>
        </w:rPr>
        <w:t>b)</w:t>
      </w:r>
      <w:r>
        <w:t xml:space="preserve"> elaborar los procedimientos necesarios que consoliden la interacción entre las partes de manera de asegurar las sinergias interinstitucionales que permitan consolidar el fortalecimiento nacional en aspectos vinculados a la generación de datos primarios para la gestión ambiental, así como el correcto desarrollo de las actividades analíticas previamente acordadas entre ambas instituciones, </w:t>
      </w:r>
      <w:r w:rsidR="00E606E8" w:rsidRPr="009E1EE2">
        <w:rPr>
          <w:b/>
        </w:rPr>
        <w:t>c)</w:t>
      </w:r>
      <w:r w:rsidR="00E606E8">
        <w:t xml:space="preserve"> el MVOTMA/DINAMA brindará al LATU el </w:t>
      </w:r>
      <w:r w:rsidR="006314F0">
        <w:t xml:space="preserve">servicio de análisis del </w:t>
      </w:r>
      <w:r w:rsidR="009E1EE2">
        <w:t>parámetro</w:t>
      </w:r>
      <w:r w:rsidR="006314F0">
        <w:t xml:space="preserve"> </w:t>
      </w:r>
      <w:proofErr w:type="spellStart"/>
      <w:r w:rsidR="006314F0">
        <w:t>Microtox</w:t>
      </w:r>
      <w:proofErr w:type="spellEnd"/>
      <w:r w:rsidR="006314F0">
        <w:t xml:space="preserve">, conforme con la </w:t>
      </w:r>
      <w:r w:rsidR="009E1EE2">
        <w:t>solicitud</w:t>
      </w:r>
      <w:r w:rsidR="006314F0">
        <w:t xml:space="preserve"> del LATU, de acuerdo a cupos disponibles, </w:t>
      </w:r>
      <w:r w:rsidR="006314F0" w:rsidRPr="009E1EE2">
        <w:rPr>
          <w:b/>
        </w:rPr>
        <w:t>d</w:t>
      </w:r>
      <w:r w:rsidRPr="009E1EE2">
        <w:rPr>
          <w:b/>
        </w:rPr>
        <w:t xml:space="preserve">) </w:t>
      </w:r>
      <w:r>
        <w:t>asegurar el cumplimiento en cuanto a la documentación asociada a las actividades enmarcadas en las c</w:t>
      </w:r>
      <w:r w:rsidR="004E1E91">
        <w:t>ondiciones que especifique el L</w:t>
      </w:r>
      <w:r>
        <w:t xml:space="preserve">ATU, y difundir información en cuanto a la preservación de las diferentes parámetros en las matrices ambientales consideradas, </w:t>
      </w:r>
      <w:r w:rsidR="006314F0" w:rsidRPr="009E1EE2">
        <w:rPr>
          <w:b/>
        </w:rPr>
        <w:t>e</w:t>
      </w:r>
      <w:r w:rsidRPr="009E1EE2">
        <w:rPr>
          <w:b/>
        </w:rPr>
        <w:t>)</w:t>
      </w:r>
      <w:r>
        <w:t xml:space="preserve"> brindar apoyo y asesoramiento técnico en materia de ensayos ambientales y aseguramientos de la calidad y </w:t>
      </w:r>
      <w:r w:rsidR="006314F0" w:rsidRPr="009E1EE2">
        <w:rPr>
          <w:b/>
        </w:rPr>
        <w:t>f</w:t>
      </w:r>
      <w:r w:rsidRPr="009E1EE2">
        <w:rPr>
          <w:b/>
        </w:rPr>
        <w:t>)</w:t>
      </w:r>
      <w:r w:rsidR="004E1E91">
        <w:t xml:space="preserve"> transferir al LA</w:t>
      </w:r>
      <w:r>
        <w:t xml:space="preserve">TU la suma de $ </w:t>
      </w:r>
      <w:r w:rsidR="006314F0">
        <w:t>59</w:t>
      </w:r>
      <w:r w:rsidR="004E1E91">
        <w:t>:</w:t>
      </w:r>
      <w:r>
        <w:t>000.000, una vez obtenida la intervención del Tribunal de Cuentas. La transferencia será realizada en</w:t>
      </w:r>
      <w:r w:rsidR="006314F0">
        <w:t xml:space="preserve"> el siguiente esquema de pagos:</w:t>
      </w:r>
      <w:r>
        <w:t xml:space="preserve"> </w:t>
      </w:r>
      <w:r w:rsidR="006314F0">
        <w:t>a) en</w:t>
      </w:r>
      <w:r w:rsidR="004E1E91">
        <w:t xml:space="preserve"> el 2018, un primer pago de $ 8:</w:t>
      </w:r>
      <w:r w:rsidR="006314F0">
        <w:t xml:space="preserve">000.000 a realizarse  en forma posterior a la firma del convenio, b) el segundo y tercer pago </w:t>
      </w:r>
      <w:r w:rsidR="004E1E91">
        <w:t>del 2018 correspondientes a $ 6:</w:t>
      </w:r>
      <w:r w:rsidR="006314F0">
        <w:t>000.000 cada uno</w:t>
      </w:r>
      <w:r w:rsidR="00F54B2E">
        <w:t xml:space="preserve"> de ellos, contra presentación y aceptación de los informes </w:t>
      </w:r>
      <w:r w:rsidR="009E1EE2">
        <w:t>correspondientes</w:t>
      </w:r>
      <w:r w:rsidR="00F31CD0">
        <w:t>, c) para el 2019 y el 202</w:t>
      </w:r>
      <w:r w:rsidR="00F54B2E">
        <w:t>0, se pre</w:t>
      </w:r>
      <w:r w:rsidR="004E1E91">
        <w:t>vén 3 pagos de cada año, de $ 6:</w:t>
      </w:r>
      <w:r w:rsidR="00F54B2E">
        <w:t xml:space="preserve">000.000 cada uno, d) en el 2021, se prevé un </w:t>
      </w:r>
      <w:r w:rsidR="004E1E91">
        <w:t>único pago de $3:</w:t>
      </w:r>
      <w:r w:rsidR="00F54B2E">
        <w:t xml:space="preserve">000.000, contra presentación de informe de plan de actividades </w:t>
      </w:r>
      <w:r w:rsidR="009E1EE2">
        <w:t>aprobado</w:t>
      </w:r>
      <w:r w:rsidR="00F54B2E">
        <w:t xml:space="preserve"> por DINAMA;</w:t>
      </w:r>
    </w:p>
    <w:p w:rsidR="004E1E91" w:rsidRDefault="00620C83" w:rsidP="004E1E91">
      <w:pPr>
        <w:spacing w:line="360" w:lineRule="auto"/>
        <w:ind w:firstLine="2835"/>
        <w:jc w:val="both"/>
      </w:pPr>
      <w:r w:rsidRPr="00EE237C">
        <w:rPr>
          <w:b/>
        </w:rPr>
        <w:t>4)</w:t>
      </w:r>
      <w:r>
        <w:t xml:space="preserve"> que se establece que ambas partes acuerdan continuar con el funcionamiento del grupo de trabajo que revisa y </w:t>
      </w:r>
      <w:r w:rsidR="00F54B2E">
        <w:t>acuerda</w:t>
      </w:r>
      <w:r>
        <w:t xml:space="preserve"> la estrategia interinstitucional de fortalecimiento de capacidades para la generación de información analítica confiable y comparable;</w:t>
      </w:r>
    </w:p>
    <w:p w:rsidR="004E1E91" w:rsidRDefault="00620C83" w:rsidP="004E1E91">
      <w:pPr>
        <w:spacing w:line="360" w:lineRule="auto"/>
        <w:ind w:firstLine="2835"/>
        <w:jc w:val="both"/>
      </w:pPr>
      <w:r>
        <w:rPr>
          <w:b/>
          <w:bCs/>
        </w:rPr>
        <w:lastRenderedPageBreak/>
        <w:t xml:space="preserve">5) </w:t>
      </w:r>
      <w:r>
        <w:t xml:space="preserve">que el convenio entrará en vigencia una vez obtenida la intervención del Tribunal de Cuentas y tendrá un plazo de </w:t>
      </w:r>
      <w:r w:rsidR="00F54B2E">
        <w:t>36</w:t>
      </w:r>
      <w:r>
        <w:t xml:space="preserve"> meses,</w:t>
      </w:r>
      <w:r w:rsidR="00F54B2E">
        <w:t xml:space="preserve"> pudiendo quedar par</w:t>
      </w:r>
      <w:r w:rsidR="009E1EE2">
        <w:t>a</w:t>
      </w:r>
      <w:r w:rsidR="00F54B2E">
        <w:t xml:space="preserve"> un plazo </w:t>
      </w:r>
      <w:r w:rsidR="009E1EE2">
        <w:t>máximo</w:t>
      </w:r>
      <w:r w:rsidR="00F54B2E">
        <w:t xml:space="preserve"> posterior de 3 meses</w:t>
      </w:r>
      <w:r w:rsidR="009E1EE2">
        <w:t xml:space="preserve"> para el cierre de productos previos, así como </w:t>
      </w:r>
      <w:r>
        <w:t>prorrogar</w:t>
      </w:r>
      <w:r w:rsidR="009E1EE2">
        <w:t>se</w:t>
      </w:r>
      <w:r>
        <w:t xml:space="preserve"> por acuerdo de partes;</w:t>
      </w:r>
    </w:p>
    <w:p w:rsidR="00620C83" w:rsidRDefault="009E1EE2" w:rsidP="004E1E91">
      <w:pPr>
        <w:spacing w:line="360" w:lineRule="auto"/>
        <w:ind w:firstLine="2835"/>
        <w:jc w:val="both"/>
        <w:rPr>
          <w:rFonts w:cs="Arial"/>
          <w:bCs/>
        </w:rPr>
      </w:pPr>
      <w:r>
        <w:rPr>
          <w:rFonts w:cs="Arial"/>
          <w:b/>
        </w:rPr>
        <w:t>6</w:t>
      </w:r>
      <w:r w:rsidR="00620C83">
        <w:rPr>
          <w:rFonts w:cs="Arial"/>
          <w:b/>
        </w:rPr>
        <w:t xml:space="preserve">) </w:t>
      </w:r>
      <w:r w:rsidR="00620C83">
        <w:rPr>
          <w:rFonts w:cs="Arial"/>
          <w:bCs/>
        </w:rPr>
        <w:t>que se adj</w:t>
      </w:r>
      <w:r w:rsidR="009B04C8">
        <w:rPr>
          <w:rFonts w:cs="Arial"/>
          <w:bCs/>
        </w:rPr>
        <w:t>unta documento de afectación Nº</w:t>
      </w:r>
      <w:r w:rsidR="00620C83">
        <w:rPr>
          <w:rFonts w:cs="Arial"/>
          <w:bCs/>
        </w:rPr>
        <w:t>000</w:t>
      </w:r>
      <w:r>
        <w:rPr>
          <w:rFonts w:cs="Arial"/>
          <w:bCs/>
        </w:rPr>
        <w:t>275</w:t>
      </w:r>
      <w:r w:rsidR="00620C83">
        <w:rPr>
          <w:rFonts w:cs="Arial"/>
          <w:bCs/>
        </w:rPr>
        <w:t xml:space="preserve"> del 2</w:t>
      </w:r>
      <w:r>
        <w:rPr>
          <w:rFonts w:cs="Arial"/>
          <w:bCs/>
        </w:rPr>
        <w:t>0</w:t>
      </w:r>
      <w:r w:rsidR="00620C83">
        <w:rPr>
          <w:rFonts w:cs="Arial"/>
          <w:bCs/>
        </w:rPr>
        <w:t>/</w:t>
      </w:r>
      <w:r>
        <w:rPr>
          <w:rFonts w:cs="Arial"/>
          <w:bCs/>
        </w:rPr>
        <w:t>3</w:t>
      </w:r>
      <w:r w:rsidR="00620C83">
        <w:rPr>
          <w:rFonts w:cs="Arial"/>
          <w:bCs/>
        </w:rPr>
        <w:t>/201</w:t>
      </w:r>
      <w:r>
        <w:rPr>
          <w:rFonts w:cs="Arial"/>
          <w:bCs/>
        </w:rPr>
        <w:t>8</w:t>
      </w:r>
      <w:r w:rsidR="00620C83">
        <w:rPr>
          <w:rFonts w:cs="Arial"/>
          <w:bCs/>
        </w:rPr>
        <w:t xml:space="preserve"> del cual surge la imputación de un total de $</w:t>
      </w:r>
      <w:r w:rsidR="009B04C8">
        <w:rPr>
          <w:rFonts w:cs="Arial"/>
          <w:bCs/>
        </w:rPr>
        <w:t>20:</w:t>
      </w:r>
      <w:r w:rsidR="00620C83">
        <w:rPr>
          <w:rFonts w:cs="Arial"/>
          <w:bCs/>
        </w:rPr>
        <w:t xml:space="preserve">000.000 con cargo al Inciso 14, Unidad </w:t>
      </w:r>
      <w:r>
        <w:rPr>
          <w:rFonts w:cs="Arial"/>
          <w:bCs/>
        </w:rPr>
        <w:t>E</w:t>
      </w:r>
      <w:r w:rsidR="00620C83">
        <w:rPr>
          <w:rFonts w:cs="Arial"/>
          <w:bCs/>
        </w:rPr>
        <w:t>jecutora 004,  Programa 380, Proyectos 735,</w:t>
      </w:r>
      <w:r w:rsidR="009B04C8">
        <w:rPr>
          <w:rFonts w:cs="Arial"/>
          <w:bCs/>
        </w:rPr>
        <w:t xml:space="preserve"> </w:t>
      </w:r>
      <w:r w:rsidR="00620C83">
        <w:rPr>
          <w:rFonts w:cs="Arial"/>
          <w:bCs/>
        </w:rPr>
        <w:t>742,</w:t>
      </w:r>
      <w:r w:rsidR="009B04C8">
        <w:rPr>
          <w:rFonts w:cs="Arial"/>
          <w:bCs/>
        </w:rPr>
        <w:t xml:space="preserve"> </w:t>
      </w:r>
      <w:r w:rsidR="00620C83">
        <w:rPr>
          <w:rFonts w:cs="Arial"/>
          <w:bCs/>
        </w:rPr>
        <w:t>747 y 748, Objeto del Gasto 551, Financiamiento 1.1 “Rentas Generales”;</w:t>
      </w:r>
    </w:p>
    <w:p w:rsidR="009B04C8" w:rsidRDefault="00620C83" w:rsidP="009B04C8">
      <w:pPr>
        <w:spacing w:line="360" w:lineRule="auto"/>
        <w:ind w:firstLine="851"/>
        <w:jc w:val="both"/>
      </w:pPr>
      <w:r>
        <w:rPr>
          <w:b/>
          <w:bCs/>
        </w:rPr>
        <w:t>CONSIDERANDO: 1)</w:t>
      </w:r>
      <w:r>
        <w:t xml:space="preserve"> que de acuerdo con lo disp</w:t>
      </w:r>
      <w:r w:rsidR="009B04C8">
        <w:t>uesto por el Numeral 7) del A</w:t>
      </w:r>
      <w:r>
        <w:t>rt</w:t>
      </w:r>
      <w:r w:rsidR="009B04C8">
        <w:t>ículo</w:t>
      </w:r>
      <w:r>
        <w:t xml:space="preserve"> 3 de la ley 16.112, corresponde al MVOTMA la formulación, ejecución, supervisión y evaluación de los planes nacionales de protección del medio ambiente y la instrumentación de la política nacional en la materia;</w:t>
      </w:r>
    </w:p>
    <w:p w:rsidR="009B04C8" w:rsidRDefault="00620C83" w:rsidP="009B04C8">
      <w:pPr>
        <w:spacing w:line="360" w:lineRule="auto"/>
        <w:ind w:firstLine="3119"/>
        <w:jc w:val="both"/>
        <w:rPr>
          <w:rFonts w:cs="Arial"/>
        </w:rPr>
      </w:pPr>
      <w:r>
        <w:rPr>
          <w:rFonts w:cs="Arial"/>
          <w:b/>
          <w:bCs/>
        </w:rPr>
        <w:t xml:space="preserve">2) </w:t>
      </w:r>
      <w:r>
        <w:rPr>
          <w:rFonts w:cs="Arial"/>
        </w:rPr>
        <w:t xml:space="preserve">que en </w:t>
      </w:r>
      <w:r w:rsidR="009B04C8">
        <w:rPr>
          <w:rFonts w:cs="Arial"/>
        </w:rPr>
        <w:t>ese marco, de acuerdo con lo establecido en el Numer</w:t>
      </w:r>
      <w:r>
        <w:rPr>
          <w:rFonts w:cs="Arial"/>
        </w:rPr>
        <w:t>al</w:t>
      </w:r>
      <w:r w:rsidR="009B04C8">
        <w:rPr>
          <w:rFonts w:cs="Arial"/>
        </w:rPr>
        <w:t xml:space="preserve"> 9) del citado Artículo 3 de la L</w:t>
      </w:r>
      <w:r>
        <w:rPr>
          <w:rFonts w:cs="Arial"/>
        </w:rPr>
        <w:t>ey 16.112,  se autoriza al MVOTMA a suscribir convenios con personas públicas y privadas, nacionales o extranjeras, para el cumplimiento de sus cometidos;</w:t>
      </w:r>
    </w:p>
    <w:p w:rsidR="009B04C8" w:rsidRDefault="00620C83" w:rsidP="009B04C8">
      <w:pPr>
        <w:spacing w:line="360" w:lineRule="auto"/>
        <w:ind w:firstLine="3119"/>
        <w:jc w:val="both"/>
      </w:pPr>
      <w:r>
        <w:rPr>
          <w:rFonts w:cs="Arial"/>
          <w:b/>
          <w:bCs/>
          <w:lang w:val="es-MX"/>
        </w:rPr>
        <w:t xml:space="preserve">3) </w:t>
      </w:r>
      <w:r>
        <w:t>que el Laboratorio de Anális</w:t>
      </w:r>
      <w:r w:rsidR="009B04C8">
        <w:t>is y Ensayos fue creado por el Artículo 157 Numeral 23 L</w:t>
      </w:r>
      <w:r>
        <w:t>it</w:t>
      </w:r>
      <w:r w:rsidR="009B04C8">
        <w:t>eral B) de la L</w:t>
      </w:r>
      <w:r>
        <w:t>ey 12.803 y categorizado como per</w:t>
      </w:r>
      <w:r w:rsidR="009B04C8">
        <w:t>sona pública no estatal por el Artículo 97 de la L</w:t>
      </w:r>
      <w:r>
        <w:t>ey 13.737, denominándose Laboratorio Tecnológico d</w:t>
      </w:r>
      <w:r w:rsidR="009B04C8">
        <w:t>el Uruguay (LATU) a partir del A</w:t>
      </w:r>
      <w:r>
        <w:t>rt</w:t>
      </w:r>
      <w:r w:rsidR="009B04C8">
        <w:t>ículo</w:t>
      </w:r>
      <w:r>
        <w:t xml:space="preserve"> 230</w:t>
      </w:r>
      <w:r w:rsidR="009B04C8">
        <w:t xml:space="preserve"> de la L</w:t>
      </w:r>
      <w:r>
        <w:t>ey 14.416;</w:t>
      </w:r>
    </w:p>
    <w:p w:rsidR="00620C83" w:rsidRDefault="00620C83" w:rsidP="009B04C8">
      <w:pPr>
        <w:spacing w:line="360" w:lineRule="auto"/>
        <w:ind w:firstLine="3119"/>
        <w:jc w:val="both"/>
        <w:rPr>
          <w:rFonts w:cs="Arial"/>
          <w:lang w:val="es-MX"/>
        </w:rPr>
      </w:pPr>
      <w:r w:rsidRPr="00EE237C">
        <w:rPr>
          <w:rFonts w:cs="Arial"/>
          <w:b/>
          <w:lang w:val="es-MX"/>
        </w:rPr>
        <w:t>4</w:t>
      </w:r>
      <w:r w:rsidRPr="00EE237C">
        <w:rPr>
          <w:rFonts w:cs="Arial"/>
          <w:b/>
          <w:bCs/>
          <w:lang w:val="es-MX"/>
        </w:rPr>
        <w:t>)</w:t>
      </w:r>
      <w:r>
        <w:rPr>
          <w:rFonts w:cs="Arial"/>
          <w:lang w:val="es-MX"/>
        </w:rPr>
        <w:t xml:space="preserve"> que el procedimiento directo seguido para la selección del </w:t>
      </w:r>
      <w:proofErr w:type="spellStart"/>
      <w:r>
        <w:rPr>
          <w:rFonts w:cs="Arial"/>
          <w:lang w:val="es-MX"/>
        </w:rPr>
        <w:t>co</w:t>
      </w:r>
      <w:proofErr w:type="spellEnd"/>
      <w:r>
        <w:rPr>
          <w:rFonts w:cs="Arial"/>
          <w:lang w:val="es-MX"/>
        </w:rPr>
        <w:t>-contratante, atendiendo a la naturaleza jurídica de las partes del convenio, e</w:t>
      </w:r>
      <w:r w:rsidR="008D5D74">
        <w:rPr>
          <w:rFonts w:cs="Arial"/>
          <w:lang w:val="es-MX"/>
        </w:rPr>
        <w:t>ncuadra en lo dispuesto por el Literal C) Numeral 1) del A</w:t>
      </w:r>
      <w:r>
        <w:rPr>
          <w:rFonts w:cs="Arial"/>
          <w:lang w:val="es-MX"/>
        </w:rPr>
        <w:t>rtículo 33 del TOCAF;</w:t>
      </w:r>
    </w:p>
    <w:p w:rsidR="00620C83" w:rsidRDefault="00620C83" w:rsidP="008D5D74">
      <w:pPr>
        <w:spacing w:line="360" w:lineRule="auto"/>
        <w:ind w:firstLine="851"/>
        <w:jc w:val="both"/>
        <w:rPr>
          <w:rFonts w:cs="Arial"/>
          <w:lang w:val="es-MX"/>
        </w:rPr>
      </w:pPr>
      <w:r>
        <w:rPr>
          <w:rFonts w:cs="Arial"/>
          <w:b/>
          <w:bCs/>
          <w:lang w:val="es-MX"/>
        </w:rPr>
        <w:t>ATENTO:</w:t>
      </w:r>
      <w:r>
        <w:rPr>
          <w:rFonts w:cs="Arial"/>
          <w:lang w:val="es-MX"/>
        </w:rPr>
        <w:t xml:space="preserve"> a lo expresado precedent</w:t>
      </w:r>
      <w:r w:rsidR="008D5D74">
        <w:rPr>
          <w:rFonts w:cs="Arial"/>
          <w:lang w:val="es-MX"/>
        </w:rPr>
        <w:t>emente y a lo dispuesto por el A</w:t>
      </w:r>
      <w:r>
        <w:rPr>
          <w:rFonts w:cs="Arial"/>
          <w:lang w:val="es-MX"/>
        </w:rPr>
        <w:t xml:space="preserve">rtículo 211 </w:t>
      </w:r>
      <w:r w:rsidR="008D5D74">
        <w:rPr>
          <w:rFonts w:cs="Arial"/>
          <w:lang w:val="es-MX"/>
        </w:rPr>
        <w:t>L</w:t>
      </w:r>
      <w:r>
        <w:rPr>
          <w:rFonts w:cs="Arial"/>
          <w:lang w:val="es-MX"/>
        </w:rPr>
        <w:t xml:space="preserve">iteral B) de la Constitución de la República; </w:t>
      </w:r>
    </w:p>
    <w:p w:rsidR="00620C83" w:rsidRDefault="00620C83" w:rsidP="00620C83">
      <w:pPr>
        <w:spacing w:line="360" w:lineRule="auto"/>
        <w:ind w:firstLine="708"/>
        <w:jc w:val="center"/>
        <w:rPr>
          <w:b/>
          <w:bCs/>
        </w:rPr>
      </w:pPr>
    </w:p>
    <w:p w:rsidR="00620C83" w:rsidRDefault="008D5D74" w:rsidP="00620C83">
      <w:pPr>
        <w:spacing w:line="360" w:lineRule="auto"/>
        <w:ind w:firstLine="708"/>
        <w:jc w:val="center"/>
        <w:rPr>
          <w:b/>
          <w:bCs/>
        </w:rPr>
      </w:pPr>
      <w:r>
        <w:rPr>
          <w:b/>
          <w:bCs/>
        </w:rPr>
        <w:lastRenderedPageBreak/>
        <w:t>EL TRIBUNAL ACUERDA</w:t>
      </w:r>
    </w:p>
    <w:p w:rsidR="00620C83" w:rsidRPr="00D725D3" w:rsidRDefault="00620C83" w:rsidP="008D5D74">
      <w:pPr>
        <w:numPr>
          <w:ilvl w:val="0"/>
          <w:numId w:val="1"/>
        </w:numPr>
        <w:tabs>
          <w:tab w:val="clear" w:pos="720"/>
          <w:tab w:val="num" w:pos="284"/>
        </w:tabs>
        <w:spacing w:line="360" w:lineRule="auto"/>
        <w:ind w:left="284" w:hanging="284"/>
        <w:jc w:val="both"/>
      </w:pPr>
      <w:r>
        <w:t xml:space="preserve">No formular observaciones al convenio a </w:t>
      </w:r>
      <w:r w:rsidR="00EF50D9">
        <w:t>suscribir</w:t>
      </w:r>
      <w:r w:rsidR="008D5D74">
        <w:t xml:space="preserve"> por</w:t>
      </w:r>
      <w:r>
        <w:t xml:space="preserve"> el</w:t>
      </w:r>
      <w:r>
        <w:rPr>
          <w:rFonts w:cs="Arial"/>
          <w:lang w:val="es-MX"/>
        </w:rPr>
        <w:t xml:space="preserve"> Ministerio de Vivienda, Ordenamiento Territorial y Medio Ambiente y el Laboratorio Tecnológico del Uruguay;</w:t>
      </w:r>
    </w:p>
    <w:p w:rsidR="00620C83" w:rsidRDefault="008D5D74" w:rsidP="008D5D74">
      <w:pPr>
        <w:numPr>
          <w:ilvl w:val="0"/>
          <w:numId w:val="1"/>
        </w:numPr>
        <w:tabs>
          <w:tab w:val="clear" w:pos="720"/>
          <w:tab w:val="num" w:pos="284"/>
        </w:tabs>
        <w:spacing w:line="360" w:lineRule="auto"/>
        <w:ind w:left="284" w:hanging="284"/>
        <w:jc w:val="both"/>
        <w:rPr>
          <w:rFonts w:cs="Arial"/>
        </w:rPr>
      </w:pPr>
      <w:r>
        <w:rPr>
          <w:rFonts w:cs="Arial"/>
        </w:rPr>
        <w:t>Dictada la Resolución por el O</w:t>
      </w:r>
      <w:r w:rsidR="00620C83">
        <w:rPr>
          <w:rFonts w:cs="Arial"/>
        </w:rPr>
        <w:t xml:space="preserve">rdenador competente y una vez suscrito el convenio remitido, cometer al Contador Auditor destacado ante </w:t>
      </w:r>
      <w:r w:rsidR="00620C83">
        <w:t>el</w:t>
      </w:r>
      <w:r w:rsidR="00620C83">
        <w:rPr>
          <w:rFonts w:cs="Arial"/>
          <w:lang w:val="es-MX"/>
        </w:rPr>
        <w:t xml:space="preserve"> Ministerio de Vivienda, Ordenamiento Territorial</w:t>
      </w:r>
      <w:r w:rsidR="00620C83">
        <w:rPr>
          <w:rFonts w:cs="Arial"/>
        </w:rPr>
        <w:t>, la intervención del gasto derivado del mismo, previo contro</w:t>
      </w:r>
      <w:r>
        <w:rPr>
          <w:rFonts w:cs="Arial"/>
        </w:rPr>
        <w:t>l de su imputación con cargo a G</w:t>
      </w:r>
      <w:r w:rsidR="00620C83">
        <w:rPr>
          <w:rFonts w:cs="Arial"/>
        </w:rPr>
        <w:t>rupo adecuado con disponibilidad suficiente</w:t>
      </w:r>
      <w:r w:rsidR="00620C83">
        <w:t xml:space="preserve"> </w:t>
      </w:r>
      <w:r w:rsidR="00620C83">
        <w:rPr>
          <w:rFonts w:cs="Arial"/>
        </w:rPr>
        <w:t xml:space="preserve">y de la verificación de que las condiciones establecidas en la resolución definitiva coincidan con los antecedentes remitidos a este Tribunal; </w:t>
      </w:r>
    </w:p>
    <w:p w:rsidR="00620C83" w:rsidRDefault="00620C83" w:rsidP="008D5D74">
      <w:pPr>
        <w:numPr>
          <w:ilvl w:val="0"/>
          <w:numId w:val="1"/>
        </w:numPr>
        <w:tabs>
          <w:tab w:val="clear" w:pos="720"/>
          <w:tab w:val="num" w:pos="284"/>
        </w:tabs>
        <w:spacing w:line="360" w:lineRule="auto"/>
        <w:ind w:left="284" w:hanging="284"/>
        <w:jc w:val="both"/>
        <w:rPr>
          <w:lang w:val="es-MX"/>
        </w:rPr>
      </w:pPr>
      <w:r>
        <w:rPr>
          <w:lang w:val="es-MX"/>
        </w:rPr>
        <w:t xml:space="preserve">Comunicar a la Contadora Auditora destacada ante el </w:t>
      </w:r>
      <w:r>
        <w:rPr>
          <w:rFonts w:cs="Arial"/>
          <w:lang w:val="es-MX"/>
        </w:rPr>
        <w:t>Ministerio de Vivienda, Ordenamiento Territorial y Medio Ambiente</w:t>
      </w:r>
      <w:r>
        <w:rPr>
          <w:lang w:val="es-MX"/>
        </w:rPr>
        <w:t>;</w:t>
      </w:r>
    </w:p>
    <w:p w:rsidR="00EF50D9" w:rsidRPr="008D5D74" w:rsidRDefault="00620C83" w:rsidP="008D5D74">
      <w:pPr>
        <w:numPr>
          <w:ilvl w:val="0"/>
          <w:numId w:val="1"/>
        </w:numPr>
        <w:tabs>
          <w:tab w:val="clear" w:pos="720"/>
          <w:tab w:val="num" w:pos="284"/>
        </w:tabs>
        <w:spacing w:line="360" w:lineRule="auto"/>
        <w:ind w:left="284" w:hanging="284"/>
        <w:rPr>
          <w:sz w:val="20"/>
          <w:szCs w:val="20"/>
        </w:rPr>
      </w:pPr>
      <w:r>
        <w:rPr>
          <w:lang w:val="es-MX"/>
        </w:rPr>
        <w:t>Devolver los antecedentes.</w:t>
      </w:r>
    </w:p>
    <w:p w:rsidR="008D5D74" w:rsidRDefault="008D5D74" w:rsidP="008D5D74">
      <w:pPr>
        <w:spacing w:line="360" w:lineRule="auto"/>
        <w:rPr>
          <w:lang w:val="es-MX"/>
        </w:rPr>
      </w:pPr>
    </w:p>
    <w:p w:rsidR="008D5D74" w:rsidRDefault="008D5D74" w:rsidP="008D5D74">
      <w:pPr>
        <w:spacing w:line="360" w:lineRule="auto"/>
        <w:rPr>
          <w:lang w:val="es-MX"/>
        </w:rPr>
      </w:pPr>
    </w:p>
    <w:p w:rsidR="008D5D74" w:rsidRDefault="008D5D74" w:rsidP="008D5D74">
      <w:pPr>
        <w:spacing w:line="360" w:lineRule="auto"/>
        <w:rPr>
          <w:lang w:val="es-MX"/>
        </w:rPr>
      </w:pPr>
    </w:p>
    <w:p w:rsidR="008D5D74" w:rsidRDefault="008D5D74" w:rsidP="008D5D74">
      <w:pPr>
        <w:spacing w:line="360" w:lineRule="auto"/>
        <w:rPr>
          <w:lang w:val="es-MX"/>
        </w:rPr>
      </w:pPr>
    </w:p>
    <w:p w:rsidR="008D5D74" w:rsidRDefault="008D5D74" w:rsidP="008D5D74">
      <w:pPr>
        <w:spacing w:line="360" w:lineRule="auto"/>
        <w:rPr>
          <w:lang w:val="es-MX"/>
        </w:rPr>
      </w:pPr>
    </w:p>
    <w:p w:rsidR="008D5D74" w:rsidRDefault="008D5D74" w:rsidP="008D5D74">
      <w:pPr>
        <w:spacing w:line="360" w:lineRule="auto"/>
        <w:rPr>
          <w:lang w:val="es-MX"/>
        </w:rPr>
      </w:pPr>
    </w:p>
    <w:p w:rsidR="008D5D74" w:rsidRPr="00EF50D9" w:rsidRDefault="008D5D74" w:rsidP="008D5D74">
      <w:pPr>
        <w:spacing w:line="360" w:lineRule="auto"/>
        <w:ind w:hanging="426"/>
        <w:rPr>
          <w:sz w:val="20"/>
          <w:szCs w:val="20"/>
        </w:rPr>
      </w:pPr>
      <w:proofErr w:type="gramStart"/>
      <w:r>
        <w:rPr>
          <w:lang w:val="es-MX"/>
        </w:rPr>
        <w:t>dc</w:t>
      </w:r>
      <w:bookmarkStart w:id="0" w:name="_GoBack"/>
      <w:bookmarkEnd w:id="0"/>
      <w:proofErr w:type="gramEnd"/>
    </w:p>
    <w:sectPr w:rsidR="008D5D74" w:rsidRPr="00EF50D9" w:rsidSect="008D5D74">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74" w:rsidRDefault="008D5D74" w:rsidP="008D5D74">
      <w:r>
        <w:separator/>
      </w:r>
    </w:p>
  </w:endnote>
  <w:endnote w:type="continuationSeparator" w:id="0">
    <w:p w:rsidR="008D5D74" w:rsidRDefault="008D5D74" w:rsidP="008D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492245"/>
      <w:docPartObj>
        <w:docPartGallery w:val="Page Numbers (Bottom of Page)"/>
        <w:docPartUnique/>
      </w:docPartObj>
    </w:sdtPr>
    <w:sdtContent>
      <w:p w:rsidR="008D5D74" w:rsidRDefault="008D5D74">
        <w:pPr>
          <w:pStyle w:val="Piedepgina"/>
          <w:jc w:val="center"/>
        </w:pPr>
        <w:r>
          <w:fldChar w:fldCharType="begin"/>
        </w:r>
        <w:r>
          <w:instrText>PAGE   \* MERGEFORMAT</w:instrText>
        </w:r>
        <w:r>
          <w:fldChar w:fldCharType="separate"/>
        </w:r>
        <w:r>
          <w:rPr>
            <w:noProof/>
          </w:rPr>
          <w:t>5</w:t>
        </w:r>
        <w:r>
          <w:fldChar w:fldCharType="end"/>
        </w:r>
      </w:p>
    </w:sdtContent>
  </w:sdt>
  <w:p w:rsidR="008D5D74" w:rsidRDefault="008D5D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74" w:rsidRDefault="008D5D74" w:rsidP="008D5D74">
      <w:r>
        <w:separator/>
      </w:r>
    </w:p>
  </w:footnote>
  <w:footnote w:type="continuationSeparator" w:id="0">
    <w:p w:rsidR="008D5D74" w:rsidRDefault="008D5D74" w:rsidP="008D5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386"/>
    <w:multiLevelType w:val="hybridMultilevel"/>
    <w:tmpl w:val="A74C9DE8"/>
    <w:lvl w:ilvl="0" w:tplc="4C6A16EA">
      <w:start w:val="1"/>
      <w:numFmt w:val="decimal"/>
      <w:lvlText w:val="%1)"/>
      <w:lvlJc w:val="left"/>
      <w:pPr>
        <w:tabs>
          <w:tab w:val="num" w:pos="720"/>
        </w:tabs>
        <w:ind w:left="720"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83"/>
    <w:rsid w:val="000A7966"/>
    <w:rsid w:val="000F7DF6"/>
    <w:rsid w:val="00116172"/>
    <w:rsid w:val="004E1E91"/>
    <w:rsid w:val="00620C83"/>
    <w:rsid w:val="006314F0"/>
    <w:rsid w:val="00651240"/>
    <w:rsid w:val="008D5D74"/>
    <w:rsid w:val="008E3F30"/>
    <w:rsid w:val="009B04C8"/>
    <w:rsid w:val="009E1EE2"/>
    <w:rsid w:val="00D96E59"/>
    <w:rsid w:val="00E073FD"/>
    <w:rsid w:val="00E606E8"/>
    <w:rsid w:val="00EF50D9"/>
    <w:rsid w:val="00F31CD0"/>
    <w:rsid w:val="00F54B2E"/>
    <w:rsid w:val="00FE68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C83"/>
    <w:pPr>
      <w:spacing w:after="0" w:line="240" w:lineRule="auto"/>
      <w:jc w:val="left"/>
    </w:pPr>
    <w:rPr>
      <w:rFonts w:ascii="Arial" w:hAnsi="Arial"/>
      <w:sz w:val="24"/>
      <w:szCs w:val="24"/>
      <w:lang w:eastAsia="es-ES"/>
    </w:rPr>
  </w:style>
  <w:style w:type="paragraph" w:styleId="Ttulo1">
    <w:name w:val="heading 1"/>
    <w:basedOn w:val="Normal"/>
    <w:next w:val="Normal"/>
    <w:link w:val="Ttulo1Car"/>
    <w:qFormat/>
    <w:rsid w:val="00651240"/>
    <w:pPr>
      <w:keepNext/>
      <w:jc w:val="center"/>
      <w:outlineLvl w:val="0"/>
    </w:pPr>
    <w:rPr>
      <w:rFonts w:ascii="Times New Roman" w:hAnsi="Times New Roman"/>
      <w:b/>
      <w:bCs/>
      <w:lang w:val="es-ES_tradnl" w:eastAsia="es-ES_tradnl"/>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Textodeglobo">
    <w:name w:val="Balloon Text"/>
    <w:basedOn w:val="Normal"/>
    <w:link w:val="TextodegloboCar"/>
    <w:uiPriority w:val="99"/>
    <w:semiHidden/>
    <w:unhideWhenUsed/>
    <w:rsid w:val="00116172"/>
    <w:rPr>
      <w:rFonts w:ascii="Tahoma" w:hAnsi="Tahoma" w:cs="Tahoma"/>
      <w:sz w:val="16"/>
      <w:szCs w:val="16"/>
    </w:rPr>
  </w:style>
  <w:style w:type="character" w:customStyle="1" w:styleId="TextodegloboCar">
    <w:name w:val="Texto de globo Car"/>
    <w:basedOn w:val="Fuentedeprrafopredeter"/>
    <w:link w:val="Textodeglobo"/>
    <w:uiPriority w:val="99"/>
    <w:semiHidden/>
    <w:rsid w:val="00116172"/>
    <w:rPr>
      <w:rFonts w:ascii="Tahoma" w:hAnsi="Tahoma" w:cs="Tahoma"/>
      <w:sz w:val="16"/>
      <w:szCs w:val="16"/>
      <w:lang w:eastAsia="es-ES"/>
    </w:rPr>
  </w:style>
  <w:style w:type="paragraph" w:styleId="Encabezado">
    <w:name w:val="header"/>
    <w:basedOn w:val="Normal"/>
    <w:link w:val="EncabezadoCar"/>
    <w:uiPriority w:val="99"/>
    <w:unhideWhenUsed/>
    <w:rsid w:val="008D5D74"/>
    <w:pPr>
      <w:tabs>
        <w:tab w:val="center" w:pos="4252"/>
        <w:tab w:val="right" w:pos="8504"/>
      </w:tabs>
    </w:pPr>
  </w:style>
  <w:style w:type="character" w:customStyle="1" w:styleId="EncabezadoCar">
    <w:name w:val="Encabezado Car"/>
    <w:basedOn w:val="Fuentedeprrafopredeter"/>
    <w:link w:val="Encabezado"/>
    <w:uiPriority w:val="99"/>
    <w:rsid w:val="008D5D74"/>
    <w:rPr>
      <w:rFonts w:ascii="Arial" w:hAnsi="Arial"/>
      <w:sz w:val="24"/>
      <w:szCs w:val="24"/>
      <w:lang w:eastAsia="es-ES"/>
    </w:rPr>
  </w:style>
  <w:style w:type="paragraph" w:styleId="Piedepgina">
    <w:name w:val="footer"/>
    <w:basedOn w:val="Normal"/>
    <w:link w:val="PiedepginaCar"/>
    <w:uiPriority w:val="99"/>
    <w:unhideWhenUsed/>
    <w:rsid w:val="008D5D74"/>
    <w:pPr>
      <w:tabs>
        <w:tab w:val="center" w:pos="4252"/>
        <w:tab w:val="right" w:pos="8504"/>
      </w:tabs>
    </w:pPr>
  </w:style>
  <w:style w:type="character" w:customStyle="1" w:styleId="PiedepginaCar">
    <w:name w:val="Pie de página Car"/>
    <w:basedOn w:val="Fuentedeprrafopredeter"/>
    <w:link w:val="Piedepgina"/>
    <w:uiPriority w:val="99"/>
    <w:rsid w:val="008D5D74"/>
    <w:rPr>
      <w:rFonts w:ascii="Arial" w:hAnsi="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C83"/>
    <w:pPr>
      <w:spacing w:after="0" w:line="240" w:lineRule="auto"/>
      <w:jc w:val="left"/>
    </w:pPr>
    <w:rPr>
      <w:rFonts w:ascii="Arial" w:hAnsi="Arial"/>
      <w:sz w:val="24"/>
      <w:szCs w:val="24"/>
      <w:lang w:eastAsia="es-ES"/>
    </w:rPr>
  </w:style>
  <w:style w:type="paragraph" w:styleId="Ttulo1">
    <w:name w:val="heading 1"/>
    <w:basedOn w:val="Normal"/>
    <w:next w:val="Normal"/>
    <w:link w:val="Ttulo1Car"/>
    <w:qFormat/>
    <w:rsid w:val="00651240"/>
    <w:pPr>
      <w:keepNext/>
      <w:jc w:val="center"/>
      <w:outlineLvl w:val="0"/>
    </w:pPr>
    <w:rPr>
      <w:rFonts w:ascii="Times New Roman" w:hAnsi="Times New Roman"/>
      <w:b/>
      <w:bCs/>
      <w:lang w:val="es-ES_tradnl" w:eastAsia="es-ES_tradnl"/>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Textodeglobo">
    <w:name w:val="Balloon Text"/>
    <w:basedOn w:val="Normal"/>
    <w:link w:val="TextodegloboCar"/>
    <w:uiPriority w:val="99"/>
    <w:semiHidden/>
    <w:unhideWhenUsed/>
    <w:rsid w:val="00116172"/>
    <w:rPr>
      <w:rFonts w:ascii="Tahoma" w:hAnsi="Tahoma" w:cs="Tahoma"/>
      <w:sz w:val="16"/>
      <w:szCs w:val="16"/>
    </w:rPr>
  </w:style>
  <w:style w:type="character" w:customStyle="1" w:styleId="TextodegloboCar">
    <w:name w:val="Texto de globo Car"/>
    <w:basedOn w:val="Fuentedeprrafopredeter"/>
    <w:link w:val="Textodeglobo"/>
    <w:uiPriority w:val="99"/>
    <w:semiHidden/>
    <w:rsid w:val="00116172"/>
    <w:rPr>
      <w:rFonts w:ascii="Tahoma" w:hAnsi="Tahoma" w:cs="Tahoma"/>
      <w:sz w:val="16"/>
      <w:szCs w:val="16"/>
      <w:lang w:eastAsia="es-ES"/>
    </w:rPr>
  </w:style>
  <w:style w:type="paragraph" w:styleId="Encabezado">
    <w:name w:val="header"/>
    <w:basedOn w:val="Normal"/>
    <w:link w:val="EncabezadoCar"/>
    <w:uiPriority w:val="99"/>
    <w:unhideWhenUsed/>
    <w:rsid w:val="008D5D74"/>
    <w:pPr>
      <w:tabs>
        <w:tab w:val="center" w:pos="4252"/>
        <w:tab w:val="right" w:pos="8504"/>
      </w:tabs>
    </w:pPr>
  </w:style>
  <w:style w:type="character" w:customStyle="1" w:styleId="EncabezadoCar">
    <w:name w:val="Encabezado Car"/>
    <w:basedOn w:val="Fuentedeprrafopredeter"/>
    <w:link w:val="Encabezado"/>
    <w:uiPriority w:val="99"/>
    <w:rsid w:val="008D5D74"/>
    <w:rPr>
      <w:rFonts w:ascii="Arial" w:hAnsi="Arial"/>
      <w:sz w:val="24"/>
      <w:szCs w:val="24"/>
      <w:lang w:eastAsia="es-ES"/>
    </w:rPr>
  </w:style>
  <w:style w:type="paragraph" w:styleId="Piedepgina">
    <w:name w:val="footer"/>
    <w:basedOn w:val="Normal"/>
    <w:link w:val="PiedepginaCar"/>
    <w:uiPriority w:val="99"/>
    <w:unhideWhenUsed/>
    <w:rsid w:val="008D5D74"/>
    <w:pPr>
      <w:tabs>
        <w:tab w:val="center" w:pos="4252"/>
        <w:tab w:val="right" w:pos="8504"/>
      </w:tabs>
    </w:pPr>
  </w:style>
  <w:style w:type="character" w:customStyle="1" w:styleId="PiedepginaCar">
    <w:name w:val="Pie de página Car"/>
    <w:basedOn w:val="Fuentedeprrafopredeter"/>
    <w:link w:val="Piedepgina"/>
    <w:uiPriority w:val="99"/>
    <w:rsid w:val="008D5D74"/>
    <w:rPr>
      <w:rFonts w:ascii="Arial"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7120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2018-05-07T17:34:00Z</cp:lastPrinted>
  <dcterms:created xsi:type="dcterms:W3CDTF">2018-05-07T17:35:00Z</dcterms:created>
  <dcterms:modified xsi:type="dcterms:W3CDTF">2018-05-07T17:35:00Z</dcterms:modified>
</cp:coreProperties>
</file>