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D8" w:rsidRPr="00786EEB" w:rsidRDefault="00FB19D8" w:rsidP="00786EEB">
      <w:pPr>
        <w:tabs>
          <w:tab w:val="center" w:pos="4253"/>
        </w:tabs>
        <w:suppressAutoHyphens/>
        <w:jc w:val="right"/>
        <w:rPr>
          <w:b/>
          <w:sz w:val="28"/>
          <w:szCs w:val="28"/>
          <w:lang w:val="es-ES_tradnl"/>
        </w:rPr>
      </w:pPr>
      <w:r>
        <w:rPr>
          <w:b/>
          <w:sz w:val="28"/>
          <w:szCs w:val="28"/>
          <w:lang w:val="es-ES_tradnl"/>
        </w:rPr>
        <w:t>RES. 912/18</w:t>
      </w:r>
    </w:p>
    <w:p w:rsidR="00FB19D8" w:rsidRDefault="00FB19D8" w:rsidP="00786EEB">
      <w:pPr>
        <w:tabs>
          <w:tab w:val="center" w:pos="4253"/>
        </w:tabs>
        <w:suppressAutoHyphens/>
        <w:jc w:val="right"/>
        <w:rPr>
          <w:b/>
          <w:lang w:val="es-ES_tradnl"/>
        </w:rPr>
      </w:pPr>
    </w:p>
    <w:p w:rsidR="00FB19D8" w:rsidRPr="00762B34" w:rsidRDefault="00FB19D8">
      <w:pPr>
        <w:tabs>
          <w:tab w:val="center" w:pos="4253"/>
        </w:tabs>
        <w:suppressAutoHyphens/>
        <w:jc w:val="center"/>
        <w:rPr>
          <w:b/>
          <w:lang w:val="es-ES_tradnl"/>
        </w:rPr>
      </w:pPr>
      <w:r w:rsidRPr="00762B34">
        <w:rPr>
          <w:b/>
          <w:lang w:val="es-ES_tradnl"/>
        </w:rPr>
        <w:t>RESOLUCION ADOPTADA POR EL</w:t>
      </w:r>
    </w:p>
    <w:p w:rsidR="00FB19D8" w:rsidRPr="00762B34" w:rsidRDefault="00FB19D8">
      <w:pPr>
        <w:tabs>
          <w:tab w:val="left" w:pos="-720"/>
        </w:tabs>
        <w:suppressAutoHyphens/>
        <w:jc w:val="center"/>
        <w:rPr>
          <w:b/>
          <w:lang w:val="es-ES_tradnl"/>
        </w:rPr>
      </w:pPr>
    </w:p>
    <w:p w:rsidR="00FB19D8" w:rsidRPr="00762B34" w:rsidRDefault="00FB19D8">
      <w:pPr>
        <w:tabs>
          <w:tab w:val="center" w:pos="4253"/>
        </w:tabs>
        <w:suppressAutoHyphens/>
        <w:jc w:val="center"/>
        <w:rPr>
          <w:b/>
          <w:lang w:val="es-ES_tradnl"/>
        </w:rPr>
      </w:pPr>
      <w:r w:rsidRPr="00762B34">
        <w:rPr>
          <w:b/>
          <w:lang w:val="es-ES_tradnl"/>
        </w:rPr>
        <w:t>TRIBUNAL DE CUENTAS</w:t>
      </w:r>
    </w:p>
    <w:p w:rsidR="00FB19D8" w:rsidRPr="00762B34" w:rsidRDefault="00FB19D8">
      <w:pPr>
        <w:tabs>
          <w:tab w:val="left" w:pos="-720"/>
        </w:tabs>
        <w:suppressAutoHyphens/>
        <w:jc w:val="center"/>
        <w:rPr>
          <w:b/>
          <w:lang w:val="es-ES_tradnl"/>
        </w:rPr>
      </w:pPr>
    </w:p>
    <w:p w:rsidR="00FB19D8" w:rsidRPr="00762B34" w:rsidRDefault="00FB19D8">
      <w:pPr>
        <w:tabs>
          <w:tab w:val="center" w:pos="4253"/>
        </w:tabs>
        <w:suppressAutoHyphens/>
        <w:jc w:val="center"/>
        <w:rPr>
          <w:b/>
          <w:lang w:val="es-ES_tradnl"/>
        </w:rPr>
      </w:pPr>
      <w:r w:rsidRPr="00762B34">
        <w:rPr>
          <w:b/>
          <w:lang w:val="es-ES_tradnl"/>
        </w:rPr>
        <w:t xml:space="preserve">EN SESION DE FECHA </w:t>
      </w:r>
      <w:r>
        <w:rPr>
          <w:b/>
          <w:lang w:val="es-ES_tradnl"/>
        </w:rPr>
        <w:t xml:space="preserve">14 DE MARZO </w:t>
      </w:r>
      <w:r>
        <w:rPr>
          <w:rFonts w:ascii="Helvetica" w:hAnsi="Helvetica"/>
          <w:b/>
          <w:lang w:val="es-ES_tradnl"/>
        </w:rPr>
        <w:t>DE 2018</w:t>
      </w:r>
    </w:p>
    <w:p w:rsidR="00FB19D8" w:rsidRPr="00762B34" w:rsidRDefault="00FB19D8">
      <w:pPr>
        <w:tabs>
          <w:tab w:val="center" w:pos="4253"/>
        </w:tabs>
        <w:suppressAutoHyphens/>
        <w:jc w:val="center"/>
        <w:rPr>
          <w:b/>
          <w:lang w:val="es-ES_tradnl"/>
        </w:rPr>
      </w:pPr>
    </w:p>
    <w:p w:rsidR="00FB19D8" w:rsidRPr="00FB19D8" w:rsidRDefault="00FB19D8">
      <w:pPr>
        <w:tabs>
          <w:tab w:val="center" w:pos="4253"/>
        </w:tabs>
        <w:suppressAutoHyphens/>
        <w:jc w:val="center"/>
        <w:rPr>
          <w:b/>
          <w:lang w:val="es-UY"/>
        </w:rPr>
      </w:pPr>
      <w:r w:rsidRPr="00FB19D8">
        <w:rPr>
          <w:b/>
          <w:lang w:val="es-UY"/>
        </w:rPr>
        <w:t xml:space="preserve">(E. E. Nº 2018-17-1-0001284, </w:t>
      </w:r>
      <w:proofErr w:type="spellStart"/>
      <w:r w:rsidRPr="00FB19D8">
        <w:rPr>
          <w:b/>
          <w:lang w:val="es-UY"/>
        </w:rPr>
        <w:t>Ent</w:t>
      </w:r>
      <w:proofErr w:type="spellEnd"/>
      <w:r w:rsidRPr="00FB19D8">
        <w:rPr>
          <w:b/>
          <w:lang w:val="es-UY"/>
        </w:rPr>
        <w:t>. N° 1016/18)</w:t>
      </w:r>
    </w:p>
    <w:p w:rsidR="00FB19D8" w:rsidRPr="00FB19D8" w:rsidRDefault="00FB19D8">
      <w:pPr>
        <w:tabs>
          <w:tab w:val="center" w:pos="4253"/>
        </w:tabs>
        <w:suppressAutoHyphens/>
        <w:jc w:val="center"/>
        <w:rPr>
          <w:rFonts w:ascii="Helvetica" w:hAnsi="Helvetica"/>
          <w:b/>
          <w:lang w:val="es-UY"/>
        </w:rPr>
      </w:pPr>
    </w:p>
    <w:p w:rsidR="00FB19D8" w:rsidRPr="00FB19D8" w:rsidRDefault="00FB19D8" w:rsidP="00762B34">
      <w:pPr>
        <w:tabs>
          <w:tab w:val="center" w:pos="4253"/>
        </w:tabs>
        <w:suppressAutoHyphens/>
        <w:jc w:val="right"/>
        <w:rPr>
          <w:spacing w:val="-3"/>
          <w:lang w:val="es-UY"/>
        </w:rPr>
      </w:pPr>
    </w:p>
    <w:p w:rsidR="0027602F" w:rsidRDefault="0027602F" w:rsidP="00FB19D8">
      <w:pPr>
        <w:spacing w:line="360" w:lineRule="auto"/>
        <w:ind w:firstLine="708"/>
        <w:jc w:val="both"/>
        <w:rPr>
          <w:lang w:val="es-MX"/>
        </w:rPr>
      </w:pPr>
      <w:r>
        <w:rPr>
          <w:b/>
          <w:bCs/>
          <w:lang w:val="es-MX"/>
        </w:rPr>
        <w:t xml:space="preserve">VISTO: </w:t>
      </w:r>
      <w:r>
        <w:rPr>
          <w:lang w:val="es-MX"/>
        </w:rPr>
        <w:t>Oficio Nº1309/17 de fecha 06/02/2018 remitido por la Junta Departamental de Paysandú por el que comunica que en sesión de fecha 21/12/2017 por 18 votos en 31 se aprobó el Decreto Nº 7664/17 relativo a exoneración del pago de los adeudos que mantiene y que se generen hasta el Ejercicio 2020 a la Administración de Ferrocarriles del Estado por concepto de imp</w:t>
      </w:r>
      <w:r w:rsidR="00FB19D8">
        <w:rPr>
          <w:lang w:val="es-MX"/>
        </w:rPr>
        <w:t>uestos y tasas departamentales;</w:t>
      </w:r>
    </w:p>
    <w:p w:rsidR="0027602F" w:rsidRDefault="0027602F" w:rsidP="00FB19D8">
      <w:pPr>
        <w:spacing w:line="360" w:lineRule="auto"/>
        <w:ind w:firstLine="709"/>
        <w:jc w:val="both"/>
        <w:rPr>
          <w:lang w:val="es-MX"/>
        </w:rPr>
      </w:pPr>
      <w:r>
        <w:rPr>
          <w:b/>
          <w:bCs/>
          <w:lang w:val="es-MX"/>
        </w:rPr>
        <w:t xml:space="preserve">RESULTANDO: 1) </w:t>
      </w:r>
      <w:r>
        <w:rPr>
          <w:lang w:val="es-MX"/>
        </w:rPr>
        <w:t>que en dicho Oficio, se expresa que es interés de la Corporación “saber si la facultad conferida a la Intendencia Departamental para exonerar los impuestos y tasas a los inmuebles propiedad de AFE es ajustado a derecho o si, en cambio, se han vulnerado las normas constitucionales y legales en la materia, estableciendo en tal caso las observaciones pertinentes en tal caso”;</w:t>
      </w:r>
    </w:p>
    <w:p w:rsidR="0027602F" w:rsidRDefault="0027602F" w:rsidP="00FB19D8">
      <w:pPr>
        <w:spacing w:line="360" w:lineRule="auto"/>
        <w:ind w:firstLine="2552"/>
        <w:jc w:val="both"/>
      </w:pPr>
      <w:r>
        <w:rPr>
          <w:b/>
          <w:bCs/>
          <w:lang w:val="es-MX"/>
        </w:rPr>
        <w:t xml:space="preserve">2) </w:t>
      </w:r>
      <w:r>
        <w:rPr>
          <w:lang w:val="es-MX"/>
        </w:rPr>
        <w:t xml:space="preserve">que se remite fotocopia del Expediente 2017-7317, del que surge que el </w:t>
      </w:r>
      <w:r>
        <w:t xml:space="preserve">28/09/2017 el Encargado de la Dirección de Vivienda de la Intendencia de Paysandú,  planteo que en el marco de las líneas de acción que la Administración desarrolla, es fundamental el acceso a suelo urbano con servicios de infraestructura  y centros educativos, culturales, deportivos y de salud, por lo que se realizaron gestiones ante AFE para obtener padrones de dicho Ente utilizables con fines de construcción de viviendas. Se destaca que si bien los inmuebles de interés para la construcción de viviendas sociales, fueron </w:t>
      </w:r>
      <w:r>
        <w:lastRenderedPageBreak/>
        <w:t>ofrecidos por AFE al MVOTMA y a la Intendencia, su traspaso no pudo concretarse por carecer AFE del Certificado Único Libre de deudas.</w:t>
      </w:r>
    </w:p>
    <w:p w:rsidR="0027602F" w:rsidRDefault="0027602F" w:rsidP="00FB19D8">
      <w:pPr>
        <w:spacing w:line="360" w:lineRule="auto"/>
        <w:ind w:firstLine="2552"/>
        <w:jc w:val="both"/>
      </w:pPr>
      <w:r>
        <w:rPr>
          <w:b/>
          <w:bCs/>
        </w:rPr>
        <w:t xml:space="preserve">3) </w:t>
      </w:r>
      <w:r>
        <w:t xml:space="preserve">que obra agregada nota de AFE de fecha 03/11/2015, en la que dicho Ente expresa la imposibilidad de otorgar las escrituras de los inmuebles de referencia por carecer del certificado CULD, destacándose en dicha oportunidad que de acuerdo con el Artículo 17 de su Carta Orgánica “La Administración de Ferrocarriles del Estado queda exonerada del pago de todo tributo y contribución, con excepción de las tarifas de servicios efectivamente prestados”;-   </w:t>
      </w:r>
    </w:p>
    <w:p w:rsidR="0027602F" w:rsidRDefault="0027602F" w:rsidP="00FB19D8">
      <w:pPr>
        <w:spacing w:line="360" w:lineRule="auto"/>
        <w:ind w:firstLine="2552"/>
        <w:jc w:val="both"/>
      </w:pPr>
      <w:r>
        <w:rPr>
          <w:b/>
          <w:bCs/>
        </w:rPr>
        <w:t xml:space="preserve">4) </w:t>
      </w:r>
      <w:r>
        <w:t>que por nota de fecha 10/10/2017 el Presidente y la Secretaria General de AFE solicitan a la Intendencia de Paysandú la exoneración del pago de los adeudos que por concepto de impuestos, tasas, etc. se mantengan con la Intendencia, adjuntando nómina de los padrones propiedad del Ente ubicados en el Departamento de Paysandú.-</w:t>
      </w:r>
    </w:p>
    <w:p w:rsidR="0027602F" w:rsidRDefault="0027602F" w:rsidP="00FB19D8">
      <w:pPr>
        <w:spacing w:line="360" w:lineRule="auto"/>
        <w:ind w:firstLine="2552"/>
        <w:jc w:val="both"/>
      </w:pPr>
      <w:r>
        <w:rPr>
          <w:b/>
          <w:bCs/>
        </w:rPr>
        <w:t xml:space="preserve">5) </w:t>
      </w:r>
      <w:r>
        <w:t xml:space="preserve">que según copia del listado obrante en la documentación remitida, los inmuebles propiedad de AFE serían: localidad Paysandú padrones 14582; 488; 14752; Localidad </w:t>
      </w:r>
      <w:proofErr w:type="spellStart"/>
      <w:r>
        <w:t>Guichón</w:t>
      </w:r>
      <w:proofErr w:type="spellEnd"/>
      <w:r>
        <w:t xml:space="preserve">  padrones Nos. 177 y 388, todos ellos urbanos. Se incluyen a continuación los padrones Nos. 68; 1504; 1035; 1728; 1031; 2764; 1;  todos ellos rurales. Se desglosan en la lista con una anotación “en estudio” los padrones rurales Nos. 2721; 2764; 2785; 3149; 269; 268; 540; 501; 5499; 2 y 326.- </w:t>
      </w:r>
    </w:p>
    <w:p w:rsidR="0027602F" w:rsidRDefault="0027602F" w:rsidP="00FB19D8">
      <w:pPr>
        <w:spacing w:line="360" w:lineRule="auto"/>
        <w:ind w:firstLine="2552"/>
        <w:jc w:val="both"/>
      </w:pPr>
      <w:r>
        <w:rPr>
          <w:b/>
          <w:bCs/>
        </w:rPr>
        <w:t xml:space="preserve">6) </w:t>
      </w:r>
      <w:r>
        <w:t>que por Resolución de fecha 09/11/2017 el Intendente remitió al Legislativo  Departamental iniciativa tendiente a obtener la anuencia de la Junta para exonerar a AFE del pago de los adeudos que mantiene y/o se generen hasta el 30/06/2020 por concepto de impuestos y tasas departamentales respecto de los inmuebles de su propiedad.</w:t>
      </w:r>
    </w:p>
    <w:p w:rsidR="0027602F" w:rsidRDefault="0027602F" w:rsidP="00FB19D8">
      <w:pPr>
        <w:spacing w:line="360" w:lineRule="auto"/>
        <w:ind w:firstLine="2552"/>
        <w:jc w:val="both"/>
      </w:pPr>
      <w:r>
        <w:rPr>
          <w:b/>
          <w:bCs/>
        </w:rPr>
        <w:t xml:space="preserve">7) </w:t>
      </w:r>
      <w:r>
        <w:t xml:space="preserve">que en los Resultandos de dicha Resolución se invoca el </w:t>
      </w:r>
      <w:r w:rsidR="00FB19D8">
        <w:t>A</w:t>
      </w:r>
      <w:r>
        <w:t xml:space="preserve">rtículo 17 del Decreto – Ley 14.396 que prevé la exoneración respecto de AFE de todos los tributos que le  correspondería abonar, y se </w:t>
      </w:r>
      <w:r>
        <w:lastRenderedPageBreak/>
        <w:t>expresa que otros gobiernos departamentales han exonerado de impuestos y tasas a los inmuebles de AFE;</w:t>
      </w:r>
    </w:p>
    <w:p w:rsidR="0027602F" w:rsidRDefault="0027602F" w:rsidP="00FB19D8">
      <w:pPr>
        <w:spacing w:line="360" w:lineRule="auto"/>
        <w:ind w:firstLine="2552"/>
        <w:jc w:val="both"/>
      </w:pPr>
      <w:r>
        <w:rPr>
          <w:b/>
          <w:bCs/>
        </w:rPr>
        <w:t xml:space="preserve">8) </w:t>
      </w:r>
      <w:r>
        <w:t xml:space="preserve">que en informe en Mayoría elaborado por la Comisión de Hacienda y </w:t>
      </w:r>
      <w:proofErr w:type="spellStart"/>
      <w:r>
        <w:t>Cuentas</w:t>
      </w:r>
      <w:proofErr w:type="gramStart"/>
      <w:r>
        <w:t>,se</w:t>
      </w:r>
      <w:proofErr w:type="spellEnd"/>
      <w:proofErr w:type="gramEnd"/>
      <w:r>
        <w:t xml:space="preserve"> aconseja otorgar la  facultad solicitada para exonerar a AFE del pago de los adeudos que mantiene con la Intendencia por concepto de tasas e impuestos departamentales respecto de bienes de su propiedad</w:t>
      </w:r>
      <w:r w:rsidR="00FB19D8">
        <w:t>;</w:t>
      </w:r>
      <w:r>
        <w:t xml:space="preserve">  </w:t>
      </w:r>
    </w:p>
    <w:p w:rsidR="0027602F" w:rsidRDefault="0027602F" w:rsidP="00FB19D8">
      <w:pPr>
        <w:spacing w:line="360" w:lineRule="auto"/>
        <w:ind w:firstLine="2552"/>
        <w:jc w:val="both"/>
      </w:pPr>
      <w:r>
        <w:rPr>
          <w:b/>
          <w:bCs/>
        </w:rPr>
        <w:t xml:space="preserve">9) </w:t>
      </w:r>
      <w:r>
        <w:t xml:space="preserve">que de la versión taquigráfica  de la sesión de 21/12/2017 surge que el Edil Dr. </w:t>
      </w:r>
      <w:proofErr w:type="spellStart"/>
      <w:r>
        <w:t>Zanoniani</w:t>
      </w:r>
      <w:proofErr w:type="spellEnd"/>
      <w:r>
        <w:t xml:space="preserve">  planteo su oposición a lo propuesto por la Comisión de Hacienda y Cuentas, expresando entre otras consideraciones que  no se sabe qué es lo que se exonera, a cuánto asciende la deuda. “no sabemos si se trata de donar, de vender, AFE va a transferir, no sabemos a qué título a la Intendencia de Paysandú ‘bienes inmuebles para la construcción de viviendas’.  </w:t>
      </w:r>
      <w:proofErr w:type="gramStart"/>
      <w:r>
        <w:t>tampoco</w:t>
      </w:r>
      <w:proofErr w:type="gramEnd"/>
      <w:r>
        <w:t xml:space="preserve"> sabemos cuáles son los padrones que AFE va a donar o a transferir”;</w:t>
      </w:r>
    </w:p>
    <w:p w:rsidR="0027602F" w:rsidRDefault="0027602F" w:rsidP="00FB19D8">
      <w:pPr>
        <w:spacing w:line="360" w:lineRule="auto"/>
        <w:ind w:firstLine="2552"/>
        <w:jc w:val="both"/>
      </w:pPr>
      <w:r>
        <w:rPr>
          <w:b/>
          <w:bCs/>
        </w:rPr>
        <w:t xml:space="preserve">10) </w:t>
      </w:r>
      <w:r>
        <w:t>que en Sala se hace reiteradamente referencia al traspaso de inmuebles de AFE a la Intendencia para integrar la cartera de tierras para construcción de viviendas, manejando alternativas a la exoneración, como la dación en pago por ejemplo;-</w:t>
      </w:r>
    </w:p>
    <w:p w:rsidR="0027602F" w:rsidRDefault="0027602F" w:rsidP="00FB19D8">
      <w:pPr>
        <w:spacing w:line="360" w:lineRule="auto"/>
        <w:ind w:firstLine="2552"/>
        <w:jc w:val="both"/>
      </w:pPr>
      <w:r>
        <w:rPr>
          <w:b/>
          <w:bCs/>
        </w:rPr>
        <w:t xml:space="preserve">11) </w:t>
      </w:r>
      <w:r>
        <w:t>que el Decreto aprobado facultó a la Intendencia para exonerar a AFE del pago de adeudos que mantiene por concepto de impuestos y tasas departamentales respecto a los inmuebles de su propiedad, y extiende la exoneración hasta el 30 de junio de 2020;</w:t>
      </w:r>
    </w:p>
    <w:p w:rsidR="0027602F" w:rsidRDefault="0027602F" w:rsidP="00FB19D8">
      <w:pPr>
        <w:spacing w:line="360" w:lineRule="auto"/>
        <w:ind w:firstLine="851"/>
        <w:jc w:val="both"/>
      </w:pPr>
      <w:r>
        <w:rPr>
          <w:b/>
          <w:bCs/>
        </w:rPr>
        <w:t xml:space="preserve">CONSIDERANDO: 1) </w:t>
      </w:r>
      <w:r>
        <w:rPr>
          <w:lang w:val="es-MX"/>
        </w:rPr>
        <w:t xml:space="preserve">que el </w:t>
      </w:r>
      <w:r>
        <w:t xml:space="preserve">Decreto 7664/17 que autoriza una exoneración tributaria es una modificación de los recursos previstos presupuestalmente. En este caso se  controla, si se ha dado cumplimiento a lo dispuesto por los </w:t>
      </w:r>
      <w:r w:rsidR="00FB19D8">
        <w:t>A</w:t>
      </w:r>
      <w:r>
        <w:t>rtículos 133 N</w:t>
      </w:r>
      <w:r w:rsidR="00FB19D8">
        <w:t>ume</w:t>
      </w:r>
      <w:r>
        <w:t>ral 2</w:t>
      </w:r>
      <w:r w:rsidR="00FB19D8">
        <w:t>)</w:t>
      </w:r>
      <w:r>
        <w:t xml:space="preserve"> (aplicable por reenvío del Art</w:t>
      </w:r>
      <w:r w:rsidR="00FB19D8">
        <w:t>ículo</w:t>
      </w:r>
      <w:r>
        <w:t xml:space="preserve"> 222), 273 N</w:t>
      </w:r>
      <w:r w:rsidR="00FB19D8">
        <w:t>ume</w:t>
      </w:r>
      <w:r>
        <w:t>ral 3</w:t>
      </w:r>
      <w:r w:rsidR="00FB19D8">
        <w:t>)</w:t>
      </w:r>
      <w:r>
        <w:t xml:space="preserve">,  297,  entre otros, de la Constitución de la República; a lo </w:t>
      </w:r>
      <w:r>
        <w:lastRenderedPageBreak/>
        <w:t>preceptuado por  la Ordenanza Nº 62 de 13 de noviembre de 1985, en la redacción dada por Resolución de 16 de agosto de 1995;</w:t>
      </w:r>
    </w:p>
    <w:p w:rsidR="0027602F" w:rsidRDefault="0027602F" w:rsidP="00FB19D8">
      <w:pPr>
        <w:spacing w:line="360" w:lineRule="auto"/>
        <w:ind w:firstLine="3119"/>
        <w:jc w:val="both"/>
      </w:pPr>
      <w:r>
        <w:rPr>
          <w:b/>
          <w:bCs/>
        </w:rPr>
        <w:t xml:space="preserve">2) </w:t>
      </w:r>
      <w:r>
        <w:t xml:space="preserve">que el </w:t>
      </w:r>
      <w:r w:rsidR="00FB19D8">
        <w:t>A</w:t>
      </w:r>
      <w:r>
        <w:t>rtículo 133 de la Constitución</w:t>
      </w:r>
      <w:r w:rsidR="00FB19D8">
        <w:t xml:space="preserve"> de la República</w:t>
      </w:r>
      <w:r>
        <w:t xml:space="preserve"> establece:  que requerirá la iniciativa del Poder Ejecutivo (en el caso del Intendente Departamental) todo proyecto de ley que determine exoneraciones tributarias o que fije salarios mínimos o precios de adquisición a los productos o bienes de la actividad pública o privada. El Poder Legislativo no podrá aumentar las exoneraciones </w:t>
      </w:r>
      <w:proofErr w:type="gramStart"/>
      <w:r>
        <w:t>tributarias …</w:t>
      </w:r>
      <w:proofErr w:type="gramEnd"/>
      <w:r>
        <w:t>;-</w:t>
      </w:r>
    </w:p>
    <w:p w:rsidR="0027602F" w:rsidRDefault="0027602F" w:rsidP="00FB19D8">
      <w:pPr>
        <w:spacing w:line="360" w:lineRule="auto"/>
        <w:ind w:firstLine="3119"/>
        <w:jc w:val="both"/>
      </w:pPr>
      <w:r>
        <w:rPr>
          <w:b/>
          <w:bCs/>
        </w:rPr>
        <w:t xml:space="preserve">3) </w:t>
      </w:r>
      <w:r>
        <w:t>que a efectos de analizar la legalidad del decreto departamental que dispone la exoneración tributaria, no es relevante el traspaso o no de inmuebles de AFE a la Intendencia. De concretarse este traspaso deberán seguirse las vías legales correspondientes, sometiendo a consideración de la Junta el acuerdo al que se arribe, en cuya oportunidad, las actuaciones se remitirán  a consideración del Tribunal, ya sea por parte de AFE o  de la Intendencia de Paysandú;</w:t>
      </w:r>
    </w:p>
    <w:p w:rsidR="0027602F" w:rsidRDefault="0027602F" w:rsidP="00FB19D8">
      <w:pPr>
        <w:spacing w:line="360" w:lineRule="auto"/>
        <w:ind w:firstLine="3119"/>
        <w:jc w:val="both"/>
      </w:pPr>
      <w:r>
        <w:rPr>
          <w:b/>
          <w:bCs/>
        </w:rPr>
        <w:t xml:space="preserve">4) </w:t>
      </w:r>
      <w:r>
        <w:t xml:space="preserve">que tampoco la eventual  inconstitucionalidad del </w:t>
      </w:r>
      <w:r w:rsidR="00FB19D8">
        <w:t>A</w:t>
      </w:r>
      <w:r>
        <w:t xml:space="preserve">rtículo 17 del </w:t>
      </w:r>
      <w:r w:rsidR="00FB19D8">
        <w:t>D</w:t>
      </w:r>
      <w:r>
        <w:t>ecreto-</w:t>
      </w:r>
      <w:r w:rsidR="00FB19D8">
        <w:t>L</w:t>
      </w:r>
      <w:r>
        <w:t>ey 14.396 tiene incidencia en el control de legalidad decreto dictado por la Junta Departamental, ya que es el Gobierno Departamental en el ejercicio de sus atribucione</w:t>
      </w:r>
      <w:r w:rsidR="00FB19D8">
        <w:t>s quien concede la exoneración;</w:t>
      </w:r>
    </w:p>
    <w:p w:rsidR="0027602F" w:rsidRDefault="0027602F" w:rsidP="00FB19D8">
      <w:pPr>
        <w:spacing w:line="360" w:lineRule="auto"/>
        <w:ind w:firstLine="3119"/>
        <w:jc w:val="both"/>
      </w:pPr>
      <w:r>
        <w:rPr>
          <w:b/>
          <w:bCs/>
        </w:rPr>
        <w:t xml:space="preserve">5) </w:t>
      </w:r>
      <w:r>
        <w:t>que no corresponde que el Tribunal proceda a analizar el Decreto de referencia en cuanto a su oportunidad o conveniencia, por lo que no se expedirá sobre las expresiones vertidas en Sala sobre alternativas a la exoneración tributaria de referencia ni sobre el eventual traspaso de inmuebles el que no se plantea en la presente oportunidad;-</w:t>
      </w:r>
    </w:p>
    <w:p w:rsidR="0027602F" w:rsidRDefault="0027602F" w:rsidP="00FB19D8">
      <w:pPr>
        <w:spacing w:line="360" w:lineRule="auto"/>
        <w:ind w:firstLine="3119"/>
        <w:jc w:val="both"/>
      </w:pPr>
      <w:r>
        <w:rPr>
          <w:b/>
          <w:bCs/>
        </w:rPr>
        <w:t xml:space="preserve">6) </w:t>
      </w:r>
      <w:r>
        <w:t>que en cuanto al contenido del Decreto 7664/17 no es competencia de los Gobiernos Departamentales conceder exoneraciones respecto del pago de la contribución inmobiliaria rural, lo cual compete al legislador nacional;</w:t>
      </w:r>
    </w:p>
    <w:p w:rsidR="0027602F" w:rsidRDefault="0027602F" w:rsidP="00FB19D8">
      <w:pPr>
        <w:spacing w:line="360" w:lineRule="auto"/>
        <w:ind w:firstLine="3119"/>
        <w:jc w:val="both"/>
      </w:pPr>
      <w:r>
        <w:rPr>
          <w:b/>
          <w:bCs/>
        </w:rPr>
        <w:lastRenderedPageBreak/>
        <w:t xml:space="preserve">7) </w:t>
      </w:r>
      <w:r>
        <w:t>que en cuanto al procedimiento seguido, no se ha dado cumplimiento a lo establecido en la Ordenanza No.62 de 13.11.985  con redacción dada por Resolución de 16.8.95;</w:t>
      </w:r>
    </w:p>
    <w:p w:rsidR="0027602F" w:rsidRDefault="0027602F" w:rsidP="00FB19D8">
      <w:pPr>
        <w:spacing w:line="360" w:lineRule="auto"/>
        <w:ind w:firstLine="709"/>
        <w:jc w:val="both"/>
      </w:pPr>
      <w:r>
        <w:rPr>
          <w:b/>
          <w:bCs/>
        </w:rPr>
        <w:t xml:space="preserve">ATENTO: </w:t>
      </w:r>
      <w:r>
        <w:t>a lo expuesto;</w:t>
      </w:r>
    </w:p>
    <w:p w:rsidR="0027602F" w:rsidRDefault="0027602F">
      <w:pPr>
        <w:spacing w:line="360" w:lineRule="auto"/>
        <w:jc w:val="center"/>
        <w:rPr>
          <w:b/>
          <w:bCs/>
        </w:rPr>
      </w:pPr>
      <w:r>
        <w:rPr>
          <w:b/>
          <w:bCs/>
        </w:rPr>
        <w:t>EL TRIBUNAL ACUERDA</w:t>
      </w:r>
    </w:p>
    <w:p w:rsidR="0027602F" w:rsidRDefault="0027602F">
      <w:pPr>
        <w:spacing w:line="360" w:lineRule="auto"/>
        <w:jc w:val="both"/>
      </w:pPr>
      <w:r w:rsidRPr="00FB19D8">
        <w:rPr>
          <w:b/>
        </w:rPr>
        <w:t>1</w:t>
      </w:r>
      <w:r w:rsidR="00FB19D8" w:rsidRPr="00FB19D8">
        <w:rPr>
          <w:b/>
        </w:rPr>
        <w:t>)</w:t>
      </w:r>
      <w:r>
        <w:t xml:space="preserve"> Observar la presente Modificación de Recursos (</w:t>
      </w:r>
      <w:r w:rsidR="00750805">
        <w:t xml:space="preserve">Considerando </w:t>
      </w:r>
      <w:bookmarkStart w:id="0" w:name="_GoBack"/>
      <w:bookmarkEnd w:id="0"/>
      <w:r w:rsidR="00FB19D8">
        <w:t>7); y</w:t>
      </w:r>
    </w:p>
    <w:p w:rsidR="0027602F" w:rsidRDefault="00FB19D8">
      <w:pPr>
        <w:spacing w:line="360" w:lineRule="auto"/>
        <w:jc w:val="both"/>
      </w:pPr>
      <w:r w:rsidRPr="00FB19D8">
        <w:rPr>
          <w:b/>
        </w:rPr>
        <w:t>2)</w:t>
      </w:r>
      <w:r w:rsidR="0027602F">
        <w:t xml:space="preserve"> Com</w:t>
      </w:r>
      <w:r>
        <w:t>unicar a la Junta Departamental</w:t>
      </w:r>
      <w:r w:rsidR="0027602F">
        <w:t>.</w:t>
      </w:r>
    </w:p>
    <w:p w:rsidR="00FB19D8" w:rsidRDefault="00FB19D8">
      <w:pPr>
        <w:spacing w:line="360" w:lineRule="auto"/>
        <w:jc w:val="both"/>
      </w:pPr>
    </w:p>
    <w:p w:rsidR="00FB19D8" w:rsidRDefault="00FB19D8">
      <w:pPr>
        <w:spacing w:line="360" w:lineRule="auto"/>
        <w:jc w:val="both"/>
      </w:pPr>
    </w:p>
    <w:p w:rsidR="0027602F" w:rsidRDefault="00FB19D8">
      <w:pPr>
        <w:spacing w:line="360" w:lineRule="auto"/>
        <w:jc w:val="both"/>
      </w:pPr>
      <w:proofErr w:type="spellStart"/>
      <w:proofErr w:type="gramStart"/>
      <w:r>
        <w:t>cr</w:t>
      </w:r>
      <w:proofErr w:type="spellEnd"/>
      <w:proofErr w:type="gramEnd"/>
    </w:p>
    <w:sectPr w:rsidR="0027602F" w:rsidSect="00FB19D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1361D"/>
    <w:multiLevelType w:val="hybridMultilevel"/>
    <w:tmpl w:val="478073AE"/>
    <w:lvl w:ilvl="0" w:tplc="33825494">
      <w:numFmt w:val="bullet"/>
      <w:lvlText w:val="-"/>
      <w:lvlJc w:val="left"/>
      <w:pPr>
        <w:ind w:left="1776" w:hanging="360"/>
      </w:pPr>
      <w:rPr>
        <w:rFonts w:ascii="Arial" w:eastAsia="Times New Roman" w:hAnsi="Arial" w:hint="default"/>
      </w:rPr>
    </w:lvl>
    <w:lvl w:ilvl="1" w:tplc="0C0A0003">
      <w:start w:val="1"/>
      <w:numFmt w:val="bullet"/>
      <w:lvlText w:val="o"/>
      <w:lvlJc w:val="left"/>
      <w:pPr>
        <w:ind w:left="2496" w:hanging="360"/>
      </w:pPr>
      <w:rPr>
        <w:rFonts w:ascii="Courier New" w:hAnsi="Courier New" w:hint="default"/>
      </w:rPr>
    </w:lvl>
    <w:lvl w:ilvl="2" w:tplc="0C0A0005">
      <w:start w:val="1"/>
      <w:numFmt w:val="bullet"/>
      <w:lvlText w:val=""/>
      <w:lvlJc w:val="left"/>
      <w:pPr>
        <w:ind w:left="3216" w:hanging="360"/>
      </w:pPr>
      <w:rPr>
        <w:rFonts w:ascii="Wingdings" w:hAnsi="Wingdings" w:cs="Wingdings" w:hint="default"/>
      </w:rPr>
    </w:lvl>
    <w:lvl w:ilvl="3" w:tplc="0C0A0001">
      <w:start w:val="1"/>
      <w:numFmt w:val="bullet"/>
      <w:lvlText w:val=""/>
      <w:lvlJc w:val="left"/>
      <w:pPr>
        <w:ind w:left="3936" w:hanging="360"/>
      </w:pPr>
      <w:rPr>
        <w:rFonts w:ascii="Symbol" w:hAnsi="Symbol" w:cs="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cs="Wingdings" w:hint="default"/>
      </w:rPr>
    </w:lvl>
    <w:lvl w:ilvl="6" w:tplc="0C0A0001">
      <w:start w:val="1"/>
      <w:numFmt w:val="bullet"/>
      <w:lvlText w:val=""/>
      <w:lvlJc w:val="left"/>
      <w:pPr>
        <w:ind w:left="6096" w:hanging="360"/>
      </w:pPr>
      <w:rPr>
        <w:rFonts w:ascii="Symbol" w:hAnsi="Symbol" w:cs="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2F"/>
    <w:rsid w:val="0027602F"/>
    <w:rsid w:val="00750805"/>
    <w:rsid w:val="00FB1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02F"/>
    <w:rPr>
      <w:rFonts w:asciiTheme="majorHAnsi" w:eastAsiaTheme="majorEastAsia" w:hAnsiTheme="majorHAnsi" w:cstheme="majorBidi"/>
      <w:b/>
      <w:bCs/>
      <w:kern w:val="32"/>
      <w:sz w:val="32"/>
      <w:szCs w:val="32"/>
    </w:rPr>
  </w:style>
  <w:style w:type="paragraph" w:styleId="Sangra2detindependiente">
    <w:name w:val="Body Text Indent 2"/>
    <w:basedOn w:val="Normal"/>
    <w:link w:val="Sangra2detindependienteCar"/>
    <w:uiPriority w:val="99"/>
    <w:pPr>
      <w:spacing w:line="360" w:lineRule="auto"/>
      <w:ind w:left="240"/>
      <w:jc w:val="both"/>
    </w:pPr>
    <w:rPr>
      <w:lang w:val="es-MX"/>
    </w:rPr>
  </w:style>
  <w:style w:type="character" w:customStyle="1" w:styleId="Sangra2detindependienteCar">
    <w:name w:val="Sangría 2 de t. independiente Car"/>
    <w:basedOn w:val="Fuentedeprrafopredeter"/>
    <w:link w:val="Sangra2detindependiente"/>
    <w:uiPriority w:val="99"/>
    <w:rPr>
      <w:rFonts w:ascii="Arial" w:hAnsi="Arial" w:cs="Arial"/>
      <w:sz w:val="24"/>
      <w:szCs w:val="24"/>
      <w:lang w:val="es-MX"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FB19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02F"/>
    <w:rPr>
      <w:rFonts w:asciiTheme="majorHAnsi" w:eastAsiaTheme="majorEastAsia" w:hAnsiTheme="majorHAnsi" w:cstheme="majorBidi"/>
      <w:b/>
      <w:bCs/>
      <w:kern w:val="32"/>
      <w:sz w:val="32"/>
      <w:szCs w:val="32"/>
    </w:rPr>
  </w:style>
  <w:style w:type="paragraph" w:styleId="Sangra2detindependiente">
    <w:name w:val="Body Text Indent 2"/>
    <w:basedOn w:val="Normal"/>
    <w:link w:val="Sangra2detindependienteCar"/>
    <w:uiPriority w:val="99"/>
    <w:pPr>
      <w:spacing w:line="360" w:lineRule="auto"/>
      <w:ind w:left="240"/>
      <w:jc w:val="both"/>
    </w:pPr>
    <w:rPr>
      <w:lang w:val="es-MX"/>
    </w:rPr>
  </w:style>
  <w:style w:type="character" w:customStyle="1" w:styleId="Sangra2detindependienteCar">
    <w:name w:val="Sangría 2 de t. independiente Car"/>
    <w:basedOn w:val="Fuentedeprrafopredeter"/>
    <w:link w:val="Sangra2detindependiente"/>
    <w:uiPriority w:val="99"/>
    <w:rPr>
      <w:rFonts w:ascii="Arial" w:hAnsi="Arial" w:cs="Arial"/>
      <w:sz w:val="24"/>
      <w:szCs w:val="24"/>
      <w:lang w:val="es-MX"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FB19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CARPETA N° 2018-17-1-0001284</vt:lpstr>
    </vt:vector>
  </TitlesOfParts>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2018-17-1-0001284</dc:title>
  <dc:creator>Tribunal1</dc:creator>
  <cp:lastModifiedBy>Miriam Cristina Rivero</cp:lastModifiedBy>
  <cp:revision>2</cp:revision>
  <cp:lastPrinted>2018-03-20T18:39:00Z</cp:lastPrinted>
  <dcterms:created xsi:type="dcterms:W3CDTF">2018-03-20T18:39:00Z</dcterms:created>
  <dcterms:modified xsi:type="dcterms:W3CDTF">2018-03-20T18:39:00Z</dcterms:modified>
</cp:coreProperties>
</file>