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D0" w:rsidRPr="00786EEB" w:rsidRDefault="00BC67D0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RES. 656/18</w:t>
      </w:r>
    </w:p>
    <w:p w:rsidR="00BC67D0" w:rsidRDefault="00BC67D0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BC67D0" w:rsidRPr="00BC67D0" w:rsidRDefault="00BC67D0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BC67D0">
        <w:rPr>
          <w:b/>
          <w:lang w:val="es-ES_tradnl"/>
        </w:rPr>
        <w:t>RESOLUCION ADOPTADA POR EL</w:t>
      </w:r>
    </w:p>
    <w:p w:rsidR="00BC67D0" w:rsidRPr="00BC67D0" w:rsidRDefault="00BC67D0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BC67D0" w:rsidRPr="00BC67D0" w:rsidRDefault="00BC67D0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BC67D0">
        <w:rPr>
          <w:b/>
          <w:lang w:val="es-ES_tradnl"/>
        </w:rPr>
        <w:t>TRIBUNAL DE CUENTAS</w:t>
      </w:r>
    </w:p>
    <w:p w:rsidR="00BC67D0" w:rsidRPr="00BC67D0" w:rsidRDefault="00BC67D0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BC67D0" w:rsidRPr="00BC67D0" w:rsidRDefault="00BC67D0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BC67D0">
        <w:rPr>
          <w:b/>
          <w:lang w:val="es-ES_tradnl"/>
        </w:rPr>
        <w:t>EN SESION DE FECHA 21 DE FEBRERO DE 2018</w:t>
      </w:r>
    </w:p>
    <w:p w:rsidR="00BC67D0" w:rsidRPr="00BC67D0" w:rsidRDefault="00BC67D0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BC67D0" w:rsidRPr="00BC67D0" w:rsidRDefault="00BC67D0">
      <w:pPr>
        <w:tabs>
          <w:tab w:val="center" w:pos="4253"/>
        </w:tabs>
        <w:suppressAutoHyphens/>
        <w:jc w:val="center"/>
        <w:rPr>
          <w:b/>
          <w:lang w:val="en-US"/>
        </w:rPr>
      </w:pPr>
      <w:r w:rsidRPr="00BC67D0">
        <w:rPr>
          <w:b/>
          <w:lang w:val="en-US"/>
        </w:rPr>
        <w:t xml:space="preserve">(E. E. Nº </w:t>
      </w:r>
      <w:r w:rsidRPr="00BC67D0">
        <w:rPr>
          <w:b/>
          <w:bCs/>
          <w:color w:val="000000"/>
          <w:lang w:val="es-ES_tradnl"/>
        </w:rPr>
        <w:t>2018-17-1-0000076</w:t>
      </w:r>
      <w:r w:rsidRPr="00BC67D0">
        <w:rPr>
          <w:b/>
          <w:lang w:val="en-US"/>
        </w:rPr>
        <w:t xml:space="preserve">, </w:t>
      </w:r>
      <w:proofErr w:type="gramStart"/>
      <w:r w:rsidRPr="00BC67D0">
        <w:rPr>
          <w:b/>
          <w:lang w:val="en-US"/>
        </w:rPr>
        <w:t>Ent</w:t>
      </w:r>
      <w:proofErr w:type="gramEnd"/>
      <w:r w:rsidRPr="00BC67D0">
        <w:rPr>
          <w:b/>
          <w:lang w:val="en-US"/>
        </w:rPr>
        <w:t>. N°</w:t>
      </w:r>
      <w:r>
        <w:rPr>
          <w:b/>
          <w:bCs/>
          <w:color w:val="000000"/>
          <w:lang w:val="es-ES_tradnl"/>
        </w:rPr>
        <w:t>92/018</w:t>
      </w:r>
      <w:r w:rsidRPr="00BC67D0">
        <w:rPr>
          <w:b/>
          <w:lang w:val="en-US"/>
        </w:rPr>
        <w:t>)</w:t>
      </w:r>
    </w:p>
    <w:p w:rsidR="00BC67D0" w:rsidRPr="00BC67D0" w:rsidRDefault="00BC67D0">
      <w:pPr>
        <w:tabs>
          <w:tab w:val="center" w:pos="4253"/>
        </w:tabs>
        <w:suppressAutoHyphens/>
        <w:jc w:val="center"/>
        <w:rPr>
          <w:b/>
          <w:lang w:val="en-US"/>
        </w:rPr>
      </w:pPr>
    </w:p>
    <w:p w:rsidR="009D73E0" w:rsidRDefault="009D73E0" w:rsidP="00BC67D0">
      <w:pPr>
        <w:rPr>
          <w:b/>
          <w:bCs/>
          <w:sz w:val="28"/>
          <w:szCs w:val="28"/>
        </w:rPr>
      </w:pPr>
    </w:p>
    <w:p w:rsidR="009D73E0" w:rsidRDefault="009D73E0" w:rsidP="00BC67D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VISTO: </w:t>
      </w:r>
      <w:r>
        <w:rPr>
          <w:sz w:val="28"/>
          <w:szCs w:val="28"/>
        </w:rPr>
        <w:t xml:space="preserve">las actuaciones remitidas por la Intendencia de Maldonado, relacionadas con la Licitación Abreviada No. 71/2017 para la </w:t>
      </w:r>
      <w:proofErr w:type="spellStart"/>
      <w:r w:rsidR="00632413">
        <w:rPr>
          <w:sz w:val="28"/>
          <w:szCs w:val="28"/>
        </w:rPr>
        <w:t>s</w:t>
      </w:r>
      <w:r>
        <w:rPr>
          <w:sz w:val="28"/>
          <w:szCs w:val="28"/>
        </w:rPr>
        <w:t>ponsorización</w:t>
      </w:r>
      <w:proofErr w:type="spellEnd"/>
      <w:r>
        <w:rPr>
          <w:sz w:val="28"/>
          <w:szCs w:val="28"/>
        </w:rPr>
        <w:t xml:space="preserve"> con provisión de insumos en el rubro hidratación, para los </w:t>
      </w:r>
      <w:r w:rsidR="00632413">
        <w:rPr>
          <w:sz w:val="28"/>
          <w:szCs w:val="28"/>
        </w:rPr>
        <w:t>e</w:t>
      </w:r>
      <w:r>
        <w:rPr>
          <w:sz w:val="28"/>
          <w:szCs w:val="28"/>
        </w:rPr>
        <w:t xml:space="preserve">ventos </w:t>
      </w:r>
      <w:r w:rsidR="00632413">
        <w:rPr>
          <w:sz w:val="28"/>
          <w:szCs w:val="28"/>
        </w:rPr>
        <w:t>d</w:t>
      </w:r>
      <w:r>
        <w:rPr>
          <w:sz w:val="28"/>
          <w:szCs w:val="28"/>
        </w:rPr>
        <w:t>eportivos organizados por la Dirección General de Deportes, “Corrida de San Fernando”, “Corrida Doble San Antonio” y “Recorre Maldonado”</w:t>
      </w:r>
      <w:r w:rsidR="00632413">
        <w:rPr>
          <w:sz w:val="28"/>
          <w:szCs w:val="28"/>
        </w:rPr>
        <w:t>,</w:t>
      </w:r>
      <w:r>
        <w:rPr>
          <w:sz w:val="28"/>
          <w:szCs w:val="28"/>
        </w:rPr>
        <w:t xml:space="preserve"> durante el año 2018;  </w:t>
      </w:r>
    </w:p>
    <w:p w:rsidR="00BC67D0" w:rsidRDefault="009D73E0" w:rsidP="00BC67D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RESULTANDO: 1)</w:t>
      </w:r>
      <w:r>
        <w:rPr>
          <w:sz w:val="28"/>
          <w:szCs w:val="28"/>
        </w:rPr>
        <w:t xml:space="preserve"> que el artículo  15 del Pliego de Condiciones Particulares y Memoria Descriptiva, establece  los criterios de evaluación de las ofertas, puntuándoselos de la siguiente forma: </w:t>
      </w:r>
      <w:r w:rsidR="00632413">
        <w:rPr>
          <w:sz w:val="28"/>
          <w:szCs w:val="28"/>
        </w:rPr>
        <w:t>c</w:t>
      </w:r>
      <w:r>
        <w:rPr>
          <w:sz w:val="28"/>
          <w:szCs w:val="28"/>
        </w:rPr>
        <w:t xml:space="preserve">anon ofrecido </w:t>
      </w:r>
      <w:r w:rsidR="00632413">
        <w:rPr>
          <w:sz w:val="28"/>
          <w:szCs w:val="28"/>
        </w:rPr>
        <w:t>,</w:t>
      </w:r>
      <w:r>
        <w:rPr>
          <w:sz w:val="28"/>
          <w:szCs w:val="28"/>
        </w:rPr>
        <w:t>50%, antecedentes de la empresa</w:t>
      </w:r>
      <w:r w:rsidR="00632413">
        <w:rPr>
          <w:sz w:val="28"/>
          <w:szCs w:val="28"/>
        </w:rPr>
        <w:t>,</w:t>
      </w:r>
      <w:r>
        <w:rPr>
          <w:sz w:val="28"/>
          <w:szCs w:val="28"/>
        </w:rPr>
        <w:t xml:space="preserve"> 20%, </w:t>
      </w:r>
      <w:r w:rsidR="00632413">
        <w:rPr>
          <w:sz w:val="28"/>
          <w:szCs w:val="28"/>
        </w:rPr>
        <w:t>o</w:t>
      </w:r>
      <w:r>
        <w:rPr>
          <w:sz w:val="28"/>
          <w:szCs w:val="28"/>
        </w:rPr>
        <w:t xml:space="preserve">fertas de bebidas isotónicas 20% y </w:t>
      </w:r>
      <w:r w:rsidR="00632413">
        <w:rPr>
          <w:sz w:val="28"/>
          <w:szCs w:val="28"/>
        </w:rPr>
        <w:t>o</w:t>
      </w:r>
      <w:r>
        <w:rPr>
          <w:sz w:val="28"/>
          <w:szCs w:val="28"/>
        </w:rPr>
        <w:t xml:space="preserve">tros insumos a otorgar </w:t>
      </w:r>
      <w:r w:rsidR="00632413">
        <w:rPr>
          <w:sz w:val="28"/>
          <w:szCs w:val="28"/>
        </w:rPr>
        <w:t>,</w:t>
      </w:r>
      <w:r>
        <w:rPr>
          <w:sz w:val="28"/>
          <w:szCs w:val="28"/>
        </w:rPr>
        <w:t xml:space="preserve">10%; </w:t>
      </w:r>
    </w:p>
    <w:p w:rsidR="00BC67D0" w:rsidRDefault="009D73E0" w:rsidP="00BC67D0">
      <w:pPr>
        <w:spacing w:line="360" w:lineRule="auto"/>
        <w:ind w:firstLine="297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2)   </w:t>
      </w:r>
      <w:r>
        <w:rPr>
          <w:sz w:val="28"/>
          <w:szCs w:val="28"/>
        </w:rPr>
        <w:t>que se publicó el llamado en la página Web de Compras Estatales</w:t>
      </w:r>
      <w:r w:rsidR="00632413">
        <w:rPr>
          <w:sz w:val="28"/>
          <w:szCs w:val="28"/>
        </w:rPr>
        <w:t>,</w:t>
      </w:r>
      <w:r>
        <w:rPr>
          <w:sz w:val="28"/>
          <w:szCs w:val="28"/>
        </w:rPr>
        <w:t xml:space="preserve"> con fecha 13/10/17;</w:t>
      </w:r>
      <w:r>
        <w:rPr>
          <w:sz w:val="28"/>
          <w:szCs w:val="28"/>
          <w:highlight w:val="yellow"/>
        </w:rPr>
        <w:t xml:space="preserve"> </w:t>
      </w:r>
    </w:p>
    <w:p w:rsidR="00BC67D0" w:rsidRDefault="009D73E0" w:rsidP="00BC67D0">
      <w:pPr>
        <w:spacing w:line="360" w:lineRule="auto"/>
        <w:ind w:firstLine="297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3) </w:t>
      </w:r>
      <w:r>
        <w:rPr>
          <w:sz w:val="28"/>
          <w:szCs w:val="28"/>
        </w:rPr>
        <w:t>que con fecha 31/10/017</w:t>
      </w:r>
      <w:r w:rsidR="00632413">
        <w:rPr>
          <w:sz w:val="28"/>
          <w:szCs w:val="28"/>
        </w:rPr>
        <w:t>,</w:t>
      </w:r>
      <w:r>
        <w:rPr>
          <w:sz w:val="28"/>
          <w:szCs w:val="28"/>
        </w:rPr>
        <w:t xml:space="preserve"> tuvo lugar el acto de apertura de las ofertas, habiéndose presentado </w:t>
      </w:r>
      <w:r w:rsidR="00632413">
        <w:rPr>
          <w:sz w:val="28"/>
          <w:szCs w:val="28"/>
        </w:rPr>
        <w:t>solamente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lastRenderedPageBreak/>
        <w:t>Montevideo Refrescos S.R.L. que ofreció un canon de $ 457.242</w:t>
      </w:r>
      <w:r w:rsidR="00632413">
        <w:rPr>
          <w:sz w:val="28"/>
          <w:szCs w:val="28"/>
        </w:rPr>
        <w:t>,</w:t>
      </w:r>
      <w:r>
        <w:rPr>
          <w:sz w:val="28"/>
          <w:szCs w:val="28"/>
        </w:rPr>
        <w:t xml:space="preserve"> sin impuestos</w:t>
      </w:r>
      <w:r w:rsidR="00632413">
        <w:rPr>
          <w:sz w:val="28"/>
          <w:szCs w:val="28"/>
        </w:rPr>
        <w:t>,</w:t>
      </w:r>
      <w:r>
        <w:rPr>
          <w:sz w:val="28"/>
          <w:szCs w:val="28"/>
        </w:rPr>
        <w:t xml:space="preserve"> a ser abonado en efectivo;</w:t>
      </w:r>
    </w:p>
    <w:p w:rsidR="009D73E0" w:rsidRDefault="009D73E0" w:rsidP="00BC67D0">
      <w:pPr>
        <w:spacing w:line="360" w:lineRule="auto"/>
        <w:ind w:firstLine="297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4)</w:t>
      </w:r>
      <w:r>
        <w:rPr>
          <w:sz w:val="28"/>
          <w:szCs w:val="28"/>
        </w:rPr>
        <w:t xml:space="preserve"> que</w:t>
      </w:r>
      <w:r w:rsidR="00632413">
        <w:rPr>
          <w:sz w:val="28"/>
          <w:szCs w:val="28"/>
        </w:rPr>
        <w:t>,</w:t>
      </w:r>
      <w:r>
        <w:rPr>
          <w:sz w:val="28"/>
          <w:szCs w:val="28"/>
        </w:rPr>
        <w:t xml:space="preserve"> en dictamen de fecha 15/11/0176</w:t>
      </w:r>
      <w:r w:rsidR="00632413">
        <w:rPr>
          <w:sz w:val="28"/>
          <w:szCs w:val="28"/>
        </w:rPr>
        <w:t>,</w:t>
      </w:r>
      <w:r>
        <w:rPr>
          <w:sz w:val="28"/>
          <w:szCs w:val="28"/>
        </w:rPr>
        <w:t xml:space="preserve"> la Comisión Asesora de Adjudicaciones</w:t>
      </w:r>
      <w:r w:rsidR="0096440A">
        <w:rPr>
          <w:sz w:val="28"/>
          <w:szCs w:val="28"/>
        </w:rPr>
        <w:t>,</w:t>
      </w:r>
      <w:r w:rsidR="00BC67D0">
        <w:rPr>
          <w:sz w:val="28"/>
          <w:szCs w:val="28"/>
        </w:rPr>
        <w:t xml:space="preserve"> señaló</w:t>
      </w:r>
      <w:r w:rsidR="00632413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la firma Montevideo Refrescos </w:t>
      </w:r>
      <w:r w:rsidR="00632413">
        <w:rPr>
          <w:sz w:val="28"/>
          <w:szCs w:val="28"/>
        </w:rPr>
        <w:t xml:space="preserve">S.R.L, </w:t>
      </w:r>
      <w:r>
        <w:rPr>
          <w:sz w:val="28"/>
          <w:szCs w:val="28"/>
        </w:rPr>
        <w:t xml:space="preserve"> </w:t>
      </w:r>
      <w:r w:rsidR="00632413">
        <w:rPr>
          <w:sz w:val="28"/>
          <w:szCs w:val="28"/>
        </w:rPr>
        <w:t xml:space="preserve">cumplió </w:t>
      </w:r>
      <w:r>
        <w:rPr>
          <w:sz w:val="28"/>
          <w:szCs w:val="28"/>
        </w:rPr>
        <w:t xml:space="preserve"> con los requisitos </w:t>
      </w:r>
      <w:r w:rsidR="00632413">
        <w:rPr>
          <w:sz w:val="28"/>
          <w:szCs w:val="28"/>
        </w:rPr>
        <w:t xml:space="preserve">de admisibilidad y otros </w:t>
      </w:r>
      <w:r>
        <w:rPr>
          <w:sz w:val="28"/>
          <w:szCs w:val="28"/>
        </w:rPr>
        <w:t>establecidos en el Pliego</w:t>
      </w:r>
      <w:r w:rsidR="00632413">
        <w:rPr>
          <w:sz w:val="28"/>
          <w:szCs w:val="28"/>
        </w:rPr>
        <w:t>, salvo en lo que hace al suministro de bebidas isotónicas, sugiriendo adjudicarle</w:t>
      </w:r>
      <w:r w:rsidR="0096440A">
        <w:rPr>
          <w:sz w:val="28"/>
          <w:szCs w:val="28"/>
        </w:rPr>
        <w:t xml:space="preserve"> a dicha firma, </w:t>
      </w:r>
      <w:r w:rsidR="00632413">
        <w:rPr>
          <w:sz w:val="28"/>
          <w:szCs w:val="28"/>
        </w:rPr>
        <w:t xml:space="preserve"> </w:t>
      </w:r>
      <w:r w:rsidR="0096440A">
        <w:rPr>
          <w:sz w:val="28"/>
          <w:szCs w:val="28"/>
        </w:rPr>
        <w:t xml:space="preserve">la </w:t>
      </w:r>
      <w:proofErr w:type="spellStart"/>
      <w:r w:rsidR="0096440A">
        <w:rPr>
          <w:sz w:val="28"/>
          <w:szCs w:val="28"/>
        </w:rPr>
        <w:t>sponsorizacion</w:t>
      </w:r>
      <w:proofErr w:type="spellEnd"/>
      <w:r w:rsidR="0096440A">
        <w:rPr>
          <w:sz w:val="28"/>
          <w:szCs w:val="28"/>
        </w:rPr>
        <w:t xml:space="preserve"> e hidratación de eventos deportivos</w:t>
      </w:r>
      <w:r>
        <w:rPr>
          <w:sz w:val="28"/>
          <w:szCs w:val="28"/>
        </w:rPr>
        <w:t xml:space="preserve">; </w:t>
      </w:r>
    </w:p>
    <w:p w:rsidR="00BC67D0" w:rsidRDefault="009D73E0">
      <w:pPr>
        <w:tabs>
          <w:tab w:val="left" w:pos="19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5)</w:t>
      </w:r>
      <w:r>
        <w:rPr>
          <w:sz w:val="28"/>
          <w:szCs w:val="28"/>
        </w:rPr>
        <w:t xml:space="preserve"> que mediante Resolución Nº 09071/2017, de fecha 7/12/017, el Ejecutivo Departamental adjudicó la convocatoria -ad referéndum del dictamen de este Tribunal- a la firma Montevideo Refrescos S.R.L.</w:t>
      </w:r>
      <w:r w:rsidR="0096440A">
        <w:rPr>
          <w:sz w:val="28"/>
          <w:szCs w:val="28"/>
        </w:rPr>
        <w:t>,</w:t>
      </w:r>
      <w:r>
        <w:rPr>
          <w:sz w:val="28"/>
          <w:szCs w:val="28"/>
        </w:rPr>
        <w:t xml:space="preserve"> por un canon de $ 457.242; </w:t>
      </w:r>
    </w:p>
    <w:p w:rsidR="009D73E0" w:rsidRDefault="009D73E0" w:rsidP="00BC67D0">
      <w:pPr>
        <w:tabs>
          <w:tab w:val="left" w:pos="1985"/>
        </w:tabs>
        <w:spacing w:line="360" w:lineRule="auto"/>
        <w:ind w:firstLine="297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6) </w:t>
      </w:r>
      <w:r>
        <w:rPr>
          <w:sz w:val="28"/>
          <w:szCs w:val="28"/>
        </w:rPr>
        <w:t>que las actuaciones ingresaron a este Tribunal</w:t>
      </w:r>
      <w:r w:rsidR="00632413">
        <w:rPr>
          <w:sz w:val="28"/>
          <w:szCs w:val="28"/>
        </w:rPr>
        <w:t>,</w:t>
      </w:r>
      <w:r>
        <w:rPr>
          <w:sz w:val="28"/>
          <w:szCs w:val="28"/>
        </w:rPr>
        <w:t xml:space="preserve"> con fecha 4/1/18; </w:t>
      </w:r>
    </w:p>
    <w:p w:rsidR="009D73E0" w:rsidRDefault="009D73E0" w:rsidP="00BC67D0">
      <w:pPr>
        <w:tabs>
          <w:tab w:val="left" w:pos="2127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CONSIDERANDO: </w:t>
      </w:r>
      <w:r>
        <w:rPr>
          <w:color w:val="000000"/>
          <w:sz w:val="28"/>
          <w:szCs w:val="28"/>
        </w:rPr>
        <w:t xml:space="preserve">que </w:t>
      </w:r>
      <w:r w:rsidR="0096440A">
        <w:rPr>
          <w:color w:val="000000"/>
          <w:sz w:val="28"/>
          <w:szCs w:val="28"/>
        </w:rPr>
        <w:t>si bien se remitieron las actuaciones con anterioridad a que comenzara el primero de los eventos</w:t>
      </w:r>
      <w:r w:rsidR="002B219D">
        <w:rPr>
          <w:color w:val="000000"/>
          <w:sz w:val="28"/>
          <w:szCs w:val="28"/>
        </w:rPr>
        <w:t xml:space="preserve"> </w:t>
      </w:r>
      <w:r w:rsidR="0096440A">
        <w:rPr>
          <w:color w:val="000000"/>
          <w:sz w:val="28"/>
          <w:szCs w:val="28"/>
        </w:rPr>
        <w:t>(corrida de S. Fernando del 6/1/18), el margen de tiempo de que dispuso este Tribunal fue muy breve para expedirse, por lo cual el Organismo en lo sucesivo, y teniendo en cuenta que esos eventos, se reiteran año a año, deberá remitir a consideración de este Tribunal las actuaciones con antelación suficiente</w:t>
      </w:r>
      <w:r>
        <w:rPr>
          <w:sz w:val="28"/>
          <w:szCs w:val="28"/>
          <w:lang w:val="es-MX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9D73E0" w:rsidRDefault="009D73E0" w:rsidP="00BC67D0">
      <w:pPr>
        <w:spacing w:line="360" w:lineRule="auto"/>
        <w:ind w:firstLine="851"/>
        <w:jc w:val="both"/>
        <w:rPr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>ATENTO:</w:t>
      </w:r>
      <w:r>
        <w:rPr>
          <w:sz w:val="28"/>
          <w:szCs w:val="28"/>
          <w:lang w:val="es-MX"/>
        </w:rPr>
        <w:t xml:space="preserve"> a lo precedentemente expuesto y a lo dispuesto en el literal E) del </w:t>
      </w:r>
      <w:r w:rsidR="0096440A">
        <w:rPr>
          <w:sz w:val="28"/>
          <w:szCs w:val="28"/>
          <w:lang w:val="es-MX"/>
        </w:rPr>
        <w:t>a</w:t>
      </w:r>
      <w:r>
        <w:rPr>
          <w:sz w:val="28"/>
          <w:szCs w:val="28"/>
          <w:lang w:val="es-MX"/>
        </w:rPr>
        <w:t xml:space="preserve">rtículo 211 de la Constitución de la República; </w:t>
      </w:r>
    </w:p>
    <w:p w:rsidR="00BC67D0" w:rsidRDefault="00BC67D0" w:rsidP="00BC67D0">
      <w:pPr>
        <w:spacing w:line="360" w:lineRule="auto"/>
        <w:ind w:firstLine="851"/>
        <w:jc w:val="both"/>
        <w:rPr>
          <w:sz w:val="28"/>
          <w:szCs w:val="28"/>
          <w:lang w:val="es-MX"/>
        </w:rPr>
      </w:pPr>
    </w:p>
    <w:p w:rsidR="009D73E0" w:rsidRPr="00BC67D0" w:rsidRDefault="009D73E0" w:rsidP="003E1955">
      <w:pPr>
        <w:pStyle w:val="Ttulo1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EL TRIBUNAL ACUERDA</w:t>
      </w:r>
    </w:p>
    <w:p w:rsidR="004A6B4B" w:rsidRDefault="004A6B4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Tener presente lo expresado en el </w:t>
      </w:r>
      <w:r w:rsidR="00A917F9">
        <w:rPr>
          <w:sz w:val="28"/>
          <w:szCs w:val="28"/>
        </w:rPr>
        <w:t>considerando</w:t>
      </w:r>
      <w:r w:rsidR="00BC67D0">
        <w:rPr>
          <w:sz w:val="28"/>
          <w:szCs w:val="28"/>
        </w:rPr>
        <w:t>;</w:t>
      </w:r>
    </w:p>
    <w:p w:rsidR="009D73E0" w:rsidRDefault="009D73E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Devolver las actuaciones.</w:t>
      </w:r>
    </w:p>
    <w:p w:rsidR="00BC67D0" w:rsidRDefault="00BC67D0" w:rsidP="00BC67D0">
      <w:pPr>
        <w:spacing w:line="360" w:lineRule="auto"/>
        <w:ind w:left="360" w:hanging="360"/>
        <w:jc w:val="both"/>
      </w:pPr>
      <w:r w:rsidRPr="00BC67D0">
        <w:t>CLC</w:t>
      </w:r>
    </w:p>
    <w:p w:rsidR="003E1955" w:rsidRDefault="003E1955" w:rsidP="00BC67D0">
      <w:pPr>
        <w:spacing w:line="360" w:lineRule="auto"/>
        <w:ind w:left="360" w:hanging="360"/>
        <w:jc w:val="both"/>
      </w:pPr>
    </w:p>
    <w:p w:rsidR="003E1955" w:rsidRDefault="003E1955" w:rsidP="00BC67D0">
      <w:pPr>
        <w:spacing w:line="360" w:lineRule="auto"/>
        <w:ind w:left="360" w:hanging="360"/>
        <w:jc w:val="both"/>
      </w:pPr>
    </w:p>
    <w:p w:rsidR="003E1955" w:rsidRDefault="003E1955" w:rsidP="00BC67D0">
      <w:pPr>
        <w:spacing w:line="360" w:lineRule="auto"/>
        <w:ind w:left="360" w:hanging="360"/>
        <w:jc w:val="both"/>
      </w:pPr>
    </w:p>
    <w:p w:rsidR="003E1955" w:rsidRDefault="003E1955" w:rsidP="00D71A3A">
      <w:pPr>
        <w:spacing w:line="360" w:lineRule="auto"/>
        <w:jc w:val="both"/>
        <w:rPr>
          <w:lang w:val="es-UY"/>
        </w:rPr>
      </w:pPr>
    </w:p>
    <w:p w:rsidR="00616DE2" w:rsidRDefault="00616DE2" w:rsidP="00D71A3A">
      <w:pPr>
        <w:spacing w:line="360" w:lineRule="auto"/>
        <w:jc w:val="both"/>
        <w:rPr>
          <w:lang w:val="es-UY"/>
        </w:rPr>
      </w:pPr>
    </w:p>
    <w:p w:rsidR="00616DE2" w:rsidRPr="00616DE2" w:rsidRDefault="003E1955" w:rsidP="00616DE2">
      <w:pPr>
        <w:pStyle w:val="Ttulo1"/>
        <w:rPr>
          <w:b w:val="0"/>
        </w:rPr>
      </w:pPr>
      <w:r w:rsidRPr="00616DE2">
        <w:rPr>
          <w:lang w:val="es-UY"/>
        </w:rPr>
        <w:t>CONSTANCIA DE FUNDAMENTO DE VOTO DISCORDE DEL MINISTRO               ING. MIGUEL AUMENTO:</w:t>
      </w:r>
      <w:r w:rsidRPr="005C0AC0">
        <w:rPr>
          <w:b w:val="0"/>
          <w:lang w:val="es-UY"/>
        </w:rPr>
        <w:t xml:space="preserve"> </w:t>
      </w:r>
      <w:r w:rsidR="00616DE2" w:rsidRPr="00616DE2">
        <w:rPr>
          <w:b w:val="0"/>
          <w:lang w:val="es-UY"/>
        </w:rPr>
        <w:t>“</w:t>
      </w:r>
      <w:r w:rsidR="00616DE2" w:rsidRPr="00616DE2">
        <w:rPr>
          <w:b w:val="0"/>
        </w:rPr>
        <w:t xml:space="preserve">He votado en forma discorde la Resolución recaída en este expediente, en tanto no estoy de acuerdo con la observación formulada en cuanto a que no se habría cumplido con las Resoluciones de este Tribunal de fechas 11.05.05 y 28.03.07. </w:t>
      </w:r>
    </w:p>
    <w:p w:rsidR="00616DE2" w:rsidRPr="00616DE2" w:rsidRDefault="00616DE2" w:rsidP="00616DE2">
      <w:pPr>
        <w:spacing w:line="360" w:lineRule="auto"/>
        <w:jc w:val="both"/>
      </w:pPr>
      <w:r w:rsidRPr="00616DE2">
        <w:t xml:space="preserve">En efecto, las actuaciones fueron remitidas al Tribunal de Cuentas con anterioridad a que comenzara el primero de los eventos. </w:t>
      </w:r>
      <w:r w:rsidRPr="00616DE2">
        <w:rPr>
          <w:u w:val="single"/>
        </w:rPr>
        <w:t>La fecha real de ingreso</w:t>
      </w:r>
      <w:r w:rsidRPr="00616DE2">
        <w:t xml:space="preserve"> de los obrados a este Tribunal fue el 04.01.18 y el primer evento se programó para el 06.01.18. </w:t>
      </w:r>
    </w:p>
    <w:p w:rsidR="00616DE2" w:rsidRPr="00616DE2" w:rsidRDefault="00616DE2" w:rsidP="00616DE2">
      <w:pPr>
        <w:spacing w:line="360" w:lineRule="auto"/>
        <w:jc w:val="both"/>
      </w:pPr>
      <w:r w:rsidRPr="00616DE2">
        <w:t xml:space="preserve">Dado que el margen de tiempo que dispuso este Tribunal para expedirse resultó muy breve, entiendo que este asunto debió resolverse emitiendo un Señalamiento a la Administración actuante en el sentido que, en lo sucesivo, se deberán remitir las actuaciones con antelación suficiente (considerando que estos eventos se reiteran año a año).    </w:t>
      </w:r>
    </w:p>
    <w:p w:rsidR="003E1955" w:rsidRPr="006A2B03" w:rsidRDefault="00616DE2" w:rsidP="00616DE2">
      <w:pPr>
        <w:spacing w:line="360" w:lineRule="auto"/>
        <w:jc w:val="both"/>
        <w:rPr>
          <w:lang w:val="es-UY"/>
        </w:rPr>
      </w:pPr>
      <w:r w:rsidRPr="00616DE2">
        <w:t>Por lo expuesto, he votado en discordia la Resolución de este expediente.</w:t>
      </w:r>
      <w:r>
        <w:t>”</w:t>
      </w:r>
      <w:r w:rsidR="003E1955" w:rsidRPr="00FB4277">
        <w:rPr>
          <w:lang w:val="es-UY"/>
        </w:rPr>
        <w:t xml:space="preserve">       </w:t>
      </w:r>
      <w:bookmarkStart w:id="0" w:name="_GoBack"/>
      <w:bookmarkEnd w:id="0"/>
    </w:p>
    <w:p w:rsidR="003E1955" w:rsidRPr="00BC67D0" w:rsidRDefault="003E1955" w:rsidP="00BC67D0">
      <w:pPr>
        <w:spacing w:line="360" w:lineRule="auto"/>
        <w:ind w:left="360" w:hanging="360"/>
        <w:jc w:val="both"/>
      </w:pPr>
    </w:p>
    <w:sectPr w:rsidR="003E1955" w:rsidRPr="00BC67D0" w:rsidSect="006E1545">
      <w:headerReference w:type="default" r:id="rId8"/>
      <w:footerReference w:type="default" r:id="rId9"/>
      <w:pgSz w:w="12240" w:h="15840" w:code="1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3E0" w:rsidRDefault="009D7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D73E0" w:rsidRDefault="009D7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0" w:rsidRDefault="009D73E0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6E1545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9D73E0" w:rsidRDefault="009D73E0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3E0" w:rsidRDefault="009D7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D73E0" w:rsidRDefault="009D7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3E0" w:rsidRDefault="009D73E0">
    <w:pPr>
      <w:pStyle w:val="Encabezado"/>
      <w:tabs>
        <w:tab w:val="clear" w:pos="4252"/>
        <w:tab w:val="clear" w:pos="8504"/>
        <w:tab w:val="left" w:pos="1891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5920"/>
    <w:multiLevelType w:val="hybridMultilevel"/>
    <w:tmpl w:val="64A48490"/>
    <w:lvl w:ilvl="0" w:tplc="0CB6FC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>
    <w:nsid w:val="31FD7747"/>
    <w:multiLevelType w:val="hybridMultilevel"/>
    <w:tmpl w:val="2584B494"/>
    <w:lvl w:ilvl="0" w:tplc="E21E394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44523BB4"/>
    <w:multiLevelType w:val="hybridMultilevel"/>
    <w:tmpl w:val="CB3898F0"/>
    <w:lvl w:ilvl="0" w:tplc="89749F54">
      <w:start w:val="1"/>
      <w:numFmt w:val="decimal"/>
      <w:lvlText w:val="%1)"/>
      <w:lvlJc w:val="left"/>
      <w:pPr>
        <w:ind w:left="633" w:hanging="360"/>
      </w:pPr>
      <w:rPr>
        <w:rFonts w:ascii="Times New Roman" w:hAnsi="Times New Roman" w:cs="Times New Roman"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353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073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793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513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233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4953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673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393" w:hanging="180"/>
      </w:pPr>
      <w:rPr>
        <w:rFonts w:ascii="Times New Roman" w:hAnsi="Times New Roman" w:cs="Times New Roman"/>
      </w:rPr>
    </w:lvl>
  </w:abstractNum>
  <w:abstractNum w:abstractNumId="4">
    <w:nsid w:val="473D3217"/>
    <w:multiLevelType w:val="hybridMultilevel"/>
    <w:tmpl w:val="73B439F2"/>
    <w:lvl w:ilvl="0" w:tplc="73BC7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47A53D74"/>
    <w:multiLevelType w:val="hybridMultilevel"/>
    <w:tmpl w:val="81FAD2D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50406ACE"/>
    <w:multiLevelType w:val="hybridMultilevel"/>
    <w:tmpl w:val="E438BC2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50AA4173"/>
    <w:multiLevelType w:val="hybridMultilevel"/>
    <w:tmpl w:val="E9BC7628"/>
    <w:lvl w:ilvl="0" w:tplc="1D6ACC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5AA825C2"/>
    <w:multiLevelType w:val="hybridMultilevel"/>
    <w:tmpl w:val="DD3C0B2A"/>
    <w:lvl w:ilvl="0" w:tplc="8500E37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revisionView w:inkAnnotation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E0"/>
    <w:rsid w:val="002B219D"/>
    <w:rsid w:val="003E1955"/>
    <w:rsid w:val="004A6B4B"/>
    <w:rsid w:val="00587B49"/>
    <w:rsid w:val="00616DE2"/>
    <w:rsid w:val="00632413"/>
    <w:rsid w:val="006E1545"/>
    <w:rsid w:val="0096440A"/>
    <w:rsid w:val="009D73E0"/>
    <w:rsid w:val="00A917F9"/>
    <w:rsid w:val="00B15438"/>
    <w:rsid w:val="00B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center"/>
      <w:outlineLvl w:val="1"/>
    </w:pPr>
    <w:rPr>
      <w:b/>
      <w:bCs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ar"/>
    <w:uiPriority w:val="99"/>
    <w:qFormat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7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3E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libri" w:hAnsi="Calibri" w:cs="Calibr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Calibri" w:hAnsi="Calibri" w:cs="Calibri"/>
      <w:i/>
      <w:iCs/>
      <w:sz w:val="24"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4"/>
      <w:szCs w:val="24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b/>
      <w:bCs/>
      <w:u w:val="single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9D73E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73E0"/>
    <w:rPr>
      <w:rFonts w:ascii="Arial" w:hAnsi="Arial" w:cs="Arial"/>
      <w:sz w:val="24"/>
      <w:szCs w:val="24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center"/>
      <w:outlineLvl w:val="1"/>
    </w:pPr>
    <w:rPr>
      <w:b/>
      <w:bCs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ar"/>
    <w:uiPriority w:val="99"/>
    <w:qFormat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7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3E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libri" w:hAnsi="Calibri" w:cs="Calibr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Calibri" w:hAnsi="Calibri" w:cs="Calibri"/>
      <w:i/>
      <w:iCs/>
      <w:sz w:val="24"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4"/>
      <w:szCs w:val="24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b/>
      <w:bCs/>
      <w:u w:val="single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9D73E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73E0"/>
    <w:rPr>
      <w:rFonts w:ascii="Arial" w:hAnsi="Arial" w:cs="Arial"/>
      <w:sz w:val="24"/>
      <w:szCs w:val="24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creator>Tribunal de Cuentas</dc:creator>
  <cp:lastModifiedBy>tribunal1</cp:lastModifiedBy>
  <cp:revision>3</cp:revision>
  <cp:lastPrinted>2018-02-27T17:24:00Z</cp:lastPrinted>
  <dcterms:created xsi:type="dcterms:W3CDTF">2018-02-27T17:24:00Z</dcterms:created>
  <dcterms:modified xsi:type="dcterms:W3CDTF">2018-02-27T17:24:00Z</dcterms:modified>
</cp:coreProperties>
</file>