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48" w:rsidRDefault="00A20F48">
      <w:pPr>
        <w:jc w:val="right"/>
        <w:rPr>
          <w:rFonts w:ascii="Arial" w:hAnsi="Arial" w:cs="Arial"/>
          <w:b w:val="0"/>
          <w:bCs w:val="0"/>
          <w:lang w:val="es-ES_tradnl"/>
        </w:rPr>
      </w:pPr>
    </w:p>
    <w:p w:rsidR="00176E9E" w:rsidRPr="00176E9E" w:rsidRDefault="00176E9E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176E9E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658</w:t>
      </w:r>
      <w:r w:rsidRPr="00176E9E">
        <w:rPr>
          <w:rFonts w:ascii="Arial" w:hAnsi="Arial" w:cs="Arial"/>
          <w:sz w:val="28"/>
          <w:szCs w:val="28"/>
          <w:lang w:val="es-ES_tradnl"/>
        </w:rPr>
        <w:t>/18</w:t>
      </w:r>
    </w:p>
    <w:p w:rsidR="00176E9E" w:rsidRPr="00176E9E" w:rsidRDefault="00176E9E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176E9E" w:rsidRPr="00176E9E" w:rsidRDefault="00176E9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76E9E">
        <w:rPr>
          <w:rFonts w:ascii="Arial" w:hAnsi="Arial" w:cs="Arial"/>
          <w:lang w:val="es-ES_tradnl"/>
        </w:rPr>
        <w:t>RESOLUCION ADOPTADA POR EL</w:t>
      </w:r>
    </w:p>
    <w:p w:rsidR="00176E9E" w:rsidRPr="00176E9E" w:rsidRDefault="00176E9E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76E9E" w:rsidRPr="00176E9E" w:rsidRDefault="00176E9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76E9E">
        <w:rPr>
          <w:rFonts w:ascii="Arial" w:hAnsi="Arial" w:cs="Arial"/>
          <w:lang w:val="es-ES_tradnl"/>
        </w:rPr>
        <w:t>TRIBUNAL DE CUENTAS</w:t>
      </w:r>
    </w:p>
    <w:p w:rsidR="00176E9E" w:rsidRPr="00176E9E" w:rsidRDefault="00176E9E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176E9E" w:rsidRPr="00176E9E" w:rsidRDefault="00176E9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176E9E">
        <w:rPr>
          <w:rFonts w:ascii="Arial" w:hAnsi="Arial" w:cs="Arial"/>
          <w:lang w:val="es-ES_tradnl"/>
        </w:rPr>
        <w:t xml:space="preserve">EN SESION DE FECHA 21 DE FEBRERO </w:t>
      </w:r>
      <w:r w:rsidRPr="00176E9E">
        <w:rPr>
          <w:rFonts w:ascii="Helvetica" w:hAnsi="Helvetica"/>
          <w:lang w:val="es-ES_tradnl"/>
        </w:rPr>
        <w:t>DE 2018</w:t>
      </w:r>
    </w:p>
    <w:p w:rsidR="00176E9E" w:rsidRPr="00176E9E" w:rsidRDefault="00176E9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176E9E" w:rsidRPr="00176E9E" w:rsidRDefault="00176E9E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176E9E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2018-17-1-0000581</w:t>
      </w:r>
      <w:r w:rsidRPr="00176E9E">
        <w:rPr>
          <w:rFonts w:ascii="Arial" w:hAnsi="Arial" w:cs="Arial"/>
          <w:lang w:val="en-US"/>
        </w:rPr>
        <w:t xml:space="preserve">, Ent. N° </w:t>
      </w:r>
      <w:r>
        <w:rPr>
          <w:rFonts w:ascii="Arial" w:hAnsi="Arial" w:cs="Arial"/>
          <w:lang w:val="en-US"/>
        </w:rPr>
        <w:t>470/18</w:t>
      </w:r>
      <w:r w:rsidRPr="00176E9E">
        <w:rPr>
          <w:rFonts w:ascii="Arial" w:hAnsi="Arial" w:cs="Arial"/>
          <w:lang w:val="en-US"/>
        </w:rPr>
        <w:t>)</w:t>
      </w:r>
    </w:p>
    <w:p w:rsidR="00176E9E" w:rsidRPr="00176E9E" w:rsidRDefault="00176E9E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176E9E" w:rsidRDefault="00A20F48" w:rsidP="00176E9E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relacionadas con </w:t>
      </w:r>
      <w:r w:rsidR="00176E9E">
        <w:rPr>
          <w:rFonts w:ascii="Arial" w:hAnsi="Arial" w:cs="Arial"/>
          <w:b w:val="0"/>
          <w:bCs w:val="0"/>
          <w:lang w:val="es-UY"/>
        </w:rPr>
        <w:t>la Licitación pública 331156/2;</w:t>
      </w:r>
    </w:p>
    <w:p w:rsidR="00176E9E" w:rsidRDefault="00A20F48" w:rsidP="00176E9E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 xml:space="preserve">que por  Resolución Nº  641 de fecha 08/11/17 dictada por el Gerente de compras se aprobaron los Pliegos respectivos y se autorizó la realización de la licitación Nº </w:t>
      </w:r>
      <w:r w:rsidR="00323B32">
        <w:rPr>
          <w:rFonts w:ascii="Arial" w:hAnsi="Arial" w:cs="Arial"/>
          <w:b w:val="0"/>
          <w:bCs w:val="0"/>
          <w:lang w:val="es-UY"/>
        </w:rPr>
        <w:t>3</w:t>
      </w:r>
      <w:bookmarkStart w:id="0" w:name="_GoBack"/>
      <w:bookmarkEnd w:id="0"/>
      <w:r>
        <w:rPr>
          <w:rFonts w:ascii="Arial" w:hAnsi="Arial" w:cs="Arial"/>
          <w:b w:val="0"/>
          <w:bCs w:val="0"/>
          <w:lang w:val="es-ES_tradnl"/>
        </w:rPr>
        <w:t>31156/2, cuyo objeto es la contratación de arrendamiento con colocación de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>Tribunas, Vallados,  y contratación de los servicios de montaje, desmontaje y flete de Tribunas con sistema de andamio prearmado  p</w:t>
      </w:r>
      <w:r w:rsidR="00176E9E">
        <w:rPr>
          <w:rFonts w:ascii="Arial" w:hAnsi="Arial" w:cs="Arial"/>
          <w:b w:val="0"/>
          <w:bCs w:val="0"/>
          <w:lang w:val="es-ES_tradnl"/>
        </w:rPr>
        <w:t>ara instalarse para el Desfile I</w:t>
      </w:r>
      <w:r>
        <w:rPr>
          <w:rFonts w:ascii="Arial" w:hAnsi="Arial" w:cs="Arial"/>
          <w:b w:val="0"/>
          <w:bCs w:val="0"/>
          <w:lang w:val="es-ES_tradnl"/>
        </w:rPr>
        <w:t>naugural del Carnaval, Escuela de Samba y Desfile de Llamadas Carnaval 2018. Contratación de 6 torres de tres tramos “andamios”, 5 baterías de gradas; una cabina techada de trasmisión para la Semana Criolla 2018 a llevarse a cabo entre</w:t>
      </w:r>
      <w:r w:rsidR="00176E9E">
        <w:rPr>
          <w:rFonts w:ascii="Arial" w:hAnsi="Arial" w:cs="Arial"/>
          <w:b w:val="0"/>
          <w:bCs w:val="0"/>
          <w:lang w:val="es-ES_tradnl"/>
        </w:rPr>
        <w:t xml:space="preserve"> el 24/03/2016 y el 01/04/2018;</w:t>
      </w:r>
    </w:p>
    <w:p w:rsidR="00176E9E" w:rsidRDefault="00A20F48" w:rsidP="00176E9E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bCs w:val="0"/>
          <w:lang w:val="es-ES_tradnl"/>
        </w:rPr>
        <w:t xml:space="preserve"> que se dio cump</w:t>
      </w:r>
      <w:r w:rsidR="00176E9E">
        <w:rPr>
          <w:rFonts w:ascii="Arial" w:hAnsi="Arial" w:cs="Arial"/>
          <w:b w:val="0"/>
          <w:bCs w:val="0"/>
          <w:lang w:val="es-ES_tradnl"/>
        </w:rPr>
        <w:t>limiento a lo dispuesto por el A</w:t>
      </w:r>
      <w:r>
        <w:rPr>
          <w:rFonts w:ascii="Arial" w:hAnsi="Arial" w:cs="Arial"/>
          <w:b w:val="0"/>
          <w:bCs w:val="0"/>
          <w:lang w:val="es-ES_tradnl"/>
        </w:rPr>
        <w:t xml:space="preserve">rtículo 51 del TOCAF efectuando la publicación del llamado en ACCE el 10/11/17 y en el </w:t>
      </w:r>
      <w:r w:rsidR="00176E9E">
        <w:rPr>
          <w:rFonts w:ascii="Arial" w:hAnsi="Arial" w:cs="Arial"/>
          <w:b w:val="0"/>
          <w:bCs w:val="0"/>
        </w:rPr>
        <w:t>Diario Oficia el 20/11/17;</w:t>
      </w:r>
    </w:p>
    <w:p w:rsidR="00176E9E" w:rsidRDefault="00A20F48" w:rsidP="00176E9E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b w:val="0"/>
          <w:bCs w:val="0"/>
        </w:rPr>
        <w:t>que en el acto de apertura efectuado el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 xml:space="preserve">13/12/2017 se recepcionaron dos ofertas 1- </w:t>
      </w:r>
      <w:r>
        <w:rPr>
          <w:rFonts w:ascii="Arial" w:hAnsi="Arial" w:cs="Arial"/>
          <w:b w:val="0"/>
          <w:bCs w:val="0"/>
          <w:color w:val="auto"/>
          <w:lang w:val="es-UY"/>
        </w:rPr>
        <w:t xml:space="preserve">Palladium S.A. y 2- </w:t>
      </w:r>
      <w:r w:rsidR="00176E9E">
        <w:rPr>
          <w:rFonts w:ascii="Arial" w:hAnsi="Arial" w:cs="Arial"/>
          <w:b w:val="0"/>
          <w:bCs w:val="0"/>
          <w:lang w:val="es-ES_tradnl"/>
        </w:rPr>
        <w:t>Consorcio  Fiafin 2;</w:t>
      </w:r>
    </w:p>
    <w:p w:rsidR="00FC4C83" w:rsidRDefault="00A20F48" w:rsidP="00FC4C83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4) </w:t>
      </w:r>
      <w:r>
        <w:rPr>
          <w:rFonts w:ascii="Arial" w:hAnsi="Arial" w:cs="Arial"/>
          <w:b w:val="0"/>
          <w:bCs w:val="0"/>
          <w:lang w:val="es-ES_tradnl"/>
        </w:rPr>
        <w:t xml:space="preserve">que ambos oferentes </w:t>
      </w:r>
      <w:r w:rsidR="00FC4C83">
        <w:rPr>
          <w:rFonts w:ascii="Arial" w:hAnsi="Arial" w:cs="Arial"/>
          <w:b w:val="0"/>
          <w:bCs w:val="0"/>
          <w:lang w:val="es-ES_tradnl"/>
        </w:rPr>
        <w:t>formularon observaciones en el Acta de A</w:t>
      </w:r>
      <w:r>
        <w:rPr>
          <w:rFonts w:ascii="Arial" w:hAnsi="Arial" w:cs="Arial"/>
          <w:b w:val="0"/>
          <w:bCs w:val="0"/>
          <w:lang w:val="es-ES_tradnl"/>
        </w:rPr>
        <w:t>pertura relacionadas con el cumplimiento de los requerimient</w:t>
      </w:r>
      <w:r w:rsidR="00FC4C83">
        <w:rPr>
          <w:rFonts w:ascii="Arial" w:hAnsi="Arial" w:cs="Arial"/>
          <w:b w:val="0"/>
          <w:bCs w:val="0"/>
          <w:lang w:val="es-ES_tradnl"/>
        </w:rPr>
        <w:t>os establecidos en los Pliegos;</w:t>
      </w:r>
    </w:p>
    <w:p w:rsidR="00FC4C83" w:rsidRDefault="00A20F48" w:rsidP="00FC4C83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5) </w:t>
      </w:r>
      <w:r>
        <w:rPr>
          <w:rFonts w:ascii="Arial" w:hAnsi="Arial" w:cs="Arial"/>
          <w:b w:val="0"/>
          <w:bCs w:val="0"/>
          <w:lang w:val="es-ES_tradnl"/>
        </w:rPr>
        <w:t xml:space="preserve">que </w:t>
      </w:r>
      <w:r w:rsidR="00FC4C83">
        <w:rPr>
          <w:rFonts w:ascii="Arial" w:hAnsi="Arial" w:cs="Arial"/>
          <w:b w:val="0"/>
          <w:lang w:val="es-ES_tradnl"/>
        </w:rPr>
        <w:t>c</w:t>
      </w:r>
      <w:r>
        <w:rPr>
          <w:rFonts w:ascii="Arial" w:hAnsi="Arial" w:cs="Arial"/>
          <w:b w:val="0"/>
          <w:bCs w:val="0"/>
          <w:lang w:val="es-ES_tradnl"/>
        </w:rPr>
        <w:t xml:space="preserve">on fecha 22/12/2017 el Departamento de Cultura- Gerencia de Festejos y Espectáculos analizó las ofertas presentadas. En cuanto a su admisibilidad se concluye que la oferta de Fiafin2 en lo que se refiere al Literal B Evento Semana Criolla, no cumple sustancialmente con el </w:t>
      </w:r>
      <w:r w:rsidR="00FC4C83">
        <w:rPr>
          <w:rFonts w:ascii="Arial" w:hAnsi="Arial" w:cs="Arial"/>
          <w:b w:val="0"/>
          <w:bCs w:val="0"/>
          <w:lang w:val="es-ES_tradnl"/>
        </w:rPr>
        <w:t>P</w:t>
      </w:r>
      <w:r>
        <w:rPr>
          <w:rFonts w:ascii="Arial" w:hAnsi="Arial" w:cs="Arial"/>
          <w:b w:val="0"/>
          <w:bCs w:val="0"/>
          <w:lang w:val="es-ES_tradnl"/>
        </w:rPr>
        <w:t xml:space="preserve">liego y se aparta de éste en aspectos que resultan esenciales y obligatorios como la capacidad de las Tribunas. En lo que refiere a antecedentes Consorcio Fiafin 2 </w:t>
      </w:r>
      <w:r w:rsidR="00FC4C83">
        <w:rPr>
          <w:rFonts w:ascii="Arial" w:hAnsi="Arial" w:cs="Arial"/>
          <w:b w:val="0"/>
          <w:bCs w:val="0"/>
          <w:lang w:val="es-ES_tradnl"/>
        </w:rPr>
        <w:t>tampoco cumple con lo requerido;</w:t>
      </w:r>
    </w:p>
    <w:p w:rsidR="00FC4C83" w:rsidRDefault="00A20F48" w:rsidP="00FC4C83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6) </w:t>
      </w:r>
      <w:r>
        <w:rPr>
          <w:rFonts w:ascii="Arial" w:hAnsi="Arial" w:cs="Arial"/>
          <w:b w:val="0"/>
          <w:bCs w:val="0"/>
          <w:lang w:val="es-ES_tradnl"/>
        </w:rPr>
        <w:t>que se concluye que la oferta de Palladium S</w:t>
      </w:r>
      <w:r w:rsidR="00FC4C83">
        <w:rPr>
          <w:rFonts w:ascii="Arial" w:hAnsi="Arial" w:cs="Arial"/>
          <w:b w:val="0"/>
          <w:bCs w:val="0"/>
          <w:lang w:val="es-ES_tradnl"/>
        </w:rPr>
        <w:t>.</w:t>
      </w:r>
      <w:r>
        <w:rPr>
          <w:rFonts w:ascii="Arial" w:hAnsi="Arial" w:cs="Arial"/>
          <w:b w:val="0"/>
          <w:bCs w:val="0"/>
          <w:lang w:val="es-ES_tradnl"/>
        </w:rPr>
        <w:t>A</w:t>
      </w:r>
      <w:r w:rsidR="00FC4C83">
        <w:rPr>
          <w:rFonts w:ascii="Arial" w:hAnsi="Arial" w:cs="Arial"/>
          <w:b w:val="0"/>
          <w:bCs w:val="0"/>
          <w:lang w:val="es-ES_tradnl"/>
        </w:rPr>
        <w:t>.</w:t>
      </w:r>
      <w:r>
        <w:rPr>
          <w:rFonts w:ascii="Arial" w:hAnsi="Arial" w:cs="Arial"/>
          <w:b w:val="0"/>
          <w:bCs w:val="0"/>
          <w:lang w:val="es-ES_tradnl"/>
        </w:rPr>
        <w:t xml:space="preserve"> es  la única admisible, por lo que e</w:t>
      </w:r>
      <w:r w:rsidR="00FC4C83">
        <w:rPr>
          <w:rFonts w:ascii="Arial" w:hAnsi="Arial" w:cs="Arial"/>
          <w:b w:val="0"/>
          <w:bCs w:val="0"/>
          <w:lang w:val="es-ES_tradnl"/>
        </w:rPr>
        <w:t>s  analizada de acuerdo con el A</w:t>
      </w:r>
      <w:r>
        <w:rPr>
          <w:rFonts w:ascii="Arial" w:hAnsi="Arial" w:cs="Arial"/>
          <w:b w:val="0"/>
          <w:bCs w:val="0"/>
          <w:lang w:val="es-ES_tradnl"/>
        </w:rPr>
        <w:t>rtículo 14 del Pliego, y se sugiere en primer lugar aceptar la cotización de la oferta alter</w:t>
      </w:r>
      <w:r w:rsidR="00FC4C83">
        <w:rPr>
          <w:rFonts w:ascii="Arial" w:hAnsi="Arial" w:cs="Arial"/>
          <w:b w:val="0"/>
          <w:bCs w:val="0"/>
          <w:lang w:val="es-ES_tradnl"/>
        </w:rPr>
        <w:t>nativa planteada al amparo del Artículo 6 del Pliego;</w:t>
      </w:r>
    </w:p>
    <w:p w:rsidR="00FC4C83" w:rsidRDefault="00A20F48" w:rsidP="00FC4C83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lang w:val="es-ES_tradnl"/>
        </w:rPr>
        <w:t>7)</w:t>
      </w:r>
      <w:r>
        <w:rPr>
          <w:rFonts w:ascii="Arial" w:hAnsi="Arial" w:cs="Arial"/>
          <w:b w:val="0"/>
          <w:bCs w:val="0"/>
          <w:lang w:val="es-ES_tradnl"/>
        </w:rPr>
        <w:t xml:space="preserve"> que la Comisión Asesora de Compras con fecha 28/12/2017 aconseja  </w:t>
      </w:r>
      <w:r>
        <w:rPr>
          <w:rFonts w:ascii="Arial" w:hAnsi="Arial" w:cs="Arial"/>
          <w:b w:val="0"/>
          <w:bCs w:val="0"/>
          <w:color w:val="auto"/>
          <w:lang w:val="es-UY"/>
        </w:rPr>
        <w:t>aceptar la propuesta de Palladium S.A., con un costo total de  $ 13:430.283,77 incluidos impuestos</w:t>
      </w:r>
      <w:r w:rsidR="00FC4C83">
        <w:rPr>
          <w:rFonts w:ascii="Arial" w:hAnsi="Arial" w:cs="Arial"/>
          <w:b w:val="0"/>
          <w:bCs w:val="0"/>
        </w:rPr>
        <w:t>;</w:t>
      </w:r>
    </w:p>
    <w:p w:rsidR="00FC4C83" w:rsidRDefault="00A20F48" w:rsidP="00FC4C83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</w:rPr>
      </w:pPr>
      <w:r w:rsidRPr="00FC4C83">
        <w:rPr>
          <w:rFonts w:ascii="Arial" w:hAnsi="Arial" w:cs="Arial"/>
        </w:rPr>
        <w:t xml:space="preserve">8) </w:t>
      </w:r>
      <w:r w:rsidR="00FC4C83">
        <w:rPr>
          <w:rFonts w:ascii="Arial" w:hAnsi="Arial" w:cs="Arial"/>
          <w:b w:val="0"/>
          <w:bCs w:val="0"/>
        </w:rPr>
        <w:t>que ad refere</w:t>
      </w:r>
      <w:r w:rsidRPr="00FC4C83">
        <w:rPr>
          <w:rFonts w:ascii="Arial" w:hAnsi="Arial" w:cs="Arial"/>
          <w:b w:val="0"/>
          <w:bCs w:val="0"/>
        </w:rPr>
        <w:t xml:space="preserve">ndum de la intervención de este Tribunal, por </w:t>
      </w:r>
      <w:r w:rsidRPr="00FC4C83">
        <w:rPr>
          <w:rFonts w:ascii="Arial" w:hAnsi="Arial" w:cs="Arial"/>
        </w:rPr>
        <w:t xml:space="preserve"> </w:t>
      </w:r>
      <w:r w:rsidRPr="00FC4C83">
        <w:rPr>
          <w:rFonts w:ascii="Arial" w:hAnsi="Arial" w:cs="Arial"/>
          <w:b w:val="0"/>
          <w:bCs w:val="0"/>
        </w:rPr>
        <w:t xml:space="preserve">Resolución Nº 07/2018 de fecha 09/01/2018 el Director General del Departamento de Desarrollo Económico, en uso de facultades delegadas, adjudicó </w:t>
      </w:r>
      <w:r w:rsidR="00FC4C83">
        <w:rPr>
          <w:rFonts w:ascii="Arial" w:hAnsi="Arial" w:cs="Arial"/>
          <w:b w:val="0"/>
          <w:bCs w:val="0"/>
        </w:rPr>
        <w:t>e</w:t>
      </w:r>
      <w:r w:rsidRPr="00FC4C83">
        <w:rPr>
          <w:rFonts w:ascii="Arial" w:hAnsi="Arial" w:cs="Arial"/>
          <w:b w:val="0"/>
          <w:bCs w:val="0"/>
        </w:rPr>
        <w:t>l objeto del llamado a la firma Palladium  S.A., por un monto total de  $ 13:430.283,77 impuestos incluidos;</w:t>
      </w:r>
    </w:p>
    <w:p w:rsidR="00A20F48" w:rsidRDefault="00A20F48" w:rsidP="00FC4C83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9) </w:t>
      </w:r>
      <w:r>
        <w:rPr>
          <w:rFonts w:ascii="Arial" w:hAnsi="Arial" w:cs="Arial"/>
          <w:b w:val="0"/>
          <w:bCs w:val="0"/>
          <w:lang w:val="es-ES_tradnl"/>
        </w:rPr>
        <w:t>que según informa la Contadora Delegada el gasto se imputó con cargo al rubro respectivo con disponibilidad suficiente;</w:t>
      </w:r>
    </w:p>
    <w:p w:rsidR="00FC4C83" w:rsidRDefault="00A20F48" w:rsidP="00FC4C83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 1) </w:t>
      </w:r>
      <w:r>
        <w:rPr>
          <w:rFonts w:ascii="Arial" w:hAnsi="Arial" w:cs="Arial"/>
          <w:b w:val="0"/>
          <w:bCs w:val="0"/>
          <w:lang w:val="es-ES_tradnl"/>
        </w:rPr>
        <w:t>que el procedimiento de compra se ajust</w:t>
      </w:r>
      <w:r w:rsidR="00FC4C83">
        <w:rPr>
          <w:rFonts w:ascii="Arial" w:hAnsi="Arial" w:cs="Arial"/>
          <w:b w:val="0"/>
          <w:bCs w:val="0"/>
          <w:lang w:val="es-ES_tradnl"/>
        </w:rPr>
        <w:t>a con lo preceptuado por el Artículo 33 del TOCAF;</w:t>
      </w:r>
    </w:p>
    <w:p w:rsidR="00A20F48" w:rsidRDefault="00A20F48" w:rsidP="00FC4C83">
      <w:pPr>
        <w:spacing w:line="360" w:lineRule="auto"/>
        <w:ind w:firstLine="311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2) </w:t>
      </w:r>
      <w:r>
        <w:rPr>
          <w:rFonts w:ascii="Arial" w:hAnsi="Arial" w:cs="Arial"/>
          <w:b w:val="0"/>
          <w:bCs w:val="0"/>
          <w:lang w:val="es-ES_tradnl"/>
        </w:rPr>
        <w:t>que no obstante ello, teniendo en cuenta la fecha de realización del desfile inaugural de carnaval, a la fecha de entrada oficial de las actuaciones a este Tribunal, el gasto había tenido principio de ejecución;</w:t>
      </w:r>
    </w:p>
    <w:p w:rsidR="00A20F48" w:rsidRDefault="00A20F48" w:rsidP="00FC4C83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>a lo exp</w:t>
      </w:r>
      <w:r w:rsidR="00FC4C83">
        <w:rPr>
          <w:rFonts w:ascii="Arial" w:hAnsi="Arial" w:cs="Arial"/>
          <w:b w:val="0"/>
          <w:bCs w:val="0"/>
          <w:lang w:val="es-ES_tradnl"/>
        </w:rPr>
        <w:t>uesto y a lo dispuesto por el Artículo 211 L</w:t>
      </w:r>
      <w:r>
        <w:rPr>
          <w:rFonts w:ascii="Arial" w:hAnsi="Arial" w:cs="Arial"/>
          <w:b w:val="0"/>
          <w:bCs w:val="0"/>
          <w:lang w:val="es-ES_tradnl"/>
        </w:rPr>
        <w:t>iteral B) de l</w:t>
      </w:r>
      <w:r w:rsidR="00FC4C83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EL TRIBUNAL ACUERDA</w:t>
      </w:r>
    </w:p>
    <w:p w:rsidR="00A20F48" w:rsidRDefault="00FC4C83" w:rsidP="00FC4C83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Observar el gasto;</w:t>
      </w:r>
    </w:p>
    <w:p w:rsidR="00A20F48" w:rsidRDefault="00FC4C83" w:rsidP="00FC4C83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Devolver las actuaciones.</w:t>
      </w:r>
    </w:p>
    <w:p w:rsidR="00FC4C83" w:rsidRDefault="00FC4C83" w:rsidP="00FC4C8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FC4C83" w:rsidRDefault="00FC4C83" w:rsidP="00FC4C8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FC4C83" w:rsidRDefault="00FC4C83" w:rsidP="00FC4C8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FC4C83" w:rsidRDefault="00FC4C83" w:rsidP="00FC4C8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FC4C83" w:rsidRDefault="00FC4C83" w:rsidP="00FC4C8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FC4C83" w:rsidRDefault="00FC4C83" w:rsidP="00FC4C8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FC4C83" w:rsidRDefault="00FC4C83" w:rsidP="00FC4C83">
      <w:pPr>
        <w:spacing w:line="360" w:lineRule="auto"/>
        <w:ind w:hanging="426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dc</w:t>
      </w:r>
    </w:p>
    <w:sectPr w:rsidR="00FC4C83" w:rsidSect="00176E9E">
      <w:footerReference w:type="default" r:id="rId8"/>
      <w:pgSz w:w="11906" w:h="16838" w:code="9"/>
      <w:pgMar w:top="3119" w:right="1701" w:bottom="1701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48" w:rsidRDefault="00A20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20F48" w:rsidRDefault="00A20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48" w:rsidRDefault="00A20F48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323B32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A20F48" w:rsidRDefault="00A20F48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48" w:rsidRDefault="00A20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20F48" w:rsidRDefault="00A20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C87"/>
    <w:multiLevelType w:val="hybridMultilevel"/>
    <w:tmpl w:val="AA448DBE"/>
    <w:lvl w:ilvl="0" w:tplc="3EA007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8"/>
  </w:num>
  <w:num w:numId="9">
    <w:abstractNumId w:val="5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7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3"/>
  </w:num>
  <w:num w:numId="22">
    <w:abstractNumId w:val="2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176E9E"/>
    <w:rsid w:val="00323B32"/>
    <w:rsid w:val="00A20F48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B32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B32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3</cp:revision>
  <cp:lastPrinted>2018-02-26T15:51:00Z</cp:lastPrinted>
  <dcterms:created xsi:type="dcterms:W3CDTF">2018-02-26T15:39:00Z</dcterms:created>
  <dcterms:modified xsi:type="dcterms:W3CDTF">2018-02-26T15:52:00Z</dcterms:modified>
</cp:coreProperties>
</file>