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82" w:rsidRPr="00161683" w:rsidRDefault="00FE0282" w:rsidP="00463D01">
      <w:pPr>
        <w:keepNext/>
        <w:widowControl w:val="0"/>
        <w:tabs>
          <w:tab w:val="center" w:pos="4253"/>
        </w:tabs>
        <w:suppressAutoHyphens w:val="0"/>
        <w:spacing w:after="0"/>
        <w:jc w:val="right"/>
        <w:rPr>
          <w:b/>
          <w:szCs w:val="24"/>
          <w:lang w:val="es-ES_tradnl"/>
        </w:rPr>
      </w:pPr>
      <w:bookmarkStart w:id="0" w:name="_GoBack"/>
      <w:bookmarkEnd w:id="0"/>
      <w:r>
        <w:rPr>
          <w:b/>
          <w:szCs w:val="24"/>
          <w:lang w:val="es-ES_tradnl"/>
        </w:rPr>
        <w:t>RES.</w:t>
      </w:r>
      <w:r w:rsidR="00463D01">
        <w:rPr>
          <w:b/>
          <w:szCs w:val="24"/>
          <w:lang w:val="es-ES_tradnl"/>
        </w:rPr>
        <w:t xml:space="preserve"> </w:t>
      </w:r>
      <w:r>
        <w:rPr>
          <w:b/>
          <w:szCs w:val="24"/>
          <w:lang w:val="es-ES_tradnl"/>
        </w:rPr>
        <w:t>Nº 331/17</w:t>
      </w:r>
    </w:p>
    <w:p w:rsidR="00FE0282" w:rsidRDefault="00FE0282" w:rsidP="00463D01">
      <w:pPr>
        <w:keepNext/>
        <w:widowControl w:val="0"/>
        <w:tabs>
          <w:tab w:val="center" w:pos="4253"/>
        </w:tabs>
        <w:suppressAutoHyphens w:val="0"/>
        <w:spacing w:after="0"/>
        <w:jc w:val="center"/>
        <w:rPr>
          <w:b/>
          <w:szCs w:val="24"/>
          <w:lang w:val="es-ES_tradnl"/>
        </w:rPr>
      </w:pPr>
    </w:p>
    <w:p w:rsidR="00FE0282" w:rsidRPr="004746D1" w:rsidRDefault="00FE0282" w:rsidP="00463D01">
      <w:pPr>
        <w:keepNext/>
        <w:widowControl w:val="0"/>
        <w:tabs>
          <w:tab w:val="center" w:pos="4253"/>
        </w:tabs>
        <w:suppressAutoHyphens w:val="0"/>
        <w:spacing w:after="0"/>
        <w:jc w:val="center"/>
        <w:rPr>
          <w:b/>
          <w:szCs w:val="24"/>
          <w:lang w:val="es-ES_tradnl"/>
        </w:rPr>
      </w:pPr>
      <w:r w:rsidRPr="004746D1">
        <w:rPr>
          <w:b/>
          <w:szCs w:val="24"/>
          <w:lang w:val="es-ES_tradnl"/>
        </w:rPr>
        <w:t>RESOLUCION ADOPTADA POR EL</w:t>
      </w:r>
    </w:p>
    <w:p w:rsidR="00FE0282" w:rsidRPr="004746D1" w:rsidRDefault="00FE0282" w:rsidP="00463D01">
      <w:pPr>
        <w:keepNext/>
        <w:widowControl w:val="0"/>
        <w:tabs>
          <w:tab w:val="left" w:pos="-720"/>
        </w:tabs>
        <w:suppressAutoHyphens w:val="0"/>
        <w:spacing w:after="0"/>
        <w:jc w:val="center"/>
        <w:rPr>
          <w:b/>
          <w:szCs w:val="24"/>
          <w:lang w:val="es-ES_tradnl"/>
        </w:rPr>
      </w:pPr>
    </w:p>
    <w:p w:rsidR="00FE0282" w:rsidRPr="004746D1" w:rsidRDefault="00FE0282" w:rsidP="00463D01">
      <w:pPr>
        <w:keepNext/>
        <w:widowControl w:val="0"/>
        <w:tabs>
          <w:tab w:val="center" w:pos="4253"/>
        </w:tabs>
        <w:suppressAutoHyphens w:val="0"/>
        <w:spacing w:after="0"/>
        <w:jc w:val="center"/>
        <w:rPr>
          <w:b/>
          <w:szCs w:val="24"/>
          <w:lang w:val="es-ES_tradnl"/>
        </w:rPr>
      </w:pPr>
      <w:r w:rsidRPr="004746D1">
        <w:rPr>
          <w:b/>
          <w:szCs w:val="24"/>
          <w:lang w:val="es-ES_tradnl"/>
        </w:rPr>
        <w:t>TRIBUNAL DE CUENTAS</w:t>
      </w:r>
    </w:p>
    <w:p w:rsidR="00FE0282" w:rsidRPr="004746D1" w:rsidRDefault="00FE0282" w:rsidP="00463D01">
      <w:pPr>
        <w:keepNext/>
        <w:widowControl w:val="0"/>
        <w:tabs>
          <w:tab w:val="left" w:pos="-720"/>
        </w:tabs>
        <w:suppressAutoHyphens w:val="0"/>
        <w:spacing w:after="0"/>
        <w:jc w:val="center"/>
        <w:rPr>
          <w:b/>
          <w:szCs w:val="24"/>
          <w:lang w:val="es-ES_tradnl"/>
        </w:rPr>
      </w:pPr>
    </w:p>
    <w:p w:rsidR="00FE0282" w:rsidRPr="004746D1" w:rsidRDefault="00FE0282" w:rsidP="00463D01">
      <w:pPr>
        <w:keepNext/>
        <w:widowControl w:val="0"/>
        <w:tabs>
          <w:tab w:val="center" w:pos="4253"/>
        </w:tabs>
        <w:suppressAutoHyphens w:val="0"/>
        <w:spacing w:after="0"/>
        <w:jc w:val="center"/>
        <w:rPr>
          <w:b/>
          <w:szCs w:val="24"/>
          <w:lang w:val="es-ES_tradnl"/>
        </w:rPr>
      </w:pPr>
      <w:r w:rsidRPr="004746D1">
        <w:rPr>
          <w:b/>
          <w:szCs w:val="24"/>
          <w:lang w:val="es-ES_tradnl"/>
        </w:rPr>
        <w:t xml:space="preserve">EN SESION DE FECHA </w:t>
      </w:r>
      <w:r>
        <w:rPr>
          <w:b/>
          <w:szCs w:val="24"/>
          <w:lang w:val="es-ES_tradnl"/>
        </w:rPr>
        <w:t>25 DE ENERO DE 2017</w:t>
      </w:r>
    </w:p>
    <w:p w:rsidR="00FE0282" w:rsidRPr="004746D1" w:rsidRDefault="00FE0282" w:rsidP="00463D01">
      <w:pPr>
        <w:keepNext/>
        <w:widowControl w:val="0"/>
        <w:tabs>
          <w:tab w:val="center" w:pos="4253"/>
        </w:tabs>
        <w:suppressAutoHyphens w:val="0"/>
        <w:spacing w:after="0"/>
        <w:jc w:val="center"/>
        <w:rPr>
          <w:b/>
          <w:szCs w:val="24"/>
          <w:lang w:val="es-ES_tradnl"/>
        </w:rPr>
      </w:pPr>
    </w:p>
    <w:p w:rsidR="00FE0282" w:rsidRPr="004746D1" w:rsidRDefault="00FE0282" w:rsidP="00463D01">
      <w:pPr>
        <w:keepNext/>
        <w:widowControl w:val="0"/>
        <w:tabs>
          <w:tab w:val="center" w:pos="4253"/>
        </w:tabs>
        <w:suppressAutoHyphens w:val="0"/>
        <w:spacing w:after="0"/>
        <w:jc w:val="center"/>
        <w:rPr>
          <w:b/>
          <w:szCs w:val="24"/>
          <w:lang w:val="es-ES_tradnl"/>
        </w:rPr>
      </w:pPr>
      <w:r>
        <w:rPr>
          <w:b/>
          <w:szCs w:val="24"/>
          <w:lang w:val="es-ES_tradnl"/>
        </w:rPr>
        <w:t>(E.</w:t>
      </w:r>
      <w:r w:rsidR="00463D01">
        <w:rPr>
          <w:b/>
          <w:szCs w:val="24"/>
          <w:lang w:val="es-ES_tradnl"/>
        </w:rPr>
        <w:t xml:space="preserve"> </w:t>
      </w:r>
      <w:r>
        <w:rPr>
          <w:b/>
          <w:szCs w:val="24"/>
          <w:lang w:val="es-ES_tradnl"/>
        </w:rPr>
        <w:t>E.</w:t>
      </w:r>
      <w:r w:rsidR="00463D01">
        <w:rPr>
          <w:b/>
          <w:szCs w:val="24"/>
          <w:lang w:val="es-ES_tradnl"/>
        </w:rPr>
        <w:t xml:space="preserve"> </w:t>
      </w:r>
      <w:r>
        <w:rPr>
          <w:b/>
          <w:szCs w:val="24"/>
          <w:lang w:val="es-ES_tradnl"/>
        </w:rPr>
        <w:t>Nº 2016-17-1-0002628</w:t>
      </w:r>
      <w:r w:rsidRPr="004746D1">
        <w:rPr>
          <w:b/>
          <w:szCs w:val="24"/>
          <w:lang w:val="es-ES_tradnl"/>
        </w:rPr>
        <w:t xml:space="preserve">, </w:t>
      </w:r>
      <w:proofErr w:type="spellStart"/>
      <w:r w:rsidRPr="004746D1">
        <w:rPr>
          <w:b/>
          <w:szCs w:val="24"/>
          <w:lang w:val="es-ES_tradnl"/>
        </w:rPr>
        <w:t>E</w:t>
      </w:r>
      <w:r>
        <w:rPr>
          <w:b/>
          <w:szCs w:val="24"/>
          <w:lang w:val="es-ES_tradnl"/>
        </w:rPr>
        <w:t>nt</w:t>
      </w:r>
      <w:proofErr w:type="spellEnd"/>
      <w:r w:rsidRPr="004746D1">
        <w:rPr>
          <w:b/>
          <w:szCs w:val="24"/>
          <w:lang w:val="es-ES_tradnl"/>
        </w:rPr>
        <w:t>.</w:t>
      </w:r>
      <w:r w:rsidR="00463D01">
        <w:rPr>
          <w:b/>
          <w:szCs w:val="24"/>
          <w:lang w:val="es-ES_tradnl"/>
        </w:rPr>
        <w:t xml:space="preserve"> </w:t>
      </w:r>
      <w:r>
        <w:rPr>
          <w:b/>
          <w:szCs w:val="24"/>
          <w:lang w:val="es-ES_tradnl"/>
        </w:rPr>
        <w:t>N°</w:t>
      </w:r>
      <w:r w:rsidRPr="004746D1">
        <w:rPr>
          <w:b/>
          <w:szCs w:val="24"/>
          <w:lang w:val="es-ES_tradnl"/>
        </w:rPr>
        <w:t xml:space="preserve"> </w:t>
      </w:r>
      <w:r>
        <w:rPr>
          <w:b/>
          <w:szCs w:val="24"/>
          <w:lang w:val="es-ES_tradnl"/>
        </w:rPr>
        <w:t>1998</w:t>
      </w:r>
      <w:r w:rsidRPr="004746D1">
        <w:rPr>
          <w:b/>
          <w:szCs w:val="24"/>
          <w:lang w:val="es-ES_tradnl"/>
        </w:rPr>
        <w:t>/</w:t>
      </w:r>
      <w:r>
        <w:rPr>
          <w:b/>
          <w:szCs w:val="24"/>
          <w:lang w:val="es-ES_tradnl"/>
        </w:rPr>
        <w:t>16</w:t>
      </w:r>
      <w:r w:rsidRPr="004746D1">
        <w:rPr>
          <w:b/>
          <w:szCs w:val="24"/>
          <w:lang w:val="es-ES_tradnl"/>
        </w:rPr>
        <w:t>)</w:t>
      </w:r>
    </w:p>
    <w:p w:rsidR="00EE3E2B" w:rsidRDefault="00EE3E2B" w:rsidP="00463D01">
      <w:pPr>
        <w:keepNext/>
        <w:widowControl w:val="0"/>
        <w:suppressAutoHyphens w:val="0"/>
        <w:spacing w:after="0" w:line="360" w:lineRule="auto"/>
        <w:ind w:firstLine="708"/>
        <w:rPr>
          <w:rFonts w:eastAsia="Times New Roman"/>
          <w:b/>
          <w:szCs w:val="24"/>
          <w:lang w:val="es-ES"/>
        </w:rPr>
      </w:pPr>
    </w:p>
    <w:p w:rsidR="00EE3E2B" w:rsidRDefault="00EE3E2B" w:rsidP="00463D01">
      <w:pPr>
        <w:keepNext/>
        <w:widowControl w:val="0"/>
        <w:suppressAutoHyphens w:val="0"/>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w:t>
      </w:r>
      <w:r w:rsidR="00295BB5">
        <w:rPr>
          <w:rFonts w:eastAsia="Times New Roman"/>
          <w:szCs w:val="24"/>
          <w:lang w:val="es-ES"/>
        </w:rPr>
        <w:t>Intendencia</w:t>
      </w:r>
      <w:r>
        <w:rPr>
          <w:rFonts w:eastAsia="Times New Roman"/>
          <w:szCs w:val="24"/>
          <w:lang w:val="es-ES"/>
        </w:rPr>
        <w:t xml:space="preserve"> Departamental de </w:t>
      </w:r>
      <w:r w:rsidR="00295BB5">
        <w:rPr>
          <w:rFonts w:eastAsia="Times New Roman"/>
          <w:szCs w:val="24"/>
          <w:lang w:val="es-ES"/>
        </w:rPr>
        <w:t>Paysa</w:t>
      </w:r>
      <w:r w:rsidR="00A00382">
        <w:rPr>
          <w:rFonts w:eastAsia="Times New Roman"/>
          <w:szCs w:val="24"/>
          <w:lang w:val="es-ES"/>
        </w:rPr>
        <w:t>n</w:t>
      </w:r>
      <w:r w:rsidR="00295BB5">
        <w:rPr>
          <w:rFonts w:eastAsia="Times New Roman"/>
          <w:szCs w:val="24"/>
          <w:lang w:val="es-ES"/>
        </w:rPr>
        <w:t>dú</w:t>
      </w:r>
      <w:r>
        <w:rPr>
          <w:rFonts w:eastAsia="Times New Roman"/>
          <w:szCs w:val="24"/>
          <w:lang w:val="es-ES"/>
        </w:rPr>
        <w:t xml:space="preserve"> correspondientes al </w:t>
      </w:r>
      <w:r w:rsidR="00FE0282">
        <w:rPr>
          <w:rFonts w:eastAsia="Times New Roman"/>
          <w:szCs w:val="24"/>
          <w:lang w:val="es-ES"/>
        </w:rPr>
        <w:t>E</w:t>
      </w:r>
      <w:r>
        <w:rPr>
          <w:rFonts w:eastAsia="Times New Roman"/>
          <w:szCs w:val="24"/>
          <w:lang w:val="es-ES"/>
        </w:rPr>
        <w:t>jercicio 201</w:t>
      </w:r>
      <w:r w:rsidR="00E43062">
        <w:rPr>
          <w:rFonts w:eastAsia="Times New Roman"/>
          <w:szCs w:val="24"/>
          <w:lang w:val="es-ES"/>
        </w:rPr>
        <w:t>5</w:t>
      </w:r>
      <w:r>
        <w:rPr>
          <w:rFonts w:eastAsia="Times New Roman"/>
          <w:szCs w:val="24"/>
          <w:lang w:val="es-ES"/>
        </w:rPr>
        <w:t>;</w:t>
      </w:r>
    </w:p>
    <w:p w:rsidR="00EE3E2B" w:rsidRDefault="00EE3E2B" w:rsidP="00463D01">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EE3E2B" w:rsidRDefault="00EE3E2B" w:rsidP="00463D01">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EE3E2B" w:rsidRDefault="00EE3E2B" w:rsidP="00463D01">
      <w:pPr>
        <w:keepNext/>
        <w:widowControl w:val="0"/>
        <w:suppressAutoHyphens w:val="0"/>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 xml:space="preserve">a lo dispuesto por el Artículo 211 Literal C) de </w:t>
      </w:r>
      <w:r w:rsidR="00EA02D4">
        <w:rPr>
          <w:rFonts w:eastAsia="Times New Roman"/>
          <w:szCs w:val="24"/>
          <w:lang w:val="es-ES"/>
        </w:rPr>
        <w:t>la Constitución de la República y Ordenanza Nº 81 de este Cuerpo;</w:t>
      </w:r>
    </w:p>
    <w:p w:rsidR="00EE3E2B" w:rsidRDefault="00EE3E2B" w:rsidP="00463D01">
      <w:pPr>
        <w:keepNext/>
        <w:widowControl w:val="0"/>
        <w:suppressAutoHyphens w:val="0"/>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463D01">
      <w:pPr>
        <w:keepNext/>
        <w:widowControl w:val="0"/>
        <w:numPr>
          <w:ilvl w:val="0"/>
          <w:numId w:val="1"/>
        </w:numPr>
        <w:suppressAutoHyphens w:val="0"/>
        <w:spacing w:after="0" w:line="360" w:lineRule="auto"/>
        <w:rPr>
          <w:rFonts w:eastAsia="Times New Roman"/>
          <w:szCs w:val="24"/>
          <w:lang w:val="es-ES"/>
        </w:rPr>
      </w:pPr>
      <w:r>
        <w:rPr>
          <w:rFonts w:eastAsia="Times New Roman"/>
          <w:szCs w:val="24"/>
          <w:lang w:val="es-ES"/>
        </w:rPr>
        <w:t xml:space="preserve">Expedirse </w:t>
      </w:r>
      <w:r w:rsidR="006316C9">
        <w:rPr>
          <w:rFonts w:eastAsia="Times New Roman"/>
          <w:szCs w:val="24"/>
          <w:lang w:val="es-ES"/>
        </w:rPr>
        <w:t>e</w:t>
      </w:r>
      <w:r>
        <w:rPr>
          <w:rFonts w:eastAsia="Times New Roman"/>
          <w:szCs w:val="24"/>
          <w:lang w:val="es-ES"/>
        </w:rPr>
        <w:t>n los términos del Informe de Auditoría que se adjunta</w:t>
      </w:r>
      <w:r w:rsidR="00FE0282">
        <w:rPr>
          <w:rFonts w:eastAsia="Times New Roman"/>
          <w:szCs w:val="24"/>
          <w:lang w:val="es-ES"/>
        </w:rPr>
        <w:t>;</w:t>
      </w:r>
    </w:p>
    <w:p w:rsidR="00EE3E2B" w:rsidRDefault="00EE3E2B" w:rsidP="00463D01">
      <w:pPr>
        <w:keepNext/>
        <w:widowControl w:val="0"/>
        <w:numPr>
          <w:ilvl w:val="0"/>
          <w:numId w:val="1"/>
        </w:numPr>
        <w:suppressAutoHyphens w:val="0"/>
        <w:spacing w:after="0" w:line="360" w:lineRule="auto"/>
        <w:rPr>
          <w:rFonts w:eastAsia="Times New Roman"/>
          <w:szCs w:val="24"/>
          <w:lang w:val="es-ES"/>
        </w:rPr>
      </w:pPr>
      <w:r>
        <w:rPr>
          <w:rFonts w:eastAsia="Times New Roman"/>
          <w:szCs w:val="24"/>
          <w:lang w:val="es-ES"/>
        </w:rPr>
        <w:t xml:space="preserve">Comunicar la presente Resolución a la </w:t>
      </w:r>
      <w:r w:rsidR="00295BB5">
        <w:rPr>
          <w:rFonts w:eastAsia="Times New Roman"/>
          <w:szCs w:val="24"/>
          <w:lang w:val="es-ES"/>
        </w:rPr>
        <w:t>Intendencia</w:t>
      </w:r>
      <w:r>
        <w:rPr>
          <w:rFonts w:eastAsia="Times New Roman"/>
          <w:szCs w:val="24"/>
          <w:lang w:val="es-ES"/>
        </w:rPr>
        <w:t xml:space="preserve"> Departamental de </w:t>
      </w:r>
      <w:r w:rsidR="00295BB5">
        <w:rPr>
          <w:rFonts w:eastAsia="Times New Roman"/>
          <w:szCs w:val="24"/>
          <w:lang w:val="es-ES"/>
        </w:rPr>
        <w:t>Paysandú</w:t>
      </w:r>
      <w:r>
        <w:rPr>
          <w:rFonts w:eastAsia="Times New Roman"/>
          <w:szCs w:val="24"/>
          <w:lang w:val="es-ES"/>
        </w:rPr>
        <w:t xml:space="preserve"> y a la Contadora Delegada</w:t>
      </w:r>
      <w:r w:rsidR="00FE0282">
        <w:rPr>
          <w:rFonts w:eastAsia="Times New Roman"/>
          <w:szCs w:val="24"/>
          <w:lang w:val="es-ES"/>
        </w:rPr>
        <w:t>; y</w:t>
      </w:r>
    </w:p>
    <w:p w:rsidR="00EE3E2B" w:rsidRDefault="00EE3E2B" w:rsidP="00463D01">
      <w:pPr>
        <w:keepNext/>
        <w:widowControl w:val="0"/>
        <w:numPr>
          <w:ilvl w:val="0"/>
          <w:numId w:val="1"/>
        </w:numPr>
        <w:suppressAutoHyphens w:val="0"/>
        <w:spacing w:after="0" w:line="360" w:lineRule="auto"/>
        <w:rPr>
          <w:rFonts w:eastAsia="Times New Roman"/>
          <w:szCs w:val="24"/>
          <w:lang w:val="es-ES"/>
        </w:rPr>
      </w:pPr>
      <w:r>
        <w:rPr>
          <w:rFonts w:eastAsia="Times New Roman"/>
          <w:szCs w:val="24"/>
          <w:lang w:val="es-ES"/>
        </w:rPr>
        <w:t>Dar cuenta a la Asamblea General</w:t>
      </w:r>
      <w:r w:rsidR="0077153B">
        <w:rPr>
          <w:rFonts w:eastAsia="Times New Roman"/>
          <w:szCs w:val="24"/>
          <w:lang w:val="es-ES"/>
        </w:rPr>
        <w:t>.</w:t>
      </w:r>
    </w:p>
    <w:p w:rsidR="00EE3E2B" w:rsidRDefault="00EE3E2B" w:rsidP="00463D01">
      <w:pPr>
        <w:keepNext/>
        <w:widowControl w:val="0"/>
        <w:suppressAutoHyphens w:val="0"/>
        <w:spacing w:after="0" w:line="360" w:lineRule="auto"/>
        <w:ind w:left="360"/>
        <w:jc w:val="left"/>
        <w:rPr>
          <w:rFonts w:eastAsia="Times New Roman"/>
          <w:szCs w:val="24"/>
          <w:lang w:val="es-ES"/>
        </w:rPr>
      </w:pPr>
    </w:p>
    <w:p w:rsidR="00FE0282" w:rsidRDefault="00FE0282" w:rsidP="00463D01">
      <w:pPr>
        <w:keepNext/>
        <w:widowControl w:val="0"/>
        <w:suppressAutoHyphens w:val="0"/>
        <w:spacing w:after="0" w:line="360" w:lineRule="auto"/>
        <w:jc w:val="left"/>
        <w:rPr>
          <w:rFonts w:eastAsia="Times New Roman"/>
          <w:szCs w:val="24"/>
          <w:lang w:val="es-ES"/>
        </w:rPr>
      </w:pPr>
      <w:proofErr w:type="spellStart"/>
      <w:proofErr w:type="gramStart"/>
      <w:r>
        <w:rPr>
          <w:rFonts w:eastAsia="Times New Roman"/>
          <w:szCs w:val="24"/>
          <w:lang w:val="es-ES"/>
        </w:rPr>
        <w:t>lc</w:t>
      </w:r>
      <w:proofErr w:type="spellEnd"/>
      <w:proofErr w:type="gramEnd"/>
    </w:p>
    <w:p w:rsidR="00463D01" w:rsidRDefault="00463D01" w:rsidP="00463D01">
      <w:pPr>
        <w:keepNext/>
        <w:widowControl w:val="0"/>
        <w:suppressAutoHyphens w:val="0"/>
        <w:spacing w:after="0" w:line="360" w:lineRule="auto"/>
        <w:jc w:val="left"/>
        <w:rPr>
          <w:rFonts w:eastAsia="Times New Roman"/>
          <w:szCs w:val="24"/>
          <w:lang w:val="es-ES"/>
        </w:rPr>
      </w:pPr>
    </w:p>
    <w:p w:rsidR="00463D01" w:rsidRDefault="00463D01" w:rsidP="00463D01">
      <w:pPr>
        <w:keepNext/>
        <w:widowControl w:val="0"/>
        <w:suppressAutoHyphens w:val="0"/>
        <w:spacing w:after="0" w:line="360" w:lineRule="auto"/>
        <w:jc w:val="left"/>
        <w:rPr>
          <w:rFonts w:eastAsia="Times New Roman"/>
          <w:szCs w:val="24"/>
          <w:lang w:val="es-ES"/>
        </w:rPr>
      </w:pPr>
    </w:p>
    <w:p w:rsidR="00463D01" w:rsidRDefault="00463D01" w:rsidP="00463D01">
      <w:pPr>
        <w:keepNext/>
        <w:widowControl w:val="0"/>
        <w:suppressAutoHyphens w:val="0"/>
        <w:spacing w:after="0" w:line="360" w:lineRule="auto"/>
        <w:jc w:val="left"/>
        <w:rPr>
          <w:rFonts w:eastAsia="Times New Roman"/>
          <w:szCs w:val="24"/>
          <w:lang w:val="es-ES"/>
        </w:rPr>
      </w:pPr>
    </w:p>
    <w:p w:rsidR="00463D01" w:rsidRDefault="00463D01" w:rsidP="00463D01">
      <w:pPr>
        <w:pStyle w:val="Ttulo1"/>
        <w:widowControl w:val="0"/>
        <w:tabs>
          <w:tab w:val="clear" w:pos="360"/>
        </w:tabs>
        <w:suppressAutoHyphens w:val="0"/>
        <w:spacing w:before="0" w:after="0"/>
        <w:ind w:left="0"/>
        <w:jc w:val="center"/>
      </w:pPr>
      <w:bookmarkStart w:id="1" w:name="_Toc425860333"/>
      <w:r>
        <w:t>DICTAMEN</w:t>
      </w:r>
      <w:bookmarkEnd w:id="1"/>
    </w:p>
    <w:p w:rsidR="00463D01" w:rsidRPr="00463D01" w:rsidRDefault="00463D01" w:rsidP="00463D01">
      <w:pPr>
        <w:keepNext/>
        <w:widowControl w:val="0"/>
        <w:suppressAutoHyphens w:val="0"/>
        <w:rPr>
          <w:lang w:val="es-ES"/>
        </w:rPr>
      </w:pPr>
    </w:p>
    <w:p w:rsidR="00463D01" w:rsidRDefault="00463D01" w:rsidP="00463D01">
      <w:pPr>
        <w:pStyle w:val="Subttulo"/>
        <w:keepNext/>
        <w:widowControl w:val="0"/>
        <w:suppressAutoHyphens w:val="0"/>
        <w:ind w:firstLine="709"/>
        <w:rPr>
          <w:rFonts w:ascii="Arial" w:hAnsi="Arial"/>
          <w:b w:val="0"/>
        </w:rPr>
      </w:pPr>
      <w:r>
        <w:rPr>
          <w:rFonts w:ascii="Arial" w:hAnsi="Arial"/>
          <w:b w:val="0"/>
        </w:rPr>
        <w:t>El Tribunal de Cuentas ha examinado los Estados Contables de la Intendencia Departamental de Paysandú correspondientes al ejercicio 2015 que comprenden el Estado de Situación Patrimonial, Estado de Resultados, Cuadro de Bienes de Uso y Notas a los Estados Contables.</w:t>
      </w:r>
    </w:p>
    <w:p w:rsidR="00463D01" w:rsidRDefault="00463D01" w:rsidP="00463D01">
      <w:pPr>
        <w:pStyle w:val="Subttulo"/>
        <w:keepNext/>
        <w:widowControl w:val="0"/>
        <w:suppressAutoHyphens w:val="0"/>
        <w:ind w:firstLine="709"/>
        <w:rPr>
          <w:rFonts w:ascii="Arial" w:hAnsi="Arial"/>
          <w:b w:val="0"/>
        </w:rPr>
      </w:pPr>
      <w:r>
        <w:rPr>
          <w:rFonts w:ascii="Arial" w:hAnsi="Arial"/>
          <w:b w:val="0"/>
        </w:rPr>
        <w:t>El Tribunal de Cuentas también ha auditado el cumplimiento por parte de la Intendencia Departamental de la normativa vigente.</w:t>
      </w:r>
    </w:p>
    <w:p w:rsidR="00463D01" w:rsidRDefault="00463D01" w:rsidP="00463D01">
      <w:pPr>
        <w:pStyle w:val="Subttulo"/>
        <w:keepNext/>
        <w:widowControl w:val="0"/>
        <w:suppressAutoHyphens w:val="0"/>
        <w:rPr>
          <w:rFonts w:ascii="Arial" w:hAnsi="Arial"/>
          <w:bCs/>
        </w:rPr>
      </w:pPr>
      <w:r>
        <w:rPr>
          <w:rFonts w:ascii="Arial" w:hAnsi="Arial"/>
          <w:bCs/>
        </w:rPr>
        <w:t>Responsabilidad de la Intendencia Departamental</w:t>
      </w:r>
    </w:p>
    <w:p w:rsidR="00463D01" w:rsidRDefault="00463D01" w:rsidP="00463D01">
      <w:pPr>
        <w:pStyle w:val="Subttulo"/>
        <w:keepNext/>
        <w:widowControl w:val="0"/>
        <w:suppressAutoHyphens w:val="0"/>
        <w:ind w:firstLine="709"/>
        <w:rPr>
          <w:rFonts w:ascii="Arial" w:hAnsi="Arial"/>
          <w:b w:val="0"/>
        </w:rPr>
      </w:pPr>
      <w:r>
        <w:rPr>
          <w:rFonts w:ascii="Arial" w:hAnsi="Arial"/>
          <w:b w:val="0"/>
        </w:rPr>
        <w:t>La Intendencia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463D01" w:rsidRDefault="00463D01" w:rsidP="00463D01">
      <w:pPr>
        <w:pStyle w:val="Subttulo"/>
        <w:keepNext/>
        <w:widowControl w:val="0"/>
        <w:suppressAutoHyphens w:val="0"/>
        <w:rPr>
          <w:rFonts w:ascii="Arial" w:hAnsi="Arial"/>
          <w:bCs/>
        </w:rPr>
      </w:pPr>
      <w:r>
        <w:rPr>
          <w:rFonts w:ascii="Arial" w:hAnsi="Arial"/>
          <w:bCs/>
        </w:rPr>
        <w:t>Responsabilidad del auditor</w:t>
      </w:r>
    </w:p>
    <w:p w:rsidR="00463D01" w:rsidRDefault="00463D01" w:rsidP="00463D01">
      <w:pPr>
        <w:keepNext/>
        <w:widowControl w:val="0"/>
        <w:suppressAutoHyphens w:val="0"/>
        <w:spacing w:after="0" w:line="360" w:lineRule="auto"/>
        <w:ind w:firstLine="709"/>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 xml:space="preserve"> 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463D01" w:rsidRDefault="00463D01" w:rsidP="00463D01">
      <w:pPr>
        <w:pStyle w:val="Subttulo"/>
        <w:keepNext/>
        <w:widowControl w:val="0"/>
        <w:suppressAutoHyphens w:val="0"/>
        <w:ind w:firstLine="709"/>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463D01" w:rsidRDefault="00463D01" w:rsidP="00463D01">
      <w:pPr>
        <w:pStyle w:val="Subttulo"/>
        <w:keepNext/>
        <w:widowControl w:val="0"/>
        <w:suppressAutoHyphens w:val="0"/>
        <w:rPr>
          <w:rFonts w:ascii="Arial" w:hAnsi="Arial"/>
          <w:b w:val="0"/>
        </w:rPr>
      </w:pPr>
      <w:r>
        <w:rPr>
          <w:rFonts w:ascii="Arial" w:hAnsi="Arial"/>
          <w:b w:val="0"/>
        </w:rPr>
        <w:t>Se considera que la evidencia de auditoría obtenida brinda una base suficiente y apropiada para sustentar la opinión.</w:t>
      </w:r>
    </w:p>
    <w:p w:rsidR="00463D01" w:rsidRPr="00C005E1" w:rsidRDefault="00463D01" w:rsidP="00463D01">
      <w:pPr>
        <w:keepNext/>
        <w:widowControl w:val="0"/>
        <w:suppressAutoHyphens w:val="0"/>
        <w:spacing w:after="0" w:line="360" w:lineRule="auto"/>
        <w:outlineLvl w:val="1"/>
        <w:rPr>
          <w:rFonts w:cs="Times New Roman"/>
          <w:bCs/>
          <w:szCs w:val="24"/>
          <w:lang w:val="es-ES" w:eastAsia="es-ES"/>
        </w:rPr>
      </w:pPr>
      <w:r w:rsidRPr="00C005E1">
        <w:rPr>
          <w:b/>
          <w:kern w:val="18"/>
          <w:szCs w:val="24"/>
          <w:lang w:val="es-ES" w:eastAsia="es-ES"/>
        </w:rPr>
        <w:t>Bases para la abstención de opinión respecto de los Estados de Resultado del Ejercicio</w:t>
      </w:r>
      <w:r>
        <w:rPr>
          <w:b/>
          <w:kern w:val="18"/>
          <w:szCs w:val="24"/>
          <w:lang w:val="es-ES" w:eastAsia="es-ES"/>
        </w:rPr>
        <w:t xml:space="preserve"> y de Situación Patrimonial al 31/12/15</w:t>
      </w:r>
    </w:p>
    <w:p w:rsidR="00463D01" w:rsidRPr="00C005E1" w:rsidRDefault="00463D01" w:rsidP="00463D01">
      <w:pPr>
        <w:keepNext/>
        <w:widowControl w:val="0"/>
        <w:suppressAutoHyphens w:val="0"/>
        <w:spacing w:after="0" w:line="360" w:lineRule="auto"/>
        <w:ind w:firstLine="709"/>
        <w:rPr>
          <w:bCs/>
          <w:szCs w:val="24"/>
          <w:lang w:val="es-ES" w:eastAsia="es-ES"/>
        </w:rPr>
      </w:pPr>
      <w:r w:rsidRPr="00C005E1">
        <w:rPr>
          <w:bCs/>
          <w:szCs w:val="24"/>
          <w:lang w:val="es-ES" w:eastAsia="es-ES"/>
        </w:rPr>
        <w:t>No se ha podido verificar el Resultado Acumulado al 31/12/15 a partir de la suma del Resultado Acumulado al 31/12/14 más el Resultado del Ejercicio 2015, situación que se repite desde ejercicios anteriores.</w:t>
      </w:r>
    </w:p>
    <w:p w:rsidR="00463D01" w:rsidRPr="00C005E1" w:rsidRDefault="00463D01" w:rsidP="00463D01">
      <w:pPr>
        <w:pStyle w:val="Estilo1"/>
        <w:keepNext/>
        <w:numPr>
          <w:ilvl w:val="0"/>
          <w:numId w:val="3"/>
        </w:numPr>
        <w:ind w:left="0" w:firstLine="709"/>
        <w:rPr>
          <w:b w:val="0"/>
        </w:rPr>
      </w:pPr>
      <w:r w:rsidRPr="00C005E1">
        <w:rPr>
          <w:b w:val="0"/>
        </w:rPr>
        <w:t>El total de disponibilidades según el Estado de Situación Patrimonial</w:t>
      </w:r>
      <w:proofErr w:type="gramStart"/>
      <w:r>
        <w:rPr>
          <w:b w:val="0"/>
        </w:rPr>
        <w:t>,,</w:t>
      </w:r>
      <w:proofErr w:type="gramEnd"/>
      <w:r w:rsidRPr="00C005E1">
        <w:rPr>
          <w:b w:val="0"/>
        </w:rPr>
        <w:t xml:space="preserve"> difiere del saldo proporcionado por el sistema contable (SEFI) en </w:t>
      </w:r>
      <w:r>
        <w:rPr>
          <w:b w:val="0"/>
        </w:rPr>
        <w:t xml:space="preserve">                      </w:t>
      </w:r>
      <w:r w:rsidRPr="00C005E1">
        <w:rPr>
          <w:b w:val="0"/>
        </w:rPr>
        <w:t>$</w:t>
      </w:r>
      <w:r>
        <w:rPr>
          <w:b w:val="0"/>
        </w:rPr>
        <w:t xml:space="preserve"> 600:561.753.</w:t>
      </w:r>
    </w:p>
    <w:p w:rsidR="00463D01" w:rsidRPr="0023661F" w:rsidRDefault="00463D01" w:rsidP="00463D01">
      <w:pPr>
        <w:pStyle w:val="Textoindependiente"/>
        <w:keepNext/>
        <w:widowControl w:val="0"/>
        <w:suppressAutoHyphens w:val="0"/>
        <w:spacing w:after="0" w:line="360" w:lineRule="auto"/>
        <w:rPr>
          <w:b/>
          <w:bCs/>
        </w:rPr>
      </w:pPr>
      <w:r w:rsidRPr="0023661F">
        <w:rPr>
          <w:b/>
        </w:rPr>
        <w:t>Opinión</w:t>
      </w:r>
    </w:p>
    <w:p w:rsidR="00463D01" w:rsidRPr="00DF7B01" w:rsidRDefault="00463D01" w:rsidP="00463D01">
      <w:pPr>
        <w:keepNext/>
        <w:widowControl w:val="0"/>
        <w:suppressAutoHyphens w:val="0"/>
        <w:spacing w:after="0" w:line="360" w:lineRule="auto"/>
        <w:ind w:firstLine="709"/>
        <w:outlineLvl w:val="1"/>
        <w:rPr>
          <w:rFonts w:cs="Times New Roman"/>
          <w:bCs/>
          <w:szCs w:val="24"/>
          <w:lang w:val="es-ES" w:eastAsia="es-ES"/>
        </w:rPr>
      </w:pPr>
      <w:r w:rsidRPr="0023661F">
        <w:t xml:space="preserve">En opinión del Tribunal de Cuentas, </w:t>
      </w:r>
      <w:r>
        <w:t>d</w:t>
      </w:r>
      <w:r w:rsidRPr="0023661F">
        <w:t xml:space="preserve">ebido a las consideraciones efectuadas en el párrafo </w:t>
      </w:r>
      <w:r>
        <w:t>“</w:t>
      </w:r>
      <w:r w:rsidRPr="0023661F">
        <w:t>Bases para la abstención de opinión</w:t>
      </w:r>
      <w:r>
        <w:t>”,</w:t>
      </w:r>
      <w:r w:rsidRPr="0023661F">
        <w:t xml:space="preserve"> y a que no fue posible aplicar otros procedimientos de auditoría para obtener evidencia sobre los aspectos mencionados, el alcance de la auditoría no es suficiente para permitir expresar, y por tanto no se expresa, una opinión respecto a los Estados de </w:t>
      </w:r>
      <w:r w:rsidRPr="00DF7B01">
        <w:rPr>
          <w:kern w:val="18"/>
          <w:szCs w:val="24"/>
          <w:lang w:val="es-ES" w:eastAsia="es-ES"/>
        </w:rPr>
        <w:t xml:space="preserve"> Resultado del Ejercicio y de Si</w:t>
      </w:r>
      <w:r>
        <w:rPr>
          <w:kern w:val="18"/>
          <w:szCs w:val="24"/>
          <w:lang w:val="es-ES" w:eastAsia="es-ES"/>
        </w:rPr>
        <w:t>tuación Patrimonial al 31/12/15.</w:t>
      </w:r>
    </w:p>
    <w:p w:rsidR="00463D01" w:rsidRDefault="00463D01" w:rsidP="00463D01">
      <w:pPr>
        <w:keepNext/>
        <w:widowControl w:val="0"/>
        <w:suppressAutoHyphens w:val="0"/>
        <w:spacing w:after="0" w:line="360" w:lineRule="auto"/>
        <w:ind w:firstLine="709"/>
      </w:pPr>
      <w:r>
        <w:t>Con relación al cumplimiento de las disposiciones legales y reglamentarias que fueron objeto de examen, en opinión del Tribunal de Cuentas no se ha dado cumplimiento a las siguientes normas:</w:t>
      </w:r>
    </w:p>
    <w:p w:rsidR="00463D01" w:rsidRPr="00C005E1" w:rsidRDefault="00463D01" w:rsidP="00463D01">
      <w:pPr>
        <w:keepNext/>
        <w:widowControl w:val="0"/>
        <w:tabs>
          <w:tab w:val="num" w:pos="0"/>
        </w:tabs>
        <w:suppressAutoHyphens w:val="0"/>
        <w:spacing w:after="0" w:line="360" w:lineRule="auto"/>
        <w:rPr>
          <w:rFonts w:eastAsia="Times New Roman"/>
          <w:szCs w:val="24"/>
          <w:lang w:val="es-ES" w:eastAsia="en-US"/>
        </w:rPr>
      </w:pPr>
      <w:r w:rsidRPr="00C005E1">
        <w:rPr>
          <w:rFonts w:eastAsia="Times New Roman"/>
          <w:b/>
          <w:bCs/>
          <w:szCs w:val="24"/>
          <w:lang w:val="es-ES" w:eastAsia="en-US"/>
        </w:rPr>
        <w:t>Artículo 3 Ordenanza 81</w:t>
      </w:r>
    </w:p>
    <w:p w:rsidR="00463D01" w:rsidRDefault="00463D01" w:rsidP="00463D01">
      <w:pPr>
        <w:keepNext/>
        <w:widowControl w:val="0"/>
        <w:tabs>
          <w:tab w:val="left" w:pos="-720"/>
        </w:tabs>
        <w:suppressAutoHyphens w:val="0"/>
        <w:spacing w:after="0" w:line="360" w:lineRule="auto"/>
        <w:ind w:firstLine="709"/>
        <w:rPr>
          <w:rFonts w:eastAsia="Times New Roman"/>
          <w:szCs w:val="24"/>
          <w:lang w:val="es-ES" w:eastAsia="zh-CN"/>
        </w:rPr>
      </w:pPr>
      <w:r w:rsidRPr="00C005E1">
        <w:rPr>
          <w:rFonts w:eastAsia="Times New Roman"/>
          <w:szCs w:val="24"/>
          <w:lang w:val="es-ES" w:eastAsia="zh-CN"/>
        </w:rPr>
        <w:t>Los Estados Contables deben emanar del sistema contable del organismo.</w:t>
      </w:r>
    </w:p>
    <w:p w:rsidR="00463D01" w:rsidRPr="00C005E1" w:rsidRDefault="00463D01" w:rsidP="00463D01">
      <w:pPr>
        <w:keepNext/>
        <w:widowControl w:val="0"/>
        <w:tabs>
          <w:tab w:val="left" w:pos="-720"/>
        </w:tabs>
        <w:suppressAutoHyphens w:val="0"/>
        <w:spacing w:after="0" w:line="360" w:lineRule="auto"/>
        <w:ind w:firstLine="709"/>
        <w:rPr>
          <w:rFonts w:eastAsia="Times New Roman"/>
          <w:szCs w:val="24"/>
          <w:lang w:val="es-ES" w:eastAsia="zh-CN"/>
        </w:rPr>
      </w:pPr>
    </w:p>
    <w:p w:rsidR="00463D01" w:rsidRPr="00C005E1" w:rsidRDefault="00463D01" w:rsidP="00463D01">
      <w:pPr>
        <w:keepNext/>
        <w:widowControl w:val="0"/>
        <w:tabs>
          <w:tab w:val="num" w:pos="0"/>
        </w:tabs>
        <w:suppressAutoHyphens w:val="0"/>
        <w:spacing w:after="0" w:line="360" w:lineRule="auto"/>
        <w:rPr>
          <w:rFonts w:eastAsia="Times New Roman"/>
          <w:szCs w:val="24"/>
          <w:lang w:val="es-ES" w:eastAsia="en-US"/>
        </w:rPr>
      </w:pPr>
      <w:r w:rsidRPr="00C005E1">
        <w:rPr>
          <w:rFonts w:eastAsia="Times New Roman"/>
          <w:b/>
          <w:bCs/>
          <w:szCs w:val="24"/>
          <w:lang w:val="es-ES" w:eastAsia="en-US"/>
        </w:rPr>
        <w:t>Artículos 13 y 15 Ordenanza 81</w:t>
      </w:r>
    </w:p>
    <w:p w:rsidR="00463D01" w:rsidRPr="00295712" w:rsidRDefault="00463D01" w:rsidP="00463D01">
      <w:pPr>
        <w:keepNext/>
        <w:widowControl w:val="0"/>
        <w:suppressAutoHyphens w:val="0"/>
        <w:spacing w:after="0" w:line="360" w:lineRule="auto"/>
        <w:ind w:firstLine="709"/>
        <w:rPr>
          <w:rFonts w:eastAsia="Times New Roman"/>
          <w:szCs w:val="24"/>
          <w:lang w:val="es-ES" w:eastAsia="en-US"/>
        </w:rPr>
      </w:pPr>
      <w:r w:rsidRPr="00295712">
        <w:rPr>
          <w:rFonts w:eastAsia="Times New Roman"/>
          <w:szCs w:val="24"/>
          <w:lang w:val="es-ES" w:eastAsia="en-US"/>
        </w:rPr>
        <w:t>No se presenta la Memoria explicativa de los Estados Contables y no se remitieron el Estado de Origen y Aplicación de Fondos ni el Estado de Evolución del Patrimonio.</w:t>
      </w:r>
    </w:p>
    <w:p w:rsidR="00463D01" w:rsidRPr="00C005E1" w:rsidRDefault="00463D01" w:rsidP="00463D01">
      <w:pPr>
        <w:keepNext/>
        <w:widowControl w:val="0"/>
        <w:suppressAutoHyphens w:val="0"/>
        <w:spacing w:after="0" w:line="360" w:lineRule="auto"/>
        <w:outlineLvl w:val="1"/>
        <w:rPr>
          <w:rFonts w:eastAsia="Times New Roman"/>
          <w:b/>
          <w:kern w:val="1"/>
          <w:szCs w:val="24"/>
          <w:lang w:val="es-ES"/>
        </w:rPr>
      </w:pPr>
      <w:r w:rsidRPr="00C005E1">
        <w:rPr>
          <w:rFonts w:eastAsia="Times New Roman"/>
          <w:b/>
          <w:bCs/>
          <w:kern w:val="1"/>
          <w:szCs w:val="20"/>
          <w:lang w:val="es-ES"/>
        </w:rPr>
        <w:t>Artículo 28 Ordenanza 81</w:t>
      </w:r>
    </w:p>
    <w:p w:rsidR="00463D01" w:rsidRDefault="00463D01" w:rsidP="00463D01">
      <w:pPr>
        <w:keepNext/>
        <w:widowControl w:val="0"/>
        <w:suppressAutoHyphens w:val="0"/>
        <w:spacing w:after="0" w:line="360" w:lineRule="auto"/>
        <w:ind w:firstLine="709"/>
        <w:outlineLvl w:val="1"/>
        <w:rPr>
          <w:lang w:val="es-ES_tradnl"/>
        </w:rPr>
      </w:pPr>
      <w:r w:rsidRPr="00C005E1">
        <w:rPr>
          <w:rFonts w:eastAsia="Times New Roman"/>
          <w:szCs w:val="24"/>
          <w:lang w:val="es-ES" w:eastAsia="zh-CN"/>
        </w:rPr>
        <w:t>Los Estados Contables no se remitieron con copia autenticada de la Resolución por la que se aprobaron, dejando constancia del Resultado del Ejercicio y la correspondiente carta de represe</w:t>
      </w:r>
      <w:r>
        <w:rPr>
          <w:rFonts w:eastAsia="Times New Roman"/>
          <w:szCs w:val="24"/>
          <w:lang w:val="es-ES" w:eastAsia="zh-CN"/>
        </w:rPr>
        <w:t>ntaciones de la administración.</w:t>
      </w:r>
    </w:p>
    <w:p w:rsidR="00463D01" w:rsidRPr="00463D01" w:rsidRDefault="00463D01" w:rsidP="00463D01">
      <w:pPr>
        <w:pStyle w:val="Encabezado1"/>
        <w:keepNext/>
        <w:widowControl w:val="0"/>
        <w:tabs>
          <w:tab w:val="clear" w:pos="4419"/>
          <w:tab w:val="clear" w:pos="8838"/>
          <w:tab w:val="left" w:pos="360"/>
        </w:tabs>
        <w:suppressAutoHyphens w:val="0"/>
        <w:spacing w:line="360" w:lineRule="auto"/>
        <w:jc w:val="right"/>
        <w:rPr>
          <w:lang w:val="es-ES_tradnl"/>
        </w:rPr>
      </w:pPr>
    </w:p>
    <w:p w:rsidR="00463D01" w:rsidRDefault="00463D01" w:rsidP="00463D01">
      <w:pPr>
        <w:pStyle w:val="Ttulo1"/>
        <w:widowControl w:val="0"/>
        <w:tabs>
          <w:tab w:val="clear" w:pos="360"/>
        </w:tabs>
        <w:suppressAutoHyphens w:val="0"/>
        <w:spacing w:before="0" w:after="0" w:line="360" w:lineRule="auto"/>
        <w:ind w:left="0" w:firstLine="0"/>
      </w:pPr>
    </w:p>
    <w:p w:rsidR="00463D01" w:rsidRDefault="00463D01" w:rsidP="00463D01">
      <w:pPr>
        <w:pStyle w:val="Ttulo1"/>
        <w:widowControl w:val="0"/>
        <w:tabs>
          <w:tab w:val="clear" w:pos="360"/>
        </w:tabs>
        <w:suppressAutoHyphens w:val="0"/>
        <w:spacing w:before="0" w:after="0"/>
        <w:ind w:left="0" w:firstLine="0"/>
        <w:jc w:val="center"/>
      </w:pPr>
      <w:r>
        <w:br w:type="page"/>
      </w:r>
      <w:bookmarkStart w:id="2" w:name="_Toc425860335"/>
      <w:r>
        <w:t>INFORME A LA ADMINISTRACIÓN</w:t>
      </w:r>
      <w:bookmarkEnd w:id="2"/>
    </w:p>
    <w:p w:rsidR="00463D01" w:rsidRPr="00463D01" w:rsidRDefault="00463D01" w:rsidP="00463D01">
      <w:pPr>
        <w:rPr>
          <w:lang w:val="es-ES"/>
        </w:rPr>
      </w:pPr>
    </w:p>
    <w:p w:rsidR="00463D01" w:rsidRDefault="00463D01" w:rsidP="00463D01">
      <w:pPr>
        <w:pStyle w:val="Subttulo"/>
        <w:keepNext/>
        <w:widowControl w:val="0"/>
        <w:suppressAutoHyphens w:val="0"/>
        <w:spacing w:line="240" w:lineRule="auto"/>
        <w:rPr>
          <w:rFonts w:ascii="Arial" w:hAnsi="Arial"/>
          <w:b w:val="0"/>
        </w:rPr>
      </w:pPr>
    </w:p>
    <w:p w:rsidR="00463D01" w:rsidRDefault="00463D01" w:rsidP="00463D01">
      <w:pPr>
        <w:pStyle w:val="Subttulo"/>
        <w:keepNext/>
        <w:widowControl w:val="0"/>
        <w:suppressAutoHyphens w:val="0"/>
        <w:ind w:firstLine="709"/>
        <w:rPr>
          <w:rFonts w:ascii="Arial" w:hAnsi="Arial"/>
          <w:b w:val="0"/>
        </w:rPr>
      </w:pPr>
      <w:r>
        <w:rPr>
          <w:rFonts w:ascii="Arial" w:hAnsi="Arial"/>
          <w:b w:val="0"/>
        </w:rPr>
        <w:t>El Tribunal de Cuentas ha examinado los Estados Contables correspondientes al ejercicio 2015 y ha emitido su correspondiente dictamen.</w:t>
      </w:r>
    </w:p>
    <w:p w:rsidR="00463D01" w:rsidRDefault="00463D01" w:rsidP="00463D01">
      <w:pPr>
        <w:pStyle w:val="Textoindependiente"/>
        <w:keepNext/>
        <w:widowControl w:val="0"/>
        <w:suppressAutoHyphens w:val="0"/>
        <w:spacing w:after="0" w:line="360" w:lineRule="auto"/>
        <w:ind w:firstLine="709"/>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el Organismo.</w:t>
      </w:r>
    </w:p>
    <w:p w:rsidR="00463D01" w:rsidRDefault="00463D01" w:rsidP="00463D01">
      <w:pPr>
        <w:keepNext/>
        <w:widowControl w:val="0"/>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sidRPr="002A3DE4">
        <w:rPr>
          <w:rFonts w:eastAsia="Times New Roman"/>
          <w:b/>
          <w:szCs w:val="24"/>
          <w:lang w:val="es-ES" w:eastAsia="zh-CN"/>
        </w:rPr>
        <w:t>1)</w:t>
      </w:r>
      <w:r>
        <w:rPr>
          <w:rFonts w:eastAsia="Times New Roman"/>
          <w:szCs w:val="24"/>
          <w:lang w:val="es-ES" w:eastAsia="zh-CN"/>
        </w:rPr>
        <w:t xml:space="preserve"> Hechos que motivan la abstención de opinión</w:t>
      </w:r>
    </w:p>
    <w:p w:rsidR="00463D01" w:rsidRPr="002A3DE4" w:rsidRDefault="00463D01" w:rsidP="00463D01">
      <w:pPr>
        <w:keepNext/>
        <w:widowControl w:val="0"/>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Pr>
          <w:rFonts w:eastAsia="Times New Roman"/>
          <w:b/>
          <w:szCs w:val="24"/>
          <w:lang w:val="es-ES" w:eastAsia="zh-CN"/>
        </w:rPr>
        <w:t xml:space="preserve">1.1) </w:t>
      </w:r>
      <w:r w:rsidRPr="002A3DE4">
        <w:rPr>
          <w:rFonts w:cs="Times New Roman"/>
          <w:b/>
          <w:bCs/>
          <w:kern w:val="18"/>
          <w:lang w:eastAsia="es-ES"/>
        </w:rPr>
        <w:t>Resultado Acumulado</w:t>
      </w:r>
    </w:p>
    <w:p w:rsidR="00463D01" w:rsidRDefault="00463D01" w:rsidP="00463D01">
      <w:pPr>
        <w:keepNext/>
        <w:widowControl w:val="0"/>
        <w:suppressAutoHyphens w:val="0"/>
        <w:spacing w:after="0" w:line="360" w:lineRule="auto"/>
        <w:textAlignment w:val="baseline"/>
        <w:outlineLvl w:val="1"/>
        <w:rPr>
          <w:rFonts w:eastAsia="Times New Roman"/>
          <w:szCs w:val="24"/>
          <w:lang w:val="es-ES" w:eastAsia="zh-CN"/>
        </w:rPr>
      </w:pPr>
      <w:r w:rsidRPr="003F2B33">
        <w:rPr>
          <w:rFonts w:eastAsia="Times New Roman"/>
          <w:szCs w:val="24"/>
          <w:lang w:val="es-ES" w:eastAsia="zh-CN"/>
        </w:rPr>
        <w:t>No se ha podido verificar el Resultado Acumulado al 31/12/15 a partir de la suma del Resultado Acumulado al 31/12/14 más el Resultado del Ejercicio 2015.</w:t>
      </w:r>
    </w:p>
    <w:p w:rsidR="00463D01" w:rsidRDefault="00463D01" w:rsidP="00463D01">
      <w:pPr>
        <w:keepNext/>
        <w:widowControl w:val="0"/>
        <w:numPr>
          <w:ilvl w:val="1"/>
          <w:numId w:val="4"/>
        </w:numPr>
        <w:suppressAutoHyphens w:val="0"/>
        <w:spacing w:after="0" w:line="360" w:lineRule="auto"/>
        <w:textAlignment w:val="baseline"/>
        <w:outlineLvl w:val="1"/>
        <w:rPr>
          <w:rFonts w:eastAsia="Times New Roman"/>
          <w:b/>
          <w:szCs w:val="24"/>
          <w:lang w:val="es-ES" w:eastAsia="zh-CN"/>
        </w:rPr>
      </w:pPr>
      <w:r>
        <w:rPr>
          <w:rFonts w:eastAsia="Times New Roman"/>
          <w:b/>
          <w:szCs w:val="24"/>
          <w:lang w:val="es-ES" w:eastAsia="zh-CN"/>
        </w:rPr>
        <w:t>) Disponibilidades</w:t>
      </w:r>
    </w:p>
    <w:p w:rsidR="00463D01" w:rsidRDefault="00463D01" w:rsidP="00463D01">
      <w:pPr>
        <w:keepNext/>
        <w:widowControl w:val="0"/>
        <w:suppressAutoHyphens w:val="0"/>
        <w:spacing w:after="0" w:line="360" w:lineRule="auto"/>
        <w:textAlignment w:val="baseline"/>
        <w:outlineLvl w:val="1"/>
        <w:rPr>
          <w:rFonts w:eastAsia="Times New Roman"/>
          <w:b/>
          <w:szCs w:val="24"/>
          <w:lang w:val="es-ES" w:eastAsia="zh-CN"/>
        </w:rPr>
      </w:pPr>
      <w:r w:rsidRPr="00762032">
        <w:rPr>
          <w:rFonts w:eastAsia="Times New Roman"/>
          <w:szCs w:val="24"/>
          <w:lang w:val="es-ES" w:eastAsia="zh-CN"/>
        </w:rPr>
        <w:t>El total de disponibilidades según el Estado de Situación Patrimonial difiere del saldo proporcionado por el sistema contable (SEFI) en $600:561.753. Los Estados Contables deben emanar del sistema contable del organismo, tal como lo establece el Artículo 3 de la Ordenanza 81 de este Cuerpo</w:t>
      </w:r>
      <w:r>
        <w:rPr>
          <w:rFonts w:eastAsia="Times New Roman"/>
          <w:szCs w:val="24"/>
          <w:lang w:val="es-ES" w:eastAsia="zh-CN"/>
        </w:rPr>
        <w:t>.</w:t>
      </w:r>
    </w:p>
    <w:p w:rsidR="00463D01" w:rsidRPr="000F330E" w:rsidRDefault="00463D01" w:rsidP="00463D01">
      <w:pPr>
        <w:keepNext/>
        <w:widowControl w:val="0"/>
        <w:suppressAutoHyphens w:val="0"/>
        <w:spacing w:after="0" w:line="360" w:lineRule="auto"/>
        <w:textAlignment w:val="baseline"/>
        <w:outlineLvl w:val="1"/>
        <w:rPr>
          <w:rFonts w:eastAsia="Times New Roman"/>
          <w:b/>
          <w:szCs w:val="24"/>
          <w:lang w:val="es-ES" w:eastAsia="zh-CN"/>
        </w:rPr>
      </w:pPr>
      <w:r>
        <w:rPr>
          <w:rFonts w:eastAsia="Times New Roman"/>
          <w:b/>
          <w:szCs w:val="24"/>
          <w:lang w:val="es-ES" w:eastAsia="zh-CN"/>
        </w:rPr>
        <w:t xml:space="preserve">1.3) </w:t>
      </w:r>
      <w:r w:rsidRPr="003F2B33">
        <w:rPr>
          <w:rFonts w:eastAsia="Times New Roman" w:cs="Times New Roman"/>
          <w:b/>
          <w:kern w:val="18"/>
          <w:szCs w:val="20"/>
          <w:lang w:val="es-ES" w:eastAsia="es-ES"/>
        </w:rPr>
        <w:t xml:space="preserve">Ingresos y egresos </w:t>
      </w:r>
      <w:proofErr w:type="spellStart"/>
      <w:r w:rsidRPr="003F2B33">
        <w:rPr>
          <w:rFonts w:eastAsia="Times New Roman" w:cs="Times New Roman"/>
          <w:b/>
          <w:kern w:val="18"/>
          <w:szCs w:val="20"/>
          <w:lang w:val="es-ES" w:eastAsia="es-ES"/>
        </w:rPr>
        <w:t>extrapresupuestales</w:t>
      </w:r>
      <w:proofErr w:type="spellEnd"/>
    </w:p>
    <w:p w:rsidR="00463D01" w:rsidRPr="003F2B33" w:rsidRDefault="00463D01" w:rsidP="00463D01">
      <w:pPr>
        <w:keepNext/>
        <w:widowControl w:val="0"/>
        <w:tabs>
          <w:tab w:val="left" w:pos="284"/>
          <w:tab w:val="left" w:pos="567"/>
        </w:tabs>
        <w:suppressAutoHyphens w:val="0"/>
        <w:spacing w:after="0" w:line="360" w:lineRule="auto"/>
        <w:rPr>
          <w:rFonts w:eastAsia="Lucida Sans Unicode"/>
          <w:kern w:val="1"/>
          <w:szCs w:val="24"/>
          <w:lang w:eastAsia="en-US"/>
        </w:rPr>
      </w:pPr>
      <w:r w:rsidRPr="003F2B33">
        <w:rPr>
          <w:rFonts w:eastAsia="Lucida Sans Unicode"/>
          <w:kern w:val="1"/>
          <w:szCs w:val="24"/>
          <w:lang w:eastAsia="en-US"/>
        </w:rPr>
        <w:t xml:space="preserve">El Estado de Resultados del Ejercicio expone ingresos </w:t>
      </w:r>
      <w:proofErr w:type="spellStart"/>
      <w:r w:rsidRPr="003F2B33">
        <w:rPr>
          <w:rFonts w:eastAsia="Lucida Sans Unicode"/>
          <w:kern w:val="1"/>
          <w:szCs w:val="24"/>
          <w:lang w:eastAsia="en-US"/>
        </w:rPr>
        <w:t>extrapresupuestales</w:t>
      </w:r>
      <w:proofErr w:type="spellEnd"/>
      <w:r w:rsidRPr="003F2B33">
        <w:rPr>
          <w:rFonts w:eastAsia="Lucida Sans Unicode"/>
          <w:kern w:val="1"/>
          <w:szCs w:val="24"/>
          <w:lang w:eastAsia="en-US"/>
        </w:rPr>
        <w:t xml:space="preserve">  por $ 222:944.647 y egresos </w:t>
      </w:r>
      <w:proofErr w:type="spellStart"/>
      <w:r w:rsidRPr="003F2B33">
        <w:rPr>
          <w:rFonts w:eastAsia="Lucida Sans Unicode"/>
          <w:kern w:val="1"/>
          <w:szCs w:val="24"/>
          <w:lang w:eastAsia="en-US"/>
        </w:rPr>
        <w:t>extrapresupuestales</w:t>
      </w:r>
      <w:proofErr w:type="spellEnd"/>
      <w:r w:rsidRPr="003F2B33">
        <w:rPr>
          <w:rFonts w:eastAsia="Lucida Sans Unicode"/>
          <w:kern w:val="1"/>
          <w:szCs w:val="24"/>
          <w:lang w:eastAsia="en-US"/>
        </w:rPr>
        <w:t xml:space="preserve"> por $ 129:406.807. Sin embargo en la Rendición de Cuentas del año 2015 de la Intendencia de Paysandú remitida a este Tribunal por Oficio Nro. 279/2016  de fecha 23/06/16 en el Estado de Resultados se incluye como resultado </w:t>
      </w:r>
      <w:proofErr w:type="spellStart"/>
      <w:r w:rsidRPr="003F2B33">
        <w:rPr>
          <w:rFonts w:eastAsia="Lucida Sans Unicode"/>
          <w:kern w:val="1"/>
          <w:szCs w:val="24"/>
          <w:lang w:eastAsia="en-US"/>
        </w:rPr>
        <w:t>extrapresupuestal</w:t>
      </w:r>
      <w:proofErr w:type="spellEnd"/>
      <w:r w:rsidRPr="003F2B33">
        <w:rPr>
          <w:rFonts w:eastAsia="Lucida Sans Unicode"/>
          <w:kern w:val="1"/>
          <w:szCs w:val="24"/>
          <w:lang w:eastAsia="en-US"/>
        </w:rPr>
        <w:t>, ingresos por un importe de $ 235:258.6</w:t>
      </w:r>
      <w:r>
        <w:rPr>
          <w:rFonts w:eastAsia="Lucida Sans Unicode"/>
          <w:kern w:val="1"/>
          <w:szCs w:val="24"/>
          <w:lang w:eastAsia="en-US"/>
        </w:rPr>
        <w:t>57 y egresos por $ 193:604.361.</w:t>
      </w:r>
    </w:p>
    <w:p w:rsidR="00463D01" w:rsidRDefault="00463D01" w:rsidP="00463D01">
      <w:pPr>
        <w:pStyle w:val="Ttulo2"/>
        <w:keepNext/>
        <w:widowControl w:val="0"/>
        <w:numPr>
          <w:ilvl w:val="1"/>
          <w:numId w:val="3"/>
        </w:numPr>
        <w:suppressAutoHyphens w:val="0"/>
        <w:spacing w:after="0"/>
      </w:pPr>
      <w:bookmarkStart w:id="3" w:name="_Toc425860338"/>
      <w:r>
        <w:t>2)</w:t>
      </w:r>
      <w:r w:rsidRPr="00BE370F">
        <w:t xml:space="preserve"> Recomendaciones</w:t>
      </w:r>
      <w:bookmarkEnd w:id="3"/>
      <w:r>
        <w:t xml:space="preserve"> </w:t>
      </w:r>
      <w:bookmarkStart w:id="4" w:name="_Toc425860341"/>
      <w:r w:rsidRPr="00BE370F">
        <w:t>del ejercicio</w:t>
      </w:r>
      <w:bookmarkEnd w:id="4"/>
    </w:p>
    <w:p w:rsidR="00463D01" w:rsidRPr="000128A7" w:rsidRDefault="00463D01" w:rsidP="00463D01">
      <w:pPr>
        <w:pStyle w:val="Textoindependiente"/>
        <w:keepNext/>
        <w:widowControl w:val="0"/>
        <w:suppressAutoHyphens w:val="0"/>
        <w:spacing w:after="0" w:line="360" w:lineRule="auto"/>
        <w:rPr>
          <w:b/>
          <w:szCs w:val="24"/>
          <w:lang w:val="es-ES" w:eastAsia="zh-CN"/>
        </w:rPr>
      </w:pPr>
      <w:bookmarkStart w:id="5" w:name="_Toc425339355"/>
      <w:bookmarkStart w:id="6" w:name="_Toc425860342"/>
      <w:r>
        <w:rPr>
          <w:b/>
          <w:szCs w:val="24"/>
          <w:lang w:val="es-ES" w:eastAsia="zh-CN"/>
        </w:rPr>
        <w:t xml:space="preserve">2.1) </w:t>
      </w:r>
      <w:r w:rsidRPr="006768DF">
        <w:rPr>
          <w:b/>
          <w:szCs w:val="24"/>
          <w:lang w:val="es-ES" w:eastAsia="zh-CN"/>
        </w:rPr>
        <w:t>Sis</w:t>
      </w:r>
      <w:r>
        <w:rPr>
          <w:b/>
          <w:szCs w:val="24"/>
          <w:lang w:val="es-ES" w:eastAsia="zh-CN"/>
        </w:rPr>
        <w:t xml:space="preserve">tema </w:t>
      </w:r>
      <w:r w:rsidRPr="006768DF">
        <w:rPr>
          <w:b/>
          <w:szCs w:val="24"/>
          <w:lang w:val="es-ES" w:eastAsia="zh-CN"/>
        </w:rPr>
        <w:t>cont</w:t>
      </w:r>
      <w:r>
        <w:rPr>
          <w:b/>
          <w:szCs w:val="24"/>
          <w:lang w:val="es-ES" w:eastAsia="zh-CN"/>
        </w:rPr>
        <w:t>a</w:t>
      </w:r>
      <w:r w:rsidRPr="006768DF">
        <w:rPr>
          <w:b/>
          <w:szCs w:val="24"/>
          <w:lang w:val="es-ES" w:eastAsia="zh-CN"/>
        </w:rPr>
        <w:t>ble</w:t>
      </w:r>
    </w:p>
    <w:p w:rsidR="00463D01" w:rsidRDefault="00463D01" w:rsidP="00463D01">
      <w:pPr>
        <w:keepNext/>
        <w:widowControl w:val="0"/>
        <w:numPr>
          <w:ilvl w:val="1"/>
          <w:numId w:val="3"/>
        </w:numPr>
        <w:tabs>
          <w:tab w:val="left" w:pos="-720"/>
          <w:tab w:val="left" w:pos="0"/>
        </w:tabs>
        <w:suppressAutoHyphens w:val="0"/>
        <w:spacing w:after="0" w:line="360" w:lineRule="auto"/>
        <w:ind w:left="0" w:firstLine="0"/>
        <w:rPr>
          <w:rFonts w:eastAsia="Times New Roman"/>
          <w:szCs w:val="24"/>
          <w:lang w:val="es-ES" w:eastAsia="zh-CN"/>
        </w:rPr>
      </w:pPr>
      <w:r w:rsidRPr="006768DF">
        <w:rPr>
          <w:rFonts w:eastAsia="Times New Roman"/>
          <w:szCs w:val="24"/>
          <w:lang w:val="es-ES" w:eastAsia="zh-CN"/>
        </w:rPr>
        <w:t xml:space="preserve">Los estados </w:t>
      </w:r>
      <w:r w:rsidRPr="0072615E">
        <w:rPr>
          <w:rFonts w:eastAsia="Times New Roman"/>
          <w:szCs w:val="24"/>
          <w:lang w:val="es-ES" w:eastAsia="zh-CN"/>
        </w:rPr>
        <w:t xml:space="preserve">contables </w:t>
      </w:r>
      <w:r w:rsidRPr="006768DF">
        <w:rPr>
          <w:rFonts w:eastAsia="Times New Roman"/>
          <w:szCs w:val="24"/>
          <w:lang w:val="es-ES" w:eastAsia="zh-CN"/>
        </w:rPr>
        <w:t>deben emanar del sistema contable del organismo</w:t>
      </w:r>
      <w:r w:rsidRPr="0072615E">
        <w:rPr>
          <w:rFonts w:eastAsia="Times New Roman"/>
          <w:szCs w:val="24"/>
          <w:lang w:val="es-ES" w:eastAsia="zh-CN"/>
        </w:rPr>
        <w:t xml:space="preserve"> (Art.</w:t>
      </w:r>
      <w:r w:rsidRPr="006768DF">
        <w:rPr>
          <w:rFonts w:eastAsia="Times New Roman"/>
          <w:szCs w:val="24"/>
          <w:lang w:val="es-ES" w:eastAsia="zh-CN"/>
        </w:rPr>
        <w:t xml:space="preserve"> 3 de la Ordenanza </w:t>
      </w:r>
      <w:r w:rsidRPr="0072615E">
        <w:rPr>
          <w:rFonts w:eastAsia="Times New Roman"/>
          <w:szCs w:val="24"/>
          <w:lang w:val="es-ES" w:eastAsia="zh-CN"/>
        </w:rPr>
        <w:t xml:space="preserve">Nº </w:t>
      </w:r>
      <w:r w:rsidRPr="006768DF">
        <w:rPr>
          <w:rFonts w:eastAsia="Times New Roman"/>
          <w:szCs w:val="24"/>
          <w:lang w:val="es-ES" w:eastAsia="zh-CN"/>
        </w:rPr>
        <w:t>81</w:t>
      </w:r>
      <w:r w:rsidRPr="0072615E">
        <w:rPr>
          <w:rFonts w:eastAsia="Times New Roman"/>
          <w:szCs w:val="24"/>
          <w:lang w:val="es-ES" w:eastAsia="zh-CN"/>
        </w:rPr>
        <w:t>)</w:t>
      </w:r>
      <w:r w:rsidRPr="006768DF">
        <w:rPr>
          <w:rFonts w:eastAsia="Times New Roman"/>
          <w:szCs w:val="24"/>
          <w:lang w:val="es-ES" w:eastAsia="zh-CN"/>
        </w:rPr>
        <w:t>. Se deberá implementar un sistema contable adecuado a la operativa del mismo y que proporcione información confiable</w:t>
      </w:r>
      <w:r w:rsidRPr="0072615E">
        <w:rPr>
          <w:rFonts w:eastAsia="Times New Roman"/>
          <w:szCs w:val="24"/>
          <w:lang w:val="es-ES" w:eastAsia="zh-CN"/>
        </w:rPr>
        <w:t>, íntegra y oportuna</w:t>
      </w:r>
      <w:r>
        <w:rPr>
          <w:rFonts w:eastAsia="Times New Roman"/>
          <w:szCs w:val="24"/>
          <w:lang w:val="es-ES" w:eastAsia="zh-CN"/>
        </w:rPr>
        <w:t>.</w:t>
      </w:r>
    </w:p>
    <w:p w:rsidR="00463D01" w:rsidRDefault="00463D01" w:rsidP="00463D01">
      <w:pPr>
        <w:pStyle w:val="Textoindependiente"/>
        <w:keepNext/>
        <w:widowControl w:val="0"/>
        <w:suppressAutoHyphens w:val="0"/>
        <w:spacing w:after="0" w:line="360" w:lineRule="auto"/>
        <w:rPr>
          <w:b/>
          <w:lang w:val="es-ES"/>
        </w:rPr>
      </w:pPr>
      <w:r>
        <w:rPr>
          <w:b/>
          <w:lang w:val="es-ES"/>
        </w:rPr>
        <w:t>2.2) Memoria Explicativa</w:t>
      </w:r>
    </w:p>
    <w:p w:rsidR="00463D01" w:rsidRPr="009A401A" w:rsidRDefault="00463D01" w:rsidP="00463D01">
      <w:pPr>
        <w:keepNext/>
        <w:widowControl w:val="0"/>
        <w:suppressAutoHyphens w:val="0"/>
        <w:spacing w:after="0" w:line="360" w:lineRule="auto"/>
        <w:rPr>
          <w:rFonts w:eastAsia="Times New Roman"/>
          <w:szCs w:val="24"/>
          <w:lang w:val="es-ES" w:eastAsia="en-US"/>
        </w:rPr>
      </w:pPr>
      <w:r>
        <w:rPr>
          <w:szCs w:val="24"/>
        </w:rPr>
        <w:t xml:space="preserve">Se debe presentar la Memoria explicativa de los Estados Contables informando sobre todos los puntos de interés (Art. 15 de la Ordenanza 81). Se deben presentar </w:t>
      </w:r>
      <w:r w:rsidRPr="009A401A">
        <w:rPr>
          <w:rFonts w:eastAsia="Times New Roman"/>
          <w:szCs w:val="24"/>
          <w:lang w:val="es-ES" w:eastAsia="en-US"/>
        </w:rPr>
        <w:t xml:space="preserve">el Estado de Origen y Aplicación de Fondos </w:t>
      </w:r>
      <w:r>
        <w:rPr>
          <w:rFonts w:eastAsia="Times New Roman"/>
          <w:szCs w:val="24"/>
          <w:lang w:val="es-ES" w:eastAsia="en-US"/>
        </w:rPr>
        <w:t>y</w:t>
      </w:r>
      <w:r w:rsidRPr="009A401A">
        <w:rPr>
          <w:rFonts w:eastAsia="Times New Roman"/>
          <w:szCs w:val="24"/>
          <w:lang w:val="es-ES" w:eastAsia="en-US"/>
        </w:rPr>
        <w:t xml:space="preserve"> el Estado de Evolución del Patrimonio.</w:t>
      </w:r>
    </w:p>
    <w:p w:rsidR="00463D01" w:rsidRPr="006768DF" w:rsidRDefault="00463D01" w:rsidP="00463D01">
      <w:pPr>
        <w:pStyle w:val="Textoindependiente"/>
        <w:keepNext/>
        <w:widowControl w:val="0"/>
        <w:numPr>
          <w:ilvl w:val="0"/>
          <w:numId w:val="3"/>
        </w:numPr>
        <w:suppressAutoHyphens w:val="0"/>
        <w:spacing w:after="0" w:line="360" w:lineRule="auto"/>
        <w:rPr>
          <w:b/>
          <w:szCs w:val="24"/>
          <w:lang w:val="es-ES" w:eastAsia="zh-CN"/>
        </w:rPr>
      </w:pPr>
      <w:r>
        <w:rPr>
          <w:b/>
          <w:szCs w:val="24"/>
          <w:lang w:val="es-ES" w:eastAsia="zh-CN"/>
        </w:rPr>
        <w:t xml:space="preserve">2.3) </w:t>
      </w:r>
      <w:r w:rsidRPr="006768DF">
        <w:rPr>
          <w:b/>
          <w:szCs w:val="24"/>
          <w:lang w:val="es-ES" w:eastAsia="zh-CN"/>
        </w:rPr>
        <w:t>Remisión de Esta</w:t>
      </w:r>
      <w:r>
        <w:rPr>
          <w:b/>
          <w:szCs w:val="24"/>
          <w:lang w:val="es-ES" w:eastAsia="zh-CN"/>
        </w:rPr>
        <w:t xml:space="preserve">dos </w:t>
      </w:r>
      <w:r w:rsidRPr="006768DF">
        <w:rPr>
          <w:b/>
          <w:szCs w:val="24"/>
          <w:lang w:val="es-ES" w:eastAsia="zh-CN"/>
        </w:rPr>
        <w:t>Cont</w:t>
      </w:r>
      <w:r>
        <w:rPr>
          <w:b/>
          <w:szCs w:val="24"/>
          <w:lang w:val="es-ES" w:eastAsia="zh-CN"/>
        </w:rPr>
        <w:t>a</w:t>
      </w:r>
      <w:r w:rsidRPr="006768DF">
        <w:rPr>
          <w:b/>
          <w:szCs w:val="24"/>
          <w:lang w:val="es-ES" w:eastAsia="zh-CN"/>
        </w:rPr>
        <w:t>bles</w:t>
      </w:r>
    </w:p>
    <w:p w:rsidR="00463D01" w:rsidRDefault="00463D01" w:rsidP="00463D01">
      <w:pPr>
        <w:pStyle w:val="Prrafodelista"/>
        <w:keepNext/>
        <w:widowControl w:val="0"/>
        <w:numPr>
          <w:ilvl w:val="0"/>
          <w:numId w:val="3"/>
        </w:numPr>
        <w:spacing w:line="360" w:lineRule="auto"/>
        <w:ind w:left="0" w:firstLine="0"/>
        <w:jc w:val="both"/>
        <w:rPr>
          <w:rFonts w:ascii="Arial" w:hAnsi="Arial" w:cs="Arial"/>
          <w:sz w:val="24"/>
          <w:szCs w:val="24"/>
        </w:rPr>
      </w:pPr>
      <w:r w:rsidRPr="000128A7">
        <w:rPr>
          <w:rFonts w:ascii="Arial" w:hAnsi="Arial" w:cs="Arial"/>
          <w:sz w:val="24"/>
          <w:szCs w:val="24"/>
          <w:lang w:eastAsia="zh-CN"/>
        </w:rPr>
        <w:t xml:space="preserve">Los Estados Contables </w:t>
      </w:r>
      <w:r w:rsidRPr="003A06F5">
        <w:rPr>
          <w:rFonts w:ascii="Arial" w:hAnsi="Arial" w:cs="Arial"/>
          <w:sz w:val="24"/>
          <w:szCs w:val="24"/>
          <w:lang w:eastAsia="zh-CN"/>
        </w:rPr>
        <w:t xml:space="preserve">deben remitirse en dos vías adjuntando </w:t>
      </w:r>
      <w:r w:rsidRPr="000128A7">
        <w:rPr>
          <w:rFonts w:ascii="Arial" w:hAnsi="Arial" w:cs="Arial"/>
          <w:sz w:val="24"/>
          <w:szCs w:val="24"/>
          <w:lang w:eastAsia="zh-CN"/>
        </w:rPr>
        <w:t>copia autenticada de la Resolución por la que se aprobaron los Estados Contables dejando constancia del Resultado del Ejercicio que se aprueba y la correspondiente carta de representaciones de la administración</w:t>
      </w:r>
      <w:r w:rsidRPr="003A06F5">
        <w:rPr>
          <w:rFonts w:ascii="Arial" w:hAnsi="Arial" w:cs="Arial"/>
          <w:sz w:val="24"/>
          <w:szCs w:val="24"/>
          <w:lang w:eastAsia="zh-CN"/>
        </w:rPr>
        <w:t xml:space="preserve"> (</w:t>
      </w:r>
      <w:r>
        <w:rPr>
          <w:rFonts w:ascii="Arial" w:hAnsi="Arial" w:cs="Arial"/>
          <w:sz w:val="24"/>
          <w:szCs w:val="24"/>
          <w:lang w:eastAsia="zh-CN"/>
        </w:rPr>
        <w:t>A</w:t>
      </w:r>
      <w:r w:rsidRPr="003A06F5">
        <w:rPr>
          <w:rFonts w:ascii="Arial" w:hAnsi="Arial" w:cs="Arial"/>
          <w:sz w:val="24"/>
          <w:szCs w:val="24"/>
          <w:lang w:eastAsia="zh-CN"/>
        </w:rPr>
        <w:t>rt</w:t>
      </w:r>
      <w:r>
        <w:rPr>
          <w:rFonts w:ascii="Arial" w:hAnsi="Arial" w:cs="Arial"/>
          <w:sz w:val="24"/>
          <w:szCs w:val="24"/>
          <w:lang w:eastAsia="zh-CN"/>
        </w:rPr>
        <w:t>.</w:t>
      </w:r>
      <w:r w:rsidRPr="003A06F5">
        <w:rPr>
          <w:rFonts w:ascii="Arial" w:hAnsi="Arial" w:cs="Arial"/>
          <w:sz w:val="24"/>
          <w:szCs w:val="24"/>
          <w:lang w:eastAsia="zh-CN"/>
        </w:rPr>
        <w:t xml:space="preserve"> 28 </w:t>
      </w:r>
      <w:r>
        <w:rPr>
          <w:rFonts w:ascii="Arial" w:hAnsi="Arial" w:cs="Arial"/>
          <w:sz w:val="24"/>
          <w:szCs w:val="24"/>
        </w:rPr>
        <w:t>de la Ordenanza N° 81).</w:t>
      </w:r>
    </w:p>
    <w:p w:rsidR="00463D01" w:rsidRDefault="00463D01" w:rsidP="00463D01">
      <w:pPr>
        <w:pStyle w:val="Prrafodelista"/>
        <w:keepNext/>
        <w:widowControl w:val="0"/>
        <w:spacing w:line="360" w:lineRule="auto"/>
        <w:jc w:val="both"/>
        <w:rPr>
          <w:rFonts w:ascii="Arial" w:hAnsi="Arial" w:cs="Arial"/>
          <w:sz w:val="24"/>
          <w:szCs w:val="24"/>
        </w:rPr>
      </w:pPr>
    </w:p>
    <w:p w:rsidR="00463D01" w:rsidRPr="00463D01" w:rsidRDefault="00463D01" w:rsidP="00463D01">
      <w:pPr>
        <w:pStyle w:val="Prrafodelista"/>
        <w:keepNext/>
        <w:widowControl w:val="0"/>
        <w:spacing w:after="0" w:line="360" w:lineRule="auto"/>
        <w:ind w:left="0"/>
        <w:rPr>
          <w:rFonts w:ascii="Arial" w:hAnsi="Arial" w:cs="Arial"/>
          <w:sz w:val="24"/>
          <w:szCs w:val="24"/>
        </w:rPr>
      </w:pPr>
      <w:proofErr w:type="spellStart"/>
      <w:proofErr w:type="gramStart"/>
      <w:r>
        <w:rPr>
          <w:rFonts w:ascii="Arial" w:hAnsi="Arial" w:cs="Arial"/>
          <w:sz w:val="24"/>
          <w:szCs w:val="24"/>
        </w:rPr>
        <w:t>lc</w:t>
      </w:r>
      <w:bookmarkEnd w:id="5"/>
      <w:bookmarkEnd w:id="6"/>
      <w:proofErr w:type="spellEnd"/>
      <w:proofErr w:type="gramEnd"/>
    </w:p>
    <w:sectPr w:rsidR="00463D01" w:rsidRPr="00463D01" w:rsidSect="00B33D1D">
      <w:pgSz w:w="11906" w:h="16838" w:code="9"/>
      <w:pgMar w:top="3175" w:right="1701" w:bottom="136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2312CA"/>
    <w:multiLevelType w:val="multilevel"/>
    <w:tmpl w:val="2652A1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319AB"/>
    <w:rsid w:val="000A7EDA"/>
    <w:rsid w:val="001C6A59"/>
    <w:rsid w:val="00234045"/>
    <w:rsid w:val="00295BB5"/>
    <w:rsid w:val="00335540"/>
    <w:rsid w:val="00463D01"/>
    <w:rsid w:val="0051488E"/>
    <w:rsid w:val="006316C9"/>
    <w:rsid w:val="00736EE6"/>
    <w:rsid w:val="00743D89"/>
    <w:rsid w:val="0074652D"/>
    <w:rsid w:val="0077153B"/>
    <w:rsid w:val="00A00382"/>
    <w:rsid w:val="00B338FE"/>
    <w:rsid w:val="00B33D1D"/>
    <w:rsid w:val="00BA5105"/>
    <w:rsid w:val="00C530F1"/>
    <w:rsid w:val="00D3031A"/>
    <w:rsid w:val="00D77A4C"/>
    <w:rsid w:val="00D9422A"/>
    <w:rsid w:val="00DA55AA"/>
    <w:rsid w:val="00DD35BB"/>
    <w:rsid w:val="00E43062"/>
    <w:rsid w:val="00EA02D4"/>
    <w:rsid w:val="00EE3E2B"/>
    <w:rsid w:val="00EF2A36"/>
    <w:rsid w:val="00FE028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463D01"/>
    <w:pPr>
      <w:keepNext/>
      <w:tabs>
        <w:tab w:val="num" w:pos="360"/>
      </w:tabs>
      <w:spacing w:before="240" w:after="60" w:line="240" w:lineRule="auto"/>
      <w:ind w:left="360" w:hanging="360"/>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463D0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3D0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463D0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463D0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463D0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463D0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463D0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463D0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63D01"/>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463D01"/>
    <w:pPr>
      <w:suppressAutoHyphens w:val="0"/>
      <w:ind w:left="720"/>
      <w:jc w:val="left"/>
    </w:pPr>
    <w:rPr>
      <w:rFonts w:ascii="Calibri" w:eastAsia="Times New Roman" w:hAnsi="Calibri" w:cs="Calibri"/>
      <w:sz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463D01"/>
    <w:pPr>
      <w:keepNext/>
      <w:tabs>
        <w:tab w:val="num" w:pos="360"/>
      </w:tabs>
      <w:spacing w:before="240" w:after="60" w:line="240" w:lineRule="auto"/>
      <w:ind w:left="360" w:hanging="360"/>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463D0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3D0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463D0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463D0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463D0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463D0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463D0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463D0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63D01"/>
    <w:pPr>
      <w:widowControl w:val="0"/>
      <w:numPr>
        <w:ilvl w:val="1"/>
        <w:numId w:val="3"/>
      </w:numPr>
      <w:tabs>
        <w:tab w:val="clear" w:pos="0"/>
      </w:tabs>
      <w:suppressAutoHyphens w:val="0"/>
      <w:spacing w:after="0" w:line="360" w:lineRule="auto"/>
    </w:pPr>
    <w:rPr>
      <w:b/>
      <w:bCs/>
    </w:rPr>
  </w:style>
  <w:style w:type="paragraph" w:styleId="Prrafodelista">
    <w:name w:val="List Paragraph"/>
    <w:basedOn w:val="Normal"/>
    <w:qFormat/>
    <w:rsid w:val="00463D01"/>
    <w:pPr>
      <w:suppressAutoHyphens w:val="0"/>
      <w:ind w:left="720"/>
      <w:jc w:val="left"/>
    </w:pPr>
    <w:rPr>
      <w:rFonts w:ascii="Calibri" w:eastAsia="Times New Roman" w:hAnsi="Calibri" w:cs="Calibri"/>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1181</Words>
  <Characters>6500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Tribunal1</cp:lastModifiedBy>
  <cp:revision>6</cp:revision>
  <cp:lastPrinted>2017-01-31T19:47:00Z</cp:lastPrinted>
  <dcterms:created xsi:type="dcterms:W3CDTF">2017-01-31T18:46:00Z</dcterms:created>
  <dcterms:modified xsi:type="dcterms:W3CDTF">2018-05-25T18:27:00Z</dcterms:modified>
</cp:coreProperties>
</file>