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0D" w:rsidRPr="00786EEB" w:rsidRDefault="00832B0D" w:rsidP="001A5ED8">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RES. 330/17</w:t>
      </w:r>
    </w:p>
    <w:p w:rsidR="00832B0D" w:rsidRPr="00762B34" w:rsidRDefault="00832B0D" w:rsidP="001A5ED8">
      <w:pPr>
        <w:keepNext/>
        <w:widowControl w:val="0"/>
        <w:tabs>
          <w:tab w:val="center" w:pos="4253"/>
        </w:tabs>
        <w:jc w:val="center"/>
        <w:rPr>
          <w:rFonts w:cs="Arial"/>
          <w:b/>
          <w:lang w:val="es-ES_tradnl"/>
        </w:rPr>
      </w:pPr>
      <w:r w:rsidRPr="00762B34">
        <w:rPr>
          <w:rFonts w:cs="Arial"/>
          <w:b/>
          <w:lang w:val="es-ES_tradnl"/>
        </w:rPr>
        <w:t>RESOLUCION ADOPTADA POR EL</w:t>
      </w:r>
    </w:p>
    <w:p w:rsidR="00832B0D" w:rsidRPr="00762B34" w:rsidRDefault="00832B0D" w:rsidP="001A5ED8">
      <w:pPr>
        <w:keepNext/>
        <w:widowControl w:val="0"/>
        <w:tabs>
          <w:tab w:val="left" w:pos="-720"/>
        </w:tabs>
        <w:jc w:val="center"/>
        <w:rPr>
          <w:rFonts w:cs="Arial"/>
          <w:b/>
          <w:lang w:val="es-ES_tradnl"/>
        </w:rPr>
      </w:pPr>
    </w:p>
    <w:p w:rsidR="00832B0D" w:rsidRPr="00762B34" w:rsidRDefault="00832B0D" w:rsidP="001A5ED8">
      <w:pPr>
        <w:keepNext/>
        <w:widowControl w:val="0"/>
        <w:tabs>
          <w:tab w:val="center" w:pos="4253"/>
        </w:tabs>
        <w:jc w:val="center"/>
        <w:rPr>
          <w:rFonts w:cs="Arial"/>
          <w:b/>
          <w:lang w:val="es-ES_tradnl"/>
        </w:rPr>
      </w:pPr>
      <w:r w:rsidRPr="00762B34">
        <w:rPr>
          <w:rFonts w:cs="Arial"/>
          <w:b/>
          <w:lang w:val="es-ES_tradnl"/>
        </w:rPr>
        <w:t>TRIBUNAL DE CUENTAS</w:t>
      </w:r>
    </w:p>
    <w:p w:rsidR="00832B0D" w:rsidRPr="00762B34" w:rsidRDefault="00832B0D" w:rsidP="001A5ED8">
      <w:pPr>
        <w:keepNext/>
        <w:widowControl w:val="0"/>
        <w:tabs>
          <w:tab w:val="left" w:pos="-720"/>
        </w:tabs>
        <w:jc w:val="center"/>
        <w:rPr>
          <w:rFonts w:cs="Arial"/>
          <w:b/>
          <w:lang w:val="es-ES_tradnl"/>
        </w:rPr>
      </w:pPr>
    </w:p>
    <w:p w:rsidR="00832B0D" w:rsidRPr="00762B34" w:rsidRDefault="00832B0D" w:rsidP="001A5ED8">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25 DE ENERO </w:t>
      </w:r>
      <w:r>
        <w:rPr>
          <w:rFonts w:ascii="Helvetica" w:hAnsi="Helvetica"/>
          <w:b/>
          <w:lang w:val="es-ES_tradnl"/>
        </w:rPr>
        <w:t>DE 2017</w:t>
      </w:r>
    </w:p>
    <w:p w:rsidR="00832B0D" w:rsidRPr="00762B34" w:rsidRDefault="00832B0D" w:rsidP="001A5ED8">
      <w:pPr>
        <w:keepNext/>
        <w:widowControl w:val="0"/>
        <w:tabs>
          <w:tab w:val="center" w:pos="4253"/>
        </w:tabs>
        <w:jc w:val="center"/>
        <w:rPr>
          <w:rFonts w:cs="Arial"/>
          <w:b/>
          <w:lang w:val="es-ES_tradnl"/>
        </w:rPr>
      </w:pPr>
    </w:p>
    <w:p w:rsidR="00832B0D" w:rsidRPr="001A5ED8" w:rsidRDefault="00832B0D" w:rsidP="001A5ED8">
      <w:pPr>
        <w:keepNext/>
        <w:widowControl w:val="0"/>
        <w:tabs>
          <w:tab w:val="center" w:pos="4253"/>
        </w:tabs>
        <w:jc w:val="center"/>
        <w:rPr>
          <w:rFonts w:cs="Arial"/>
          <w:b/>
          <w:lang w:val="es-UY"/>
        </w:rPr>
      </w:pPr>
      <w:r w:rsidRPr="001A5ED8">
        <w:rPr>
          <w:rFonts w:cs="Arial"/>
          <w:b/>
          <w:lang w:val="es-UY"/>
        </w:rPr>
        <w:t xml:space="preserve">(E. E. Nº 2016-17-1-0003655, </w:t>
      </w:r>
      <w:proofErr w:type="spellStart"/>
      <w:r w:rsidRPr="001A5ED8">
        <w:rPr>
          <w:rFonts w:cs="Arial"/>
          <w:b/>
          <w:lang w:val="es-UY"/>
        </w:rPr>
        <w:t>Ent</w:t>
      </w:r>
      <w:proofErr w:type="spellEnd"/>
      <w:r w:rsidRPr="001A5ED8">
        <w:rPr>
          <w:rFonts w:cs="Arial"/>
          <w:b/>
          <w:lang w:val="es-UY"/>
        </w:rPr>
        <w:t>. N° 2794/16)</w:t>
      </w:r>
    </w:p>
    <w:p w:rsidR="00832B0D" w:rsidRPr="001A5ED8" w:rsidRDefault="00832B0D" w:rsidP="001A5ED8">
      <w:pPr>
        <w:keepNext/>
        <w:widowControl w:val="0"/>
        <w:tabs>
          <w:tab w:val="center" w:pos="4253"/>
        </w:tabs>
        <w:jc w:val="center"/>
        <w:rPr>
          <w:rFonts w:ascii="Helvetica" w:hAnsi="Helvetica"/>
          <w:b/>
          <w:lang w:val="es-UY"/>
        </w:rPr>
      </w:pPr>
    </w:p>
    <w:p w:rsidR="00832B0D" w:rsidRDefault="00832B0D" w:rsidP="001A5ED8">
      <w:pPr>
        <w:keepNext/>
        <w:widowControl w:val="0"/>
        <w:tabs>
          <w:tab w:val="left" w:pos="708"/>
        </w:tabs>
        <w:spacing w:line="360" w:lineRule="auto"/>
        <w:ind w:firstLine="851"/>
        <w:jc w:val="both"/>
        <w:rPr>
          <w:rFonts w:cs="Arial"/>
          <w:szCs w:val="20"/>
          <w:lang w:eastAsia="ar-SA"/>
        </w:rPr>
      </w:pPr>
      <w:r w:rsidRPr="00832B0D">
        <w:rPr>
          <w:rFonts w:cs="Arial"/>
          <w:b/>
          <w:szCs w:val="20"/>
          <w:lang w:eastAsia="ar-SA"/>
        </w:rPr>
        <w:t>VISTO:</w:t>
      </w:r>
      <w:r w:rsidRPr="00832B0D">
        <w:rPr>
          <w:rFonts w:cs="Arial"/>
          <w:szCs w:val="20"/>
          <w:lang w:eastAsia="ar-SA"/>
        </w:rPr>
        <w:t xml:space="preserve"> que este Tribunal ha examinado el Estado de Ejecución Presupuestal de la Administración Nacional de Correos correspondiente al Ejercicio 2015;</w:t>
      </w:r>
    </w:p>
    <w:p w:rsidR="00832B0D" w:rsidRDefault="00832B0D" w:rsidP="001A5ED8">
      <w:pPr>
        <w:keepNext/>
        <w:widowControl w:val="0"/>
        <w:tabs>
          <w:tab w:val="left" w:pos="708"/>
        </w:tabs>
        <w:spacing w:line="360" w:lineRule="auto"/>
        <w:ind w:firstLine="851"/>
        <w:jc w:val="both"/>
        <w:rPr>
          <w:rFonts w:cs="Arial"/>
          <w:szCs w:val="20"/>
          <w:lang w:eastAsia="ar-SA"/>
        </w:rPr>
      </w:pPr>
      <w:r w:rsidRPr="00832B0D">
        <w:rPr>
          <w:rFonts w:cs="Arial"/>
          <w:b/>
          <w:szCs w:val="20"/>
          <w:lang w:eastAsia="ar-SA"/>
        </w:rPr>
        <w:t>RESULTANDO:</w:t>
      </w:r>
      <w:r w:rsidRPr="00832B0D">
        <w:rPr>
          <w:rFonts w:cs="Arial"/>
          <w:szCs w:val="20"/>
          <w:lang w:eastAsia="ar-SA"/>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832B0D" w:rsidRDefault="00832B0D" w:rsidP="001A5ED8">
      <w:pPr>
        <w:keepNext/>
        <w:widowControl w:val="0"/>
        <w:tabs>
          <w:tab w:val="left" w:pos="708"/>
        </w:tabs>
        <w:spacing w:line="360" w:lineRule="auto"/>
        <w:ind w:firstLine="851"/>
        <w:jc w:val="both"/>
        <w:rPr>
          <w:rFonts w:cs="Arial"/>
          <w:szCs w:val="20"/>
          <w:lang w:eastAsia="ar-SA"/>
        </w:rPr>
      </w:pPr>
      <w:r w:rsidRPr="00832B0D">
        <w:rPr>
          <w:rFonts w:cs="Arial"/>
          <w:b/>
          <w:szCs w:val="20"/>
          <w:lang w:eastAsia="ar-SA"/>
        </w:rPr>
        <w:t>CONSIDERANDO:</w:t>
      </w:r>
      <w:r w:rsidRPr="00832B0D">
        <w:rPr>
          <w:rFonts w:cs="Arial"/>
          <w:szCs w:val="20"/>
          <w:lang w:eastAsia="ar-SA"/>
        </w:rPr>
        <w:t xml:space="preserve"> que las conclusiones y evidencias obtenidas son las que se expresan en el  Informe de Auditoría, que incluye el Dictamen e Informe a la Administración;</w:t>
      </w:r>
    </w:p>
    <w:p w:rsidR="00832B0D" w:rsidRPr="00832B0D" w:rsidRDefault="00832B0D" w:rsidP="001A5ED8">
      <w:pPr>
        <w:keepNext/>
        <w:widowControl w:val="0"/>
        <w:tabs>
          <w:tab w:val="left" w:pos="708"/>
        </w:tabs>
        <w:spacing w:line="360" w:lineRule="auto"/>
        <w:ind w:firstLine="851"/>
        <w:jc w:val="both"/>
        <w:rPr>
          <w:rFonts w:cs="Arial"/>
          <w:szCs w:val="20"/>
          <w:lang w:eastAsia="ar-SA"/>
        </w:rPr>
      </w:pPr>
      <w:r w:rsidRPr="00832B0D">
        <w:rPr>
          <w:rFonts w:cs="Arial"/>
          <w:b/>
          <w:szCs w:val="20"/>
          <w:lang w:eastAsia="ar-SA"/>
        </w:rPr>
        <w:t>ATENTO:</w:t>
      </w:r>
      <w:r w:rsidRPr="00832B0D">
        <w:rPr>
          <w:rFonts w:cs="Arial"/>
          <w:szCs w:val="20"/>
          <w:lang w:eastAsia="ar-SA"/>
        </w:rPr>
        <w:t xml:space="preserve"> a lo dispuesto por el Artículo 211 Literal C) de la Constitución de la República;</w:t>
      </w:r>
    </w:p>
    <w:p w:rsidR="00832B0D" w:rsidRPr="00832B0D" w:rsidRDefault="00832B0D" w:rsidP="001A5ED8">
      <w:pPr>
        <w:keepNext/>
        <w:widowControl w:val="0"/>
        <w:numPr>
          <w:ilvl w:val="1"/>
          <w:numId w:val="0"/>
        </w:numPr>
        <w:tabs>
          <w:tab w:val="num" w:pos="0"/>
        </w:tabs>
        <w:spacing w:after="120" w:line="360" w:lineRule="auto"/>
        <w:ind w:firstLine="709"/>
        <w:jc w:val="center"/>
        <w:outlineLvl w:val="1"/>
        <w:rPr>
          <w:rFonts w:ascii="Bookman Old Style" w:hAnsi="Bookman Old Style" w:cs="Bookman Old Style"/>
          <w:b/>
          <w:szCs w:val="20"/>
          <w:lang w:eastAsia="ar-SA"/>
        </w:rPr>
      </w:pPr>
      <w:r w:rsidRPr="00832B0D">
        <w:rPr>
          <w:rFonts w:cs="Arial"/>
          <w:b/>
          <w:szCs w:val="20"/>
          <w:lang w:eastAsia="ar-SA"/>
        </w:rPr>
        <w:t>EL TRIBUNAL ACUERDA</w:t>
      </w:r>
    </w:p>
    <w:p w:rsidR="00832B0D" w:rsidRPr="00832B0D" w:rsidRDefault="00832B0D" w:rsidP="001A5ED8">
      <w:pPr>
        <w:keepNext/>
        <w:widowControl w:val="0"/>
        <w:numPr>
          <w:ilvl w:val="0"/>
          <w:numId w:val="1"/>
        </w:numPr>
        <w:tabs>
          <w:tab w:val="left" w:pos="284"/>
          <w:tab w:val="left" w:pos="360"/>
        </w:tabs>
        <w:spacing w:line="360" w:lineRule="auto"/>
        <w:ind w:left="284" w:hanging="284"/>
        <w:jc w:val="both"/>
        <w:rPr>
          <w:rFonts w:eastAsia="Calibri" w:cs="Arial"/>
          <w:szCs w:val="22"/>
          <w:lang w:val="es-UY" w:eastAsia="ar-SA"/>
        </w:rPr>
      </w:pPr>
      <w:r w:rsidRPr="00832B0D">
        <w:rPr>
          <w:rFonts w:eastAsia="Calibri" w:cs="Arial"/>
          <w:szCs w:val="22"/>
          <w:lang w:val="es-UY" w:eastAsia="ar-SA"/>
        </w:rPr>
        <w:t>Expedirse respecto al Estado de Ejecución Presupuestal correspondiente al Ejercicio 2015 de la Administración Nacional de Correos, en los términos del Informe que se adjunta;</w:t>
      </w:r>
    </w:p>
    <w:p w:rsidR="00832B0D" w:rsidRDefault="00832B0D" w:rsidP="001A5ED8">
      <w:pPr>
        <w:keepNext/>
        <w:widowControl w:val="0"/>
        <w:numPr>
          <w:ilvl w:val="0"/>
          <w:numId w:val="1"/>
        </w:numPr>
        <w:tabs>
          <w:tab w:val="left" w:pos="284"/>
          <w:tab w:val="left" w:pos="360"/>
        </w:tabs>
        <w:spacing w:line="360" w:lineRule="auto"/>
        <w:ind w:left="284" w:hanging="284"/>
        <w:jc w:val="both"/>
        <w:rPr>
          <w:rFonts w:eastAsia="Calibri" w:cs="Arial"/>
          <w:szCs w:val="22"/>
          <w:lang w:val="es-UY" w:eastAsia="ar-SA"/>
        </w:rPr>
      </w:pPr>
      <w:r w:rsidRPr="00832B0D">
        <w:rPr>
          <w:rFonts w:eastAsia="Calibri" w:cs="Arial"/>
          <w:szCs w:val="22"/>
          <w:lang w:val="es-UY" w:eastAsia="ar-SA"/>
        </w:rPr>
        <w:t>Comunicar al Ministerio de Industria, Energía y Minería, a la Oficina de Planeamiento y Presupuesto, al Organismo y a los Contadores Delegados;</w:t>
      </w:r>
    </w:p>
    <w:p w:rsidR="00832B0D" w:rsidRPr="00832B0D" w:rsidRDefault="00832B0D" w:rsidP="001A5ED8">
      <w:pPr>
        <w:keepNext/>
        <w:widowControl w:val="0"/>
        <w:numPr>
          <w:ilvl w:val="0"/>
          <w:numId w:val="1"/>
        </w:numPr>
        <w:tabs>
          <w:tab w:val="left" w:pos="284"/>
          <w:tab w:val="left" w:pos="360"/>
        </w:tabs>
        <w:spacing w:line="360" w:lineRule="auto"/>
        <w:ind w:left="284" w:hanging="284"/>
        <w:jc w:val="both"/>
        <w:rPr>
          <w:rFonts w:eastAsia="Calibri" w:cs="Arial"/>
          <w:szCs w:val="22"/>
          <w:lang w:val="es-UY" w:eastAsia="ar-SA"/>
        </w:rPr>
      </w:pPr>
      <w:r w:rsidRPr="00832B0D">
        <w:rPr>
          <w:rFonts w:eastAsia="Calibri" w:cs="Arial"/>
          <w:szCs w:val="22"/>
          <w:lang w:val="es-UY" w:eastAsia="ar-SA"/>
        </w:rPr>
        <w:t>Oficiar al Servicio Oficial de Radiodifusión y Espectáculos y los Contadores Delegados; y</w:t>
      </w:r>
    </w:p>
    <w:p w:rsidR="00F86359" w:rsidRDefault="00832B0D" w:rsidP="001A5ED8">
      <w:pPr>
        <w:pStyle w:val="Prrafodelista"/>
        <w:keepNext/>
        <w:widowControl w:val="0"/>
        <w:numPr>
          <w:ilvl w:val="0"/>
          <w:numId w:val="1"/>
        </w:numPr>
        <w:tabs>
          <w:tab w:val="left" w:pos="284"/>
          <w:tab w:val="left" w:pos="360"/>
        </w:tabs>
        <w:spacing w:line="360" w:lineRule="auto"/>
        <w:ind w:hanging="720"/>
        <w:jc w:val="both"/>
      </w:pPr>
      <w:r w:rsidRPr="00832B0D">
        <w:rPr>
          <w:rFonts w:eastAsia="Calibri" w:cs="Arial"/>
          <w:szCs w:val="22"/>
          <w:lang w:val="es-UY" w:eastAsia="ar-SA"/>
        </w:rPr>
        <w:t>Dar cuenta a la Asamblea General.</w:t>
      </w:r>
    </w:p>
    <w:p w:rsidR="00832B0D" w:rsidRDefault="00832B0D" w:rsidP="001A5ED8">
      <w:pPr>
        <w:keepNext/>
        <w:widowControl w:val="0"/>
        <w:tabs>
          <w:tab w:val="left" w:pos="284"/>
          <w:tab w:val="left" w:pos="360"/>
        </w:tabs>
        <w:spacing w:line="360" w:lineRule="auto"/>
        <w:ind w:hanging="567"/>
        <w:jc w:val="both"/>
      </w:pPr>
      <w:proofErr w:type="gramStart"/>
      <w:r>
        <w:t>dc</w:t>
      </w:r>
      <w:proofErr w:type="gramEnd"/>
    </w:p>
    <w:p w:rsidR="001A5ED8" w:rsidRDefault="001A5ED8" w:rsidP="001A5ED8">
      <w:pPr>
        <w:pStyle w:val="Ttulo2"/>
        <w:widowControl w:val="0"/>
        <w:numPr>
          <w:ilvl w:val="1"/>
          <w:numId w:val="2"/>
        </w:numPr>
        <w:suppressAutoHyphens w:val="0"/>
        <w:rPr>
          <w:rFonts w:ascii="Arial" w:hAnsi="Arial" w:cs="Arial"/>
        </w:rPr>
      </w:pPr>
      <w:r>
        <w:rPr>
          <w:rFonts w:ascii="Arial" w:hAnsi="Arial" w:cs="Arial"/>
        </w:rPr>
        <w:t>DICTAMEN</w:t>
      </w:r>
    </w:p>
    <w:p w:rsidR="001A5ED8" w:rsidRDefault="001A5ED8" w:rsidP="001A5ED8">
      <w:pPr>
        <w:pStyle w:val="Textoindependiente"/>
        <w:keepNext/>
        <w:widowControl w:val="0"/>
        <w:suppressAutoHyphens w:val="0"/>
        <w:rPr>
          <w:rFonts w:ascii="Arial" w:hAnsi="Arial" w:cs="Arial"/>
        </w:rPr>
      </w:pPr>
    </w:p>
    <w:p w:rsidR="001A5ED8" w:rsidRDefault="001A5ED8" w:rsidP="001A5ED8">
      <w:pPr>
        <w:pStyle w:val="Textoindependiente"/>
        <w:keepNext/>
        <w:widowControl w:val="0"/>
        <w:suppressAutoHyphens w:val="0"/>
        <w:rPr>
          <w:rFonts w:ascii="Arial" w:hAnsi="Arial" w:cs="Arial"/>
        </w:rPr>
      </w:pPr>
      <w:r>
        <w:rPr>
          <w:rFonts w:ascii="Arial" w:hAnsi="Arial" w:cs="Arial"/>
        </w:rPr>
        <w:t>El Tribunal de Cuentas ha examinado el Estado de Ejecución Presupuestal de la Administración Nacional de Correos (ANC), correspondiente al período 01/01/2015 al  31/12/2015.</w:t>
      </w:r>
    </w:p>
    <w:p w:rsidR="001A5ED8" w:rsidRDefault="001A5ED8" w:rsidP="001A5ED8">
      <w:pPr>
        <w:pStyle w:val="Textoindependiente"/>
        <w:keepNext/>
        <w:widowControl w:val="0"/>
        <w:suppressAutoHyphens w:val="0"/>
        <w:rPr>
          <w:rFonts w:ascii="Arial" w:hAnsi="Arial" w:cs="Arial"/>
        </w:rPr>
      </w:pPr>
      <w:r>
        <w:rPr>
          <w:rFonts w:ascii="Arial" w:hAnsi="Arial" w:cs="Arial"/>
        </w:rPr>
        <w:t>También se presentan, en caso de corresponder, los incumplimientos legales constatados en el curso de la auditoría efectuada.</w:t>
      </w:r>
    </w:p>
    <w:p w:rsidR="001A5ED8" w:rsidRDefault="001A5ED8" w:rsidP="001A5ED8">
      <w:pPr>
        <w:pStyle w:val="Textoindependiente"/>
        <w:keepNext/>
        <w:widowControl w:val="0"/>
        <w:tabs>
          <w:tab w:val="left" w:pos="142"/>
        </w:tabs>
        <w:suppressAutoHyphens w:val="0"/>
        <w:rPr>
          <w:rFonts w:ascii="Arial" w:hAnsi="Arial" w:cs="Arial"/>
        </w:rPr>
      </w:pPr>
    </w:p>
    <w:p w:rsidR="001A5ED8" w:rsidRDefault="001A5ED8" w:rsidP="001A5ED8">
      <w:pPr>
        <w:pStyle w:val="Textoindependiente31"/>
        <w:keepNext/>
        <w:suppressAutoHyphens w:val="0"/>
        <w:spacing w:line="360" w:lineRule="auto"/>
        <w:rPr>
          <w:lang w:val="es-ES_tradnl"/>
        </w:rPr>
      </w:pPr>
      <w:r>
        <w:rPr>
          <w:rFonts w:ascii="Arial" w:hAnsi="Arial" w:cs="Arial"/>
        </w:rPr>
        <w:t>Responsabilidad de la Dirección</w:t>
      </w:r>
    </w:p>
    <w:p w:rsidR="001A5ED8" w:rsidRDefault="001A5ED8" w:rsidP="001A5ED8">
      <w:pPr>
        <w:keepNext/>
        <w:widowControl w:val="0"/>
        <w:spacing w:line="360" w:lineRule="auto"/>
        <w:jc w:val="both"/>
        <w:rPr>
          <w:lang w:val="es-ES_tradnl"/>
        </w:rPr>
      </w:pPr>
      <w:r>
        <w:rPr>
          <w:lang w:val="es-ES_tradnl"/>
        </w:rPr>
        <w:t xml:space="preserve">La Dirección de la ANC es responsable por la preparación y la razonable presentación de dicho estado de ejecución presupuestal, de acuerdo con </w:t>
      </w:r>
      <w:r>
        <w:rPr>
          <w:color w:val="000000"/>
        </w:rPr>
        <w:t xml:space="preserve">las disposiciones legales vigentes, </w:t>
      </w:r>
      <w:r>
        <w:rPr>
          <w:lang w:val="es-ES_tradnl"/>
        </w:rPr>
        <w:t>las normas y criterios establecidos en el TOCAF, en la Ordenanza N° 75 de este Tribunal y en el presupuesto vigente. Esta responsabilidad incluye diseñar, implementar y mantener un control interno adecuado para la preparación y presentación razonable de los estados que estén libres de errores significativos, ya sea debido a fraude o error, seleccionar y aplicar políticas contables apropiadas.</w:t>
      </w:r>
    </w:p>
    <w:p w:rsidR="001A5ED8" w:rsidRDefault="001A5ED8" w:rsidP="001A5ED8">
      <w:pPr>
        <w:keepNext/>
        <w:widowControl w:val="0"/>
        <w:spacing w:line="360" w:lineRule="auto"/>
        <w:rPr>
          <w:lang w:val="es-ES_tradnl"/>
        </w:rPr>
      </w:pPr>
    </w:p>
    <w:p w:rsidR="001A5ED8" w:rsidRDefault="001A5ED8" w:rsidP="001A5ED8">
      <w:pPr>
        <w:keepNext/>
        <w:widowControl w:val="0"/>
        <w:spacing w:line="360" w:lineRule="auto"/>
      </w:pPr>
      <w:r>
        <w:rPr>
          <w:b/>
        </w:rPr>
        <w:t>Responsabilidad del Auditor</w:t>
      </w:r>
    </w:p>
    <w:p w:rsidR="001A5ED8" w:rsidRDefault="001A5ED8" w:rsidP="001A5ED8">
      <w:pPr>
        <w:pStyle w:val="Textoindependiente21"/>
        <w:keepNext/>
        <w:widowControl w:val="0"/>
        <w:suppressAutoHyphens w:val="0"/>
        <w:rPr>
          <w:rFonts w:ascii="Arial" w:hAnsi="Arial" w:cs="Arial"/>
          <w:b w:val="0"/>
        </w:rPr>
      </w:pPr>
      <w:r>
        <w:rPr>
          <w:rFonts w:ascii="Arial" w:hAnsi="Arial" w:cs="Arial"/>
          <w:b w:val="0"/>
        </w:rP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1A5ED8" w:rsidRDefault="001A5ED8" w:rsidP="001A5ED8">
      <w:pPr>
        <w:pStyle w:val="Textoindependiente21"/>
        <w:keepNext/>
        <w:widowControl w:val="0"/>
        <w:suppressAutoHyphens w:val="0"/>
        <w:rPr>
          <w:rFonts w:ascii="Arial" w:hAnsi="Arial" w:cs="Arial"/>
          <w:b w:val="0"/>
        </w:rPr>
      </w:pPr>
    </w:p>
    <w:p w:rsidR="001A5ED8" w:rsidRDefault="001A5ED8" w:rsidP="001A5ED8">
      <w:pPr>
        <w:pStyle w:val="Textoindependiente21"/>
        <w:keepNext/>
        <w:widowControl w:val="0"/>
        <w:suppressAutoHyphens w:val="0"/>
        <w:rPr>
          <w:rFonts w:ascii="Arial" w:hAnsi="Arial" w:cs="Arial"/>
          <w:b w:val="0"/>
        </w:rPr>
      </w:pPr>
      <w:r>
        <w:rPr>
          <w:rFonts w:ascii="Arial" w:hAnsi="Arial" w:cs="Arial"/>
          <w:b w:val="0"/>
        </w:rPr>
        <w:t xml:space="preserve">Una auditoría implica realizar procedimientos para obtener evidencia acerca de </w:t>
      </w:r>
      <w:proofErr w:type="gramStart"/>
      <w:r>
        <w:rPr>
          <w:rFonts w:ascii="Arial" w:hAnsi="Arial" w:cs="Arial"/>
          <w:b w:val="0"/>
        </w:rPr>
        <w:t>los</w:t>
      </w:r>
      <w:proofErr w:type="gramEnd"/>
      <w:r>
        <w:rPr>
          <w:rFonts w:ascii="Arial" w:hAnsi="Arial" w:cs="Arial"/>
          <w:b w:val="0"/>
        </w:rPr>
        <w:t xml:space="preserve"> montos y revelaciones contables. Los procedimientos</w:t>
      </w:r>
      <w:r>
        <w:rPr>
          <w:rFonts w:ascii="Arial" w:hAnsi="Arial" w:cs="Arial"/>
        </w:rPr>
        <w:t xml:space="preserve"> </w:t>
      </w:r>
      <w:r>
        <w:rPr>
          <w:rFonts w:ascii="Arial" w:hAnsi="Arial" w:cs="Arial"/>
          <w:b w:val="0"/>
        </w:rPr>
        <w:t>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1A5ED8" w:rsidRDefault="001A5ED8" w:rsidP="001A5ED8">
      <w:pPr>
        <w:pStyle w:val="Textoindependiente21"/>
        <w:keepNext/>
        <w:widowControl w:val="0"/>
        <w:suppressAutoHyphens w:val="0"/>
        <w:rPr>
          <w:rFonts w:ascii="Arial" w:hAnsi="Arial" w:cs="Arial"/>
          <w:b w:val="0"/>
        </w:rPr>
      </w:pPr>
      <w:r>
        <w:rPr>
          <w:rFonts w:ascii="Arial" w:hAnsi="Arial" w:cs="Arial"/>
          <w:b w:val="0"/>
        </w:rPr>
        <w:t>Se considera que la evidencia de auditoría obtenida brinda una base suficiente y apropiada para sustentar la opinión.</w:t>
      </w:r>
    </w:p>
    <w:p w:rsidR="001A5ED8" w:rsidRDefault="001A5ED8" w:rsidP="001A5ED8">
      <w:pPr>
        <w:pStyle w:val="Ttulo6"/>
        <w:widowControl w:val="0"/>
        <w:numPr>
          <w:ilvl w:val="5"/>
          <w:numId w:val="2"/>
        </w:numPr>
        <w:suppressAutoHyphens w:val="0"/>
      </w:pPr>
    </w:p>
    <w:p w:rsidR="001A5ED8" w:rsidRDefault="001A5ED8" w:rsidP="001A5ED8">
      <w:pPr>
        <w:pStyle w:val="Ttulo6"/>
        <w:widowControl w:val="0"/>
        <w:numPr>
          <w:ilvl w:val="5"/>
          <w:numId w:val="2"/>
        </w:numPr>
        <w:suppressAutoHyphens w:val="0"/>
        <w:rPr>
          <w:spacing w:val="-3"/>
          <w:lang w:val="es-ES_tradnl"/>
        </w:rPr>
      </w:pPr>
      <w:r>
        <w:t>Opinión</w:t>
      </w:r>
    </w:p>
    <w:p w:rsidR="001A5ED8" w:rsidRDefault="001A5ED8" w:rsidP="001A5ED8">
      <w:pPr>
        <w:keepNext/>
        <w:widowControl w:val="0"/>
        <w:spacing w:line="360" w:lineRule="auto"/>
        <w:jc w:val="both"/>
        <w:rPr>
          <w:b/>
        </w:rPr>
      </w:pPr>
      <w:r>
        <w:rPr>
          <w:spacing w:val="-3"/>
          <w:lang w:val="es-ES_tradnl"/>
        </w:rPr>
        <w:t xml:space="preserve">En opinión del Tribunal de Cuentas, los estados mencionados precedentemente,  presentan razonablemente en todos sus aspectos importantes, la ejecución presupuestal de la ANC, </w:t>
      </w:r>
      <w:r>
        <w:t>correspondiente al período 01/01/2015 al 31/12/2015</w:t>
      </w:r>
      <w:r>
        <w:rPr>
          <w:spacing w:val="-3"/>
          <w:lang w:val="es-ES_tradnl"/>
        </w:rPr>
        <w:t>, de acuerdo con las disposiciones legales aplicables, las normas y criterios  establecidos en el TOCAF, en la Ordenanza N° 75 del  Tribunal de Cuentas y en el Decreto aprobatorio del Presupuesto del Ejercicio 2015.</w:t>
      </w: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2"/>
        <w:keepNext/>
        <w:suppressAutoHyphens w:val="0"/>
        <w:spacing w:line="360" w:lineRule="auto"/>
        <w:rPr>
          <w:rFonts w:ascii="Arial" w:hAnsi="Arial" w:cs="Arial"/>
          <w:b/>
        </w:rPr>
      </w:pPr>
      <w:r>
        <w:rPr>
          <w:rFonts w:ascii="Arial" w:hAnsi="Arial" w:cs="Arial"/>
          <w:b/>
        </w:rPr>
        <w:t>Con relación a la normativa vigente, en el curso de la auditoría realizada, se ha constatado que no se ha dado cumplimiento a:</w:t>
      </w:r>
    </w:p>
    <w:p w:rsidR="001A5ED8" w:rsidRDefault="001A5ED8" w:rsidP="001A5ED8">
      <w:pPr>
        <w:pStyle w:val="Textoindependiente22"/>
        <w:keepNext/>
        <w:suppressAutoHyphens w:val="0"/>
        <w:spacing w:line="360" w:lineRule="auto"/>
        <w:rPr>
          <w:rFonts w:ascii="Arial" w:hAnsi="Arial" w:cs="Arial"/>
          <w:b/>
        </w:rPr>
      </w:pPr>
    </w:p>
    <w:p w:rsidR="001A5ED8" w:rsidRDefault="001A5ED8" w:rsidP="001A5ED8">
      <w:pPr>
        <w:pStyle w:val="Textoindependiente23"/>
        <w:keepNext/>
        <w:widowControl w:val="0"/>
        <w:numPr>
          <w:ilvl w:val="0"/>
          <w:numId w:val="4"/>
        </w:numPr>
        <w:suppressAutoHyphens w:val="0"/>
        <w:rPr>
          <w:szCs w:val="24"/>
          <w:lang w:val="es-ES"/>
        </w:rPr>
      </w:pPr>
      <w:r>
        <w:rPr>
          <w:b/>
          <w:szCs w:val="24"/>
        </w:rPr>
        <w:t>Artículo 33  del TOCAF (Procedimiento de compra)</w:t>
      </w:r>
    </w:p>
    <w:p w:rsidR="001A5ED8" w:rsidRDefault="001A5ED8" w:rsidP="001A5ED8">
      <w:pPr>
        <w:pStyle w:val="BodyText21"/>
        <w:keepNext/>
        <w:suppressAutoHyphens w:val="0"/>
        <w:spacing w:line="360" w:lineRule="auto"/>
        <w:ind w:left="360"/>
        <w:rPr>
          <w:szCs w:val="24"/>
          <w:lang w:val="es-ES"/>
        </w:rPr>
      </w:pPr>
      <w:r>
        <w:rPr>
          <w:rFonts w:ascii="Arial" w:hAnsi="Arial" w:cs="Arial"/>
          <w:szCs w:val="24"/>
          <w:lang w:val="es-ES"/>
        </w:rPr>
        <w:t>Se contrataron suministros y servicios por parte del Organismo en forma directa, superando el límite máximo para las adquisiciones establecidos por el TOCAF.</w:t>
      </w:r>
    </w:p>
    <w:p w:rsidR="001A5ED8" w:rsidRDefault="001A5ED8" w:rsidP="001A5ED8">
      <w:pPr>
        <w:pStyle w:val="Textoindependiente23"/>
        <w:keepNext/>
        <w:widowControl w:val="0"/>
        <w:suppressAutoHyphens w:val="0"/>
        <w:ind w:left="426"/>
        <w:rPr>
          <w:szCs w:val="24"/>
          <w:lang w:val="es-ES"/>
        </w:rPr>
      </w:pPr>
    </w:p>
    <w:p w:rsidR="001A5ED8" w:rsidRPr="000A774E" w:rsidRDefault="001A5ED8" w:rsidP="001A5ED8">
      <w:pPr>
        <w:pStyle w:val="Textoindependiente23"/>
        <w:keepNext/>
        <w:widowControl w:val="0"/>
        <w:numPr>
          <w:ilvl w:val="0"/>
          <w:numId w:val="4"/>
        </w:numPr>
        <w:suppressAutoHyphens w:val="0"/>
        <w:rPr>
          <w:lang w:val="es-ES"/>
        </w:rPr>
      </w:pPr>
      <w:r w:rsidRPr="009D4FAE">
        <w:rPr>
          <w:b/>
          <w:szCs w:val="24"/>
          <w:lang w:val="es-ES"/>
        </w:rPr>
        <w:t>Artículos 14, 33</w:t>
      </w:r>
      <w:r>
        <w:rPr>
          <w:b/>
          <w:szCs w:val="24"/>
          <w:lang w:val="es-ES"/>
        </w:rPr>
        <w:t xml:space="preserve">, 43 </w:t>
      </w:r>
      <w:r>
        <w:rPr>
          <w:szCs w:val="24"/>
          <w:lang w:val="es-ES"/>
        </w:rPr>
        <w:t xml:space="preserve">y </w:t>
      </w:r>
      <w:r>
        <w:rPr>
          <w:b/>
          <w:szCs w:val="24"/>
          <w:lang w:val="es-ES"/>
        </w:rPr>
        <w:t>50 del TOCAF (Actos Administrativos dictados por la autoridad competente, Procedimiento de compra, facilitar la presentación del mayor número de oferentes y publicaciones en el sitio web de Compras y Contrataciones Estatales)</w:t>
      </w:r>
    </w:p>
    <w:p w:rsidR="001A5ED8" w:rsidRDefault="001A5ED8" w:rsidP="001A5ED8">
      <w:pPr>
        <w:pStyle w:val="Textoindependiente23"/>
        <w:keepNext/>
        <w:widowControl w:val="0"/>
        <w:suppressAutoHyphens w:val="0"/>
        <w:ind w:left="720"/>
        <w:rPr>
          <w:lang w:val="es-ES"/>
        </w:rPr>
      </w:pPr>
    </w:p>
    <w:p w:rsidR="001A5ED8" w:rsidRDefault="001A5ED8" w:rsidP="001A5ED8">
      <w:pPr>
        <w:pStyle w:val="BodyText21"/>
        <w:keepNext/>
        <w:suppressAutoHyphens w:val="0"/>
        <w:spacing w:line="360" w:lineRule="auto"/>
        <w:ind w:left="426"/>
        <w:rPr>
          <w:rFonts w:ascii="Arial" w:hAnsi="Arial" w:cs="Arial"/>
        </w:rPr>
      </w:pPr>
      <w:r>
        <w:rPr>
          <w:rFonts w:ascii="Arial" w:hAnsi="Arial" w:cs="Arial"/>
          <w:lang w:val="es-ES"/>
        </w:rPr>
        <w:t xml:space="preserve">Se constató la existencia de seis contratos de </w:t>
      </w:r>
      <w:r>
        <w:rPr>
          <w:rFonts w:ascii="Arial" w:hAnsi="Arial" w:cs="Arial"/>
        </w:rPr>
        <w:t>arrendamientos de servicios con profesionales y personas físicas, los cuales se realizaron en forma directa, cuyos montos superan el límite máximo de la compra directa ampliada.</w:t>
      </w:r>
    </w:p>
    <w:p w:rsidR="001A5ED8" w:rsidRDefault="001A5ED8" w:rsidP="001A5ED8">
      <w:pPr>
        <w:pStyle w:val="BodyText21"/>
        <w:keepNext/>
        <w:suppressAutoHyphens w:val="0"/>
        <w:spacing w:line="360" w:lineRule="auto"/>
        <w:ind w:left="426"/>
        <w:rPr>
          <w:rFonts w:ascii="Arial" w:hAnsi="Arial" w:cs="Arial"/>
        </w:rPr>
      </w:pPr>
      <w:r>
        <w:rPr>
          <w:rFonts w:ascii="Arial" w:hAnsi="Arial" w:cs="Arial"/>
        </w:rPr>
        <w:t>Para los contratos mencionados, no se realizó llamado a interesados ni la correspondiente publicación en el sitio web de Compras y Contrataciones  Estatales, por lo cual no se tomaron las medidas necesarias para contratar por grupo de servicios facilitando la presentación del mayor número de oferentes.</w:t>
      </w:r>
    </w:p>
    <w:p w:rsidR="001A5ED8" w:rsidRDefault="001A5ED8" w:rsidP="001A5ED8">
      <w:pPr>
        <w:pStyle w:val="BodyText21"/>
        <w:keepNext/>
        <w:suppressAutoHyphens w:val="0"/>
        <w:spacing w:line="360" w:lineRule="auto"/>
        <w:ind w:left="426"/>
        <w:rPr>
          <w:rFonts w:ascii="Arial" w:hAnsi="Arial" w:cs="Arial"/>
        </w:rPr>
      </w:pPr>
      <w:r>
        <w:rPr>
          <w:rFonts w:ascii="Arial" w:hAnsi="Arial" w:cs="Arial"/>
        </w:rPr>
        <w:t>Tampoco se dictaron las Resoluciones de Directorio correspondientes a efectos de adjudicar los contratos contraviniendo el A</w:t>
      </w:r>
      <w:r w:rsidRPr="009D4FAE">
        <w:rPr>
          <w:rFonts w:ascii="Arial" w:hAnsi="Arial" w:cs="Arial"/>
        </w:rPr>
        <w:t>rtículo 14 del</w:t>
      </w:r>
      <w:r>
        <w:rPr>
          <w:rFonts w:ascii="Arial" w:hAnsi="Arial" w:cs="Arial"/>
        </w:rPr>
        <w:t xml:space="preserve"> TOCAF.</w:t>
      </w:r>
    </w:p>
    <w:p w:rsidR="001A5ED8" w:rsidRDefault="001A5ED8" w:rsidP="001A5ED8">
      <w:pPr>
        <w:pStyle w:val="BodyText21"/>
        <w:keepNext/>
        <w:suppressAutoHyphens w:val="0"/>
        <w:spacing w:line="360" w:lineRule="auto"/>
        <w:ind w:left="426"/>
      </w:pPr>
      <w:r>
        <w:rPr>
          <w:rFonts w:ascii="Arial" w:hAnsi="Arial" w:cs="Arial"/>
        </w:rPr>
        <w:t>En los mencionados contratos se constata la existencia de una cláusula en la que se estipula que de no haber rescisión de los mismos, se prorrogarán automáticamente.</w:t>
      </w:r>
    </w:p>
    <w:p w:rsidR="001A5ED8" w:rsidRDefault="001A5ED8" w:rsidP="001A5ED8">
      <w:pPr>
        <w:pStyle w:val="BodyText21"/>
        <w:keepNext/>
        <w:suppressAutoHyphens w:val="0"/>
        <w:spacing w:line="360" w:lineRule="auto"/>
        <w:ind w:left="426"/>
      </w:pPr>
    </w:p>
    <w:p w:rsidR="001A5ED8" w:rsidRDefault="001A5ED8" w:rsidP="001A5ED8">
      <w:pPr>
        <w:pStyle w:val="BodyText21"/>
        <w:keepNext/>
        <w:numPr>
          <w:ilvl w:val="0"/>
          <w:numId w:val="3"/>
        </w:numPr>
        <w:suppressAutoHyphens w:val="0"/>
        <w:spacing w:line="360" w:lineRule="auto"/>
        <w:rPr>
          <w:rFonts w:ascii="Arial" w:hAnsi="Arial" w:cs="Arial"/>
        </w:rPr>
      </w:pPr>
      <w:r>
        <w:rPr>
          <w:rFonts w:ascii="Arial" w:hAnsi="Arial" w:cs="Arial"/>
          <w:b/>
        </w:rPr>
        <w:t>Decreto 176/008 de 25/03/2008</w:t>
      </w:r>
    </w:p>
    <w:p w:rsidR="001A5ED8" w:rsidRDefault="001A5ED8" w:rsidP="001A5ED8">
      <w:pPr>
        <w:pStyle w:val="BodyText21"/>
        <w:keepNext/>
        <w:suppressAutoHyphens w:val="0"/>
        <w:spacing w:line="360" w:lineRule="auto"/>
        <w:ind w:left="426"/>
        <w:rPr>
          <w:rFonts w:ascii="Arial" w:hAnsi="Arial" w:cs="Arial"/>
        </w:rPr>
      </w:pPr>
      <w:r>
        <w:rPr>
          <w:rFonts w:ascii="Arial" w:hAnsi="Arial" w:cs="Arial"/>
        </w:rPr>
        <w:t>Para el pago de la partida Prima por Complemento de Salud, no tuvieron en cuenta el tope establecido por el Decreto 176/008.</w:t>
      </w:r>
    </w:p>
    <w:p w:rsidR="001A5ED8" w:rsidRDefault="001A5ED8" w:rsidP="001A5ED8">
      <w:pPr>
        <w:pStyle w:val="BodyText21"/>
        <w:keepNext/>
        <w:suppressAutoHyphens w:val="0"/>
        <w:spacing w:line="360" w:lineRule="auto"/>
        <w:ind w:left="720"/>
        <w:rPr>
          <w:rFonts w:ascii="Arial" w:hAnsi="Arial" w:cs="Arial"/>
        </w:rPr>
      </w:pPr>
    </w:p>
    <w:p w:rsidR="001A5ED8" w:rsidRDefault="001A5ED8" w:rsidP="001A5ED8">
      <w:pPr>
        <w:pStyle w:val="BodyText21"/>
        <w:keepNext/>
        <w:numPr>
          <w:ilvl w:val="0"/>
          <w:numId w:val="3"/>
        </w:numPr>
        <w:suppressAutoHyphens w:val="0"/>
        <w:spacing w:line="360" w:lineRule="auto"/>
        <w:rPr>
          <w:rFonts w:ascii="Arial" w:hAnsi="Arial" w:cs="Arial"/>
        </w:rPr>
      </w:pPr>
      <w:r>
        <w:rPr>
          <w:rFonts w:ascii="Arial" w:hAnsi="Arial" w:cs="Arial"/>
          <w:b/>
        </w:rPr>
        <w:t>Artículo 4 de la Ley No. 19.122 de 21/08/2013</w:t>
      </w:r>
    </w:p>
    <w:p w:rsidR="001A5ED8" w:rsidRDefault="001A5ED8" w:rsidP="001A5ED8">
      <w:pPr>
        <w:pStyle w:val="BodyText21"/>
        <w:keepNext/>
        <w:suppressAutoHyphens w:val="0"/>
        <w:spacing w:line="360" w:lineRule="auto"/>
        <w:ind w:left="426"/>
        <w:rPr>
          <w:rFonts w:ascii="Arial" w:hAnsi="Arial" w:cs="Arial"/>
        </w:rPr>
      </w:pPr>
      <w:r>
        <w:rPr>
          <w:rFonts w:ascii="Arial" w:hAnsi="Arial" w:cs="Arial"/>
        </w:rPr>
        <w:t xml:space="preserve">En el ejercicio 2015, se contrataron 5 personas </w:t>
      </w:r>
      <w:proofErr w:type="spellStart"/>
      <w:r>
        <w:rPr>
          <w:rFonts w:ascii="Arial" w:hAnsi="Arial" w:cs="Arial"/>
        </w:rPr>
        <w:t>afrodescendientes</w:t>
      </w:r>
      <w:proofErr w:type="spellEnd"/>
      <w:r>
        <w:rPr>
          <w:rFonts w:ascii="Arial" w:hAnsi="Arial" w:cs="Arial"/>
        </w:rPr>
        <w:t>, con lo que no se alcanzó  el 8% del total de las vacantes.</w:t>
      </w:r>
    </w:p>
    <w:p w:rsidR="001A5ED8" w:rsidRDefault="001A5ED8" w:rsidP="001A5ED8">
      <w:pPr>
        <w:pStyle w:val="BodyText21"/>
        <w:keepNext/>
        <w:suppressAutoHyphens w:val="0"/>
        <w:spacing w:line="360" w:lineRule="auto"/>
        <w:ind w:left="426"/>
        <w:rPr>
          <w:rFonts w:ascii="Arial" w:hAnsi="Arial" w:cs="Arial"/>
        </w:rPr>
      </w:pPr>
    </w:p>
    <w:p w:rsidR="001A5ED8" w:rsidRDefault="001A5ED8" w:rsidP="001A5ED8">
      <w:pPr>
        <w:pStyle w:val="BodyText21"/>
        <w:keepNext/>
        <w:numPr>
          <w:ilvl w:val="0"/>
          <w:numId w:val="3"/>
        </w:numPr>
        <w:suppressAutoHyphens w:val="0"/>
        <w:spacing w:line="360" w:lineRule="auto"/>
        <w:rPr>
          <w:rFonts w:ascii="Arial" w:hAnsi="Arial" w:cs="Arial"/>
        </w:rPr>
      </w:pPr>
      <w:r>
        <w:rPr>
          <w:rFonts w:ascii="Arial" w:hAnsi="Arial" w:cs="Arial"/>
          <w:b/>
        </w:rPr>
        <w:t>Artículo 49 de la Ley No. 18.651 de 19/02/2010</w:t>
      </w:r>
    </w:p>
    <w:p w:rsidR="001A5ED8" w:rsidRDefault="001A5ED8" w:rsidP="001A5ED8">
      <w:pPr>
        <w:pStyle w:val="BodyText21"/>
        <w:keepNext/>
        <w:suppressAutoHyphens w:val="0"/>
        <w:spacing w:line="360" w:lineRule="auto"/>
        <w:ind w:left="360"/>
        <w:rPr>
          <w:rFonts w:ascii="Arial" w:hAnsi="Arial" w:cs="Arial"/>
        </w:rPr>
      </w:pPr>
      <w:r>
        <w:rPr>
          <w:rFonts w:ascii="Arial" w:hAnsi="Arial" w:cs="Arial"/>
        </w:rPr>
        <w:t>En el ejercicio 2015 se contrataron  2 personas con discapacidad, con lo que no se llega al  4% del total de las  vacantes.</w:t>
      </w:r>
    </w:p>
    <w:p w:rsidR="001A5ED8" w:rsidRDefault="001A5ED8" w:rsidP="001A5ED8">
      <w:pPr>
        <w:pStyle w:val="BodyText21"/>
        <w:keepNext/>
        <w:suppressAutoHyphens w:val="0"/>
        <w:spacing w:line="360" w:lineRule="auto"/>
        <w:ind w:left="360"/>
        <w:rPr>
          <w:rFonts w:ascii="Arial" w:hAnsi="Arial" w:cs="Arial"/>
        </w:rPr>
      </w:pPr>
    </w:p>
    <w:p w:rsidR="001A5ED8" w:rsidRDefault="001A5ED8" w:rsidP="001A5ED8">
      <w:pPr>
        <w:pStyle w:val="BodyText21"/>
        <w:keepNext/>
        <w:numPr>
          <w:ilvl w:val="0"/>
          <w:numId w:val="3"/>
        </w:numPr>
        <w:suppressAutoHyphens w:val="0"/>
        <w:spacing w:line="360" w:lineRule="auto"/>
        <w:rPr>
          <w:rFonts w:ascii="Arial" w:hAnsi="Arial" w:cs="Arial"/>
          <w:color w:val="000000"/>
        </w:rPr>
      </w:pPr>
      <w:r>
        <w:rPr>
          <w:rFonts w:ascii="Arial" w:hAnsi="Arial" w:cs="Arial"/>
          <w:b/>
        </w:rPr>
        <w:t>Artículo 3 del Decreto 159/002 de 30/04/2002</w:t>
      </w:r>
    </w:p>
    <w:p w:rsidR="001A5ED8" w:rsidRDefault="001A5ED8" w:rsidP="001A5ED8">
      <w:pPr>
        <w:pStyle w:val="BodyText21"/>
        <w:keepNext/>
        <w:suppressAutoHyphens w:val="0"/>
        <w:spacing w:line="360" w:lineRule="auto"/>
        <w:ind w:left="360"/>
        <w:rPr>
          <w:rFonts w:ascii="Arial" w:hAnsi="Arial" w:cs="Arial"/>
        </w:rPr>
      </w:pPr>
      <w:r>
        <w:rPr>
          <w:rFonts w:ascii="Arial" w:hAnsi="Arial" w:cs="Arial"/>
          <w:color w:val="000000"/>
        </w:rPr>
        <w:t xml:space="preserve">Se constata que en el Organismo </w:t>
      </w:r>
      <w:r>
        <w:rPr>
          <w:rFonts w:ascii="Tahoma" w:hAnsi="Tahoma" w:cs="Tahoma"/>
          <w:color w:val="000000"/>
        </w:rPr>
        <w:t>no se dicta resolución fundada del Directorio para el pago de las horas extras, contraviniendo la mencionada norma</w:t>
      </w:r>
      <w:r w:rsidRPr="001A5ED8">
        <w:rPr>
          <w:rFonts w:ascii="Tahoma" w:hAnsi="Tahoma" w:cs="Tahoma"/>
          <w:color w:val="000000"/>
        </w:rPr>
        <w:t>.</w:t>
      </w:r>
    </w:p>
    <w:p w:rsidR="001A5ED8" w:rsidRDefault="001A5ED8" w:rsidP="001A5ED8">
      <w:pPr>
        <w:pStyle w:val="Textoindependiente"/>
        <w:keepNext/>
        <w:widowControl w:val="0"/>
        <w:shd w:val="clear" w:color="auto" w:fill="FFFFFF"/>
        <w:suppressAutoHyphens w:val="0"/>
        <w:jc w:val="right"/>
        <w:rPr>
          <w:rFonts w:ascii="Arial" w:hAnsi="Arial" w:cs="Arial"/>
          <w:lang w:val="es-UY"/>
        </w:rPr>
      </w:pPr>
    </w:p>
    <w:p w:rsidR="001A5ED8" w:rsidRDefault="001A5ED8" w:rsidP="001A5ED8">
      <w:pPr>
        <w:pStyle w:val="Textoindependiente22"/>
        <w:keepNext/>
        <w:suppressAutoHyphens w:val="0"/>
        <w:spacing w:line="360" w:lineRule="auto"/>
        <w:rPr>
          <w:bCs/>
          <w:iCs/>
        </w:rPr>
      </w:pPr>
      <w:r>
        <w:rPr>
          <w:rFonts w:ascii="Arial" w:hAnsi="Arial" w:cs="Arial"/>
          <w:b/>
        </w:rPr>
        <w:t>Incumplimientos relacionados con el proceso del gasto:</w:t>
      </w:r>
    </w:p>
    <w:p w:rsidR="001A5ED8" w:rsidRDefault="001A5ED8" w:rsidP="001A5ED8">
      <w:pPr>
        <w:keepNext/>
        <w:widowControl w:val="0"/>
        <w:tabs>
          <w:tab w:val="left" w:pos="0"/>
          <w:tab w:val="center" w:pos="4252"/>
          <w:tab w:val="right" w:pos="8504"/>
        </w:tabs>
        <w:spacing w:line="360" w:lineRule="auto"/>
        <w:jc w:val="both"/>
        <w:rPr>
          <w:rFonts w:ascii="Segoe UI" w:hAnsi="Segoe UI" w:cs="Segoe UI"/>
        </w:rPr>
      </w:pPr>
      <w:r>
        <w:rPr>
          <w:bCs/>
          <w:iCs/>
        </w:rPr>
        <w:t>Durante el Ejercicio, los Contadores Delegados observaron gastos por incumplimiento de los Artículos 15, 33, 43 y 111 del TOCAF y Literal B) del Artículo 211 de la Constitución de la República, los que fueron reiterados por el Ordenador competente.</w:t>
      </w:r>
    </w:p>
    <w:p w:rsidR="001A5ED8" w:rsidRDefault="001A5ED8" w:rsidP="001A5ED8">
      <w:pPr>
        <w:pStyle w:val="Textoindependiente"/>
        <w:keepNext/>
        <w:widowControl w:val="0"/>
        <w:shd w:val="clear" w:color="auto" w:fill="FFFFFF"/>
        <w:suppressAutoHyphens w:val="0"/>
        <w:jc w:val="right"/>
        <w:rPr>
          <w:rFonts w:ascii="Arial" w:hAnsi="Arial" w:cs="Arial"/>
        </w:rPr>
      </w:pPr>
      <w:r>
        <w:rPr>
          <w:rFonts w:ascii="Arial" w:hAnsi="Arial" w:cs="Arial"/>
        </w:rPr>
        <w:t>Montevideo, 27 de diciembre de 2016</w:t>
      </w:r>
    </w:p>
    <w:p w:rsidR="001A5ED8" w:rsidRDefault="001A5ED8" w:rsidP="001A5ED8">
      <w:pPr>
        <w:pStyle w:val="Textoindependiente"/>
        <w:keepNext/>
        <w:widowControl w:val="0"/>
        <w:shd w:val="clear" w:color="auto" w:fill="FFFFFF"/>
        <w:suppressAutoHyphens w:val="0"/>
        <w:jc w:val="right"/>
        <w:rPr>
          <w:rFonts w:ascii="Arial" w:hAnsi="Arial" w:cs="Arial"/>
        </w:rPr>
      </w:pPr>
    </w:p>
    <w:p w:rsidR="001A5ED8" w:rsidRDefault="001A5ED8" w:rsidP="001A5ED8">
      <w:pPr>
        <w:pStyle w:val="Textoindependiente"/>
        <w:keepNext/>
        <w:widowControl w:val="0"/>
        <w:shd w:val="clear" w:color="auto" w:fill="FFFFFF"/>
        <w:suppressAutoHyphens w:val="0"/>
        <w:ind w:hanging="567"/>
        <w:jc w:val="left"/>
        <w:rPr>
          <w:lang w:val="es-ES_tradnl"/>
        </w:rPr>
      </w:pPr>
      <w:proofErr w:type="gramStart"/>
      <w:r>
        <w:rPr>
          <w:rFonts w:ascii="Arial" w:hAnsi="Arial" w:cs="Arial"/>
        </w:rPr>
        <w:t>dc</w:t>
      </w:r>
      <w:proofErr w:type="gramEnd"/>
    </w:p>
    <w:p w:rsidR="001A5ED8" w:rsidRDefault="001A5ED8" w:rsidP="001A5ED8">
      <w:pPr>
        <w:keepNext/>
        <w:widowControl w:val="0"/>
        <w:tabs>
          <w:tab w:val="left" w:pos="284"/>
          <w:tab w:val="left" w:pos="360"/>
        </w:tabs>
        <w:spacing w:line="360" w:lineRule="auto"/>
        <w:ind w:hanging="567"/>
        <w:jc w:val="both"/>
      </w:pPr>
    </w:p>
    <w:p w:rsidR="001A5ED8" w:rsidRDefault="001A5ED8" w:rsidP="001A5ED8">
      <w:pPr>
        <w:keepNext/>
        <w:widowControl w:val="0"/>
        <w:tabs>
          <w:tab w:val="left" w:pos="284"/>
          <w:tab w:val="left" w:pos="360"/>
        </w:tabs>
        <w:spacing w:line="360" w:lineRule="auto"/>
        <w:ind w:hanging="567"/>
        <w:jc w:val="both"/>
      </w:pPr>
    </w:p>
    <w:p w:rsidR="001A5ED8" w:rsidRDefault="001A5ED8" w:rsidP="001A5ED8">
      <w:pPr>
        <w:keepNext/>
        <w:widowControl w:val="0"/>
        <w:tabs>
          <w:tab w:val="left" w:pos="284"/>
          <w:tab w:val="left" w:pos="360"/>
        </w:tabs>
        <w:spacing w:line="360" w:lineRule="auto"/>
        <w:ind w:hanging="567"/>
        <w:jc w:val="both"/>
      </w:pPr>
    </w:p>
    <w:p w:rsidR="001A5ED8" w:rsidRDefault="001A5ED8" w:rsidP="001A5ED8">
      <w:pPr>
        <w:keepNext/>
        <w:widowControl w:val="0"/>
        <w:tabs>
          <w:tab w:val="left" w:pos="284"/>
          <w:tab w:val="left" w:pos="360"/>
        </w:tabs>
        <w:spacing w:line="360" w:lineRule="auto"/>
        <w:ind w:hanging="567"/>
        <w:jc w:val="both"/>
      </w:pPr>
    </w:p>
    <w:p w:rsidR="001A5ED8" w:rsidRDefault="001A5ED8" w:rsidP="001A5ED8">
      <w:pPr>
        <w:pStyle w:val="Ttulo5"/>
        <w:widowControl w:val="0"/>
        <w:tabs>
          <w:tab w:val="clear" w:pos="0"/>
        </w:tabs>
        <w:suppressAutoHyphens w:val="0"/>
        <w:ind w:left="0"/>
        <w:jc w:val="center"/>
      </w:pPr>
      <w:r>
        <w:rPr>
          <w:lang w:val="es-ES_tradnl"/>
        </w:rPr>
        <w:t>INFORME A LA ADMINISTRACIÓN</w:t>
      </w:r>
    </w:p>
    <w:p w:rsidR="001A5ED8" w:rsidRDefault="001A5ED8" w:rsidP="001A5ED8">
      <w:pPr>
        <w:pStyle w:val="Textoindependiente"/>
        <w:keepNext/>
        <w:widowControl w:val="0"/>
        <w:suppressAutoHyphens w:val="0"/>
        <w:rPr>
          <w:rFonts w:ascii="Arial" w:hAnsi="Arial" w:cs="Arial"/>
        </w:rPr>
      </w:pPr>
    </w:p>
    <w:p w:rsidR="001A5ED8" w:rsidRDefault="001A5ED8" w:rsidP="001A5ED8">
      <w:pPr>
        <w:pStyle w:val="Textoindependiente"/>
        <w:keepNext/>
        <w:widowControl w:val="0"/>
        <w:suppressAutoHyphens w:val="0"/>
        <w:rPr>
          <w:rFonts w:ascii="Arial" w:hAnsi="Arial" w:cs="Arial"/>
        </w:rPr>
      </w:pPr>
      <w:r>
        <w:rPr>
          <w:rFonts w:ascii="Arial" w:hAnsi="Arial" w:cs="Arial"/>
        </w:rPr>
        <w:t>El Tribunal de Cuentas ha examinado el Estado de Ejecución Presupuestal de la Administración Nacional de Correos correspondiente al período  01/01/2015 al  31/12/2015 y ha emitido su Dictamen.</w:t>
      </w:r>
    </w:p>
    <w:p w:rsidR="001A5ED8" w:rsidRDefault="001A5ED8" w:rsidP="001A5ED8">
      <w:pPr>
        <w:pStyle w:val="Sangradetextonormal"/>
        <w:keepNext/>
        <w:tabs>
          <w:tab w:val="left" w:pos="0"/>
        </w:tabs>
        <w:suppressAutoHyphens w:val="0"/>
        <w:spacing w:line="360" w:lineRule="auto"/>
        <w:rPr>
          <w:rFonts w:ascii="Arial" w:hAnsi="Arial" w:cs="Arial"/>
          <w:spacing w:val="0"/>
          <w:lang w:val="es-ES"/>
        </w:rPr>
      </w:pPr>
      <w:r>
        <w:rPr>
          <w:rFonts w:ascii="Arial" w:hAnsi="Arial" w:cs="Arial"/>
          <w:spacing w:val="0"/>
          <w:lang w:val="es-ES"/>
        </w:rPr>
        <w:t>Este informe incluye comentarios que se ha entendido conveniente exponer, relacionados a la situación de determinados capítulos y rubros del estado examinado y a disposiciones legales vigentes.</w:t>
      </w:r>
    </w:p>
    <w:p w:rsidR="001A5ED8" w:rsidRDefault="001A5ED8" w:rsidP="001A5ED8">
      <w:pPr>
        <w:pStyle w:val="Sangradetextonormal"/>
        <w:keepNext/>
        <w:tabs>
          <w:tab w:val="left" w:pos="0"/>
        </w:tabs>
        <w:suppressAutoHyphens w:val="0"/>
        <w:spacing w:line="360" w:lineRule="auto"/>
        <w:rPr>
          <w:rFonts w:ascii="Arial" w:hAnsi="Arial" w:cs="Arial"/>
          <w:spacing w:val="0"/>
          <w:lang w:val="es-ES"/>
        </w:rPr>
      </w:pPr>
      <w:r>
        <w:rPr>
          <w:rFonts w:ascii="Arial" w:hAnsi="Arial" w:cs="Arial"/>
          <w:spacing w:val="0"/>
          <w:lang w:val="es-ES"/>
        </w:rPr>
        <w:t xml:space="preserve">También se agregan las principales recomendaciones que </w:t>
      </w:r>
      <w:proofErr w:type="gramStart"/>
      <w:r>
        <w:rPr>
          <w:rFonts w:ascii="Arial" w:hAnsi="Arial" w:cs="Arial"/>
          <w:spacing w:val="0"/>
          <w:lang w:val="es-ES"/>
        </w:rPr>
        <w:t>deberá</w:t>
      </w:r>
      <w:proofErr w:type="gramEnd"/>
      <w:r>
        <w:rPr>
          <w:rFonts w:ascii="Arial" w:hAnsi="Arial" w:cs="Arial"/>
          <w:spacing w:val="0"/>
          <w:lang w:val="es-ES"/>
        </w:rPr>
        <w:t xml:space="preserve"> atender el Organismo y una evaluación de las recomendaciones efectuadas en el Ejercicio anterior.</w:t>
      </w:r>
    </w:p>
    <w:p w:rsidR="001A5ED8" w:rsidRDefault="001A5ED8" w:rsidP="001A5ED8">
      <w:pPr>
        <w:pStyle w:val="Sangradetextonormal"/>
        <w:keepNext/>
        <w:tabs>
          <w:tab w:val="left" w:pos="0"/>
        </w:tabs>
        <w:suppressAutoHyphens w:val="0"/>
        <w:spacing w:line="360" w:lineRule="auto"/>
        <w:rPr>
          <w:rFonts w:ascii="Arial" w:hAnsi="Arial" w:cs="Arial"/>
          <w:spacing w:val="0"/>
          <w:lang w:val="es-ES"/>
        </w:rPr>
      </w:pPr>
    </w:p>
    <w:p w:rsidR="001A5ED8" w:rsidRDefault="001A5ED8" w:rsidP="001A5ED8">
      <w:pPr>
        <w:pStyle w:val="Sangradetextonormal"/>
        <w:keepNext/>
        <w:numPr>
          <w:ilvl w:val="0"/>
          <w:numId w:val="6"/>
        </w:numPr>
        <w:tabs>
          <w:tab w:val="left" w:pos="0"/>
          <w:tab w:val="left" w:pos="360"/>
        </w:tabs>
        <w:suppressAutoHyphens w:val="0"/>
        <w:spacing w:line="360" w:lineRule="auto"/>
        <w:ind w:hanging="720"/>
        <w:rPr>
          <w:rFonts w:ascii="Arial" w:hAnsi="Arial" w:cs="Arial"/>
          <w:spacing w:val="0"/>
          <w:lang w:val="es-ES"/>
        </w:rPr>
      </w:pPr>
      <w:r>
        <w:rPr>
          <w:rFonts w:ascii="Arial" w:hAnsi="Arial" w:cs="Arial"/>
          <w:b/>
          <w:spacing w:val="0"/>
          <w:lang w:val="es-ES"/>
        </w:rPr>
        <w:t>Aprobación y presentación del Estado de Ejecución Presupuestal</w:t>
      </w:r>
    </w:p>
    <w:p w:rsidR="001A5ED8" w:rsidRDefault="001A5ED8" w:rsidP="001A5ED8">
      <w:pPr>
        <w:pStyle w:val="Sangradetextonormal"/>
        <w:keepNext/>
        <w:suppressAutoHyphens w:val="0"/>
        <w:spacing w:line="360" w:lineRule="auto"/>
        <w:rPr>
          <w:rFonts w:ascii="Arial" w:hAnsi="Arial" w:cs="Arial"/>
          <w:spacing w:val="0"/>
          <w:lang w:val="es-ES"/>
        </w:rPr>
      </w:pPr>
      <w:r>
        <w:rPr>
          <w:rFonts w:ascii="Arial" w:hAnsi="Arial" w:cs="Arial"/>
          <w:spacing w:val="0"/>
          <w:lang w:val="es-ES"/>
        </w:rPr>
        <w:t>El mencionado Estado de Ejecución fue aprobado por Resolución de Directorio N° 153/2016 de fecha 25/05/2016 y remitido al Tribunal de Cuentas el 31/05/2016.</w:t>
      </w:r>
    </w:p>
    <w:p w:rsidR="001A5ED8" w:rsidRDefault="001A5ED8" w:rsidP="001A5ED8">
      <w:pPr>
        <w:pStyle w:val="Sangradetextonormal"/>
        <w:keepNext/>
        <w:suppressAutoHyphens w:val="0"/>
        <w:spacing w:line="360" w:lineRule="auto"/>
        <w:rPr>
          <w:rFonts w:ascii="Arial" w:hAnsi="Arial" w:cs="Arial"/>
          <w:b/>
          <w:spacing w:val="0"/>
          <w:lang w:val="es-ES"/>
        </w:rPr>
      </w:pPr>
      <w:r>
        <w:rPr>
          <w:rFonts w:ascii="Arial" w:hAnsi="Arial" w:cs="Arial"/>
          <w:spacing w:val="0"/>
          <w:lang w:val="es-ES"/>
        </w:rPr>
        <w:t xml:space="preserve"> </w:t>
      </w:r>
    </w:p>
    <w:p w:rsidR="001A5ED8" w:rsidRDefault="001A5ED8" w:rsidP="001A5ED8">
      <w:pPr>
        <w:pStyle w:val="Sangradetextonormal"/>
        <w:keepNext/>
        <w:numPr>
          <w:ilvl w:val="0"/>
          <w:numId w:val="6"/>
        </w:numPr>
        <w:tabs>
          <w:tab w:val="left" w:pos="0"/>
          <w:tab w:val="left" w:pos="360"/>
        </w:tabs>
        <w:suppressAutoHyphens w:val="0"/>
        <w:spacing w:line="360" w:lineRule="auto"/>
        <w:ind w:hanging="720"/>
        <w:rPr>
          <w:rFonts w:ascii="Arial" w:hAnsi="Arial" w:cs="Arial"/>
          <w:b/>
        </w:rPr>
      </w:pPr>
      <w:r>
        <w:rPr>
          <w:rFonts w:ascii="Arial" w:hAnsi="Arial" w:cs="Arial"/>
          <w:b/>
          <w:spacing w:val="0"/>
          <w:lang w:val="es-ES"/>
        </w:rPr>
        <w:t>Situaciones constatadas</w:t>
      </w:r>
    </w:p>
    <w:p w:rsidR="001A5ED8" w:rsidRDefault="001A5ED8" w:rsidP="001A5ED8">
      <w:pPr>
        <w:pStyle w:val="Bodyby"/>
        <w:keepNext/>
        <w:widowControl w:val="0"/>
        <w:suppressAutoHyphens w:val="0"/>
        <w:spacing w:after="120" w:line="360" w:lineRule="auto"/>
        <w:jc w:val="both"/>
      </w:pPr>
      <w:r>
        <w:rPr>
          <w:rFonts w:ascii="Arial" w:hAnsi="Arial" w:cs="Arial"/>
          <w:b/>
        </w:rPr>
        <w:t>2.1</w:t>
      </w:r>
      <w:r>
        <w:rPr>
          <w:rFonts w:ascii="Arial" w:hAnsi="Arial" w:cs="Arial"/>
        </w:rPr>
        <w:t xml:space="preserve"> </w:t>
      </w:r>
      <w:r>
        <w:rPr>
          <w:rFonts w:ascii="Arial" w:hAnsi="Arial" w:cs="Arial"/>
          <w:sz w:val="24"/>
          <w:szCs w:val="24"/>
        </w:rPr>
        <w:t>En el Ejercicio 2015 se efectuaron contrataciones directas que superan el tope admitido por el TOCAF para la compra directa ampliada según el siguiente detalle: servicios de transporte por $ 8:855.619,86, limpieza por                          $ 11:843.559,35, alquiler de vehículos por $ 5:379.922,76, mobiliario por              $  10:312.714,25 y equipos informáticos por  $ 5:467.774,19.</w:t>
      </w:r>
    </w:p>
    <w:p w:rsidR="001A5ED8" w:rsidRDefault="001A5ED8" w:rsidP="001A5ED8">
      <w:pPr>
        <w:keepNext/>
        <w:widowControl w:val="0"/>
        <w:spacing w:line="360" w:lineRule="auto"/>
        <w:jc w:val="both"/>
        <w:rPr>
          <w:b/>
        </w:rPr>
      </w:pPr>
      <w:r>
        <w:t>Al haber superado en estos casos el límite de la compra directa ampliada, se debieron utilizar los procedimientos correspondientes, de acuerdo con lo establecido en el Artículo 33 del TOCAF.</w:t>
      </w:r>
    </w:p>
    <w:p w:rsidR="001A5ED8" w:rsidRDefault="001A5ED8" w:rsidP="001A5ED8">
      <w:pPr>
        <w:pStyle w:val="BodyText21"/>
        <w:keepNext/>
        <w:suppressAutoHyphens w:val="0"/>
        <w:spacing w:line="360" w:lineRule="auto"/>
        <w:rPr>
          <w:rFonts w:ascii="Arial" w:hAnsi="Arial" w:cs="Arial"/>
          <w:b/>
        </w:rPr>
      </w:pPr>
    </w:p>
    <w:p w:rsidR="001A5ED8" w:rsidRDefault="001A5ED8" w:rsidP="001A5ED8">
      <w:pPr>
        <w:pStyle w:val="BodyText21"/>
        <w:keepNext/>
        <w:suppressAutoHyphens w:val="0"/>
        <w:spacing w:line="360" w:lineRule="auto"/>
        <w:rPr>
          <w:rFonts w:ascii="Arial" w:hAnsi="Arial" w:cs="Arial"/>
          <w:b/>
        </w:rPr>
      </w:pPr>
    </w:p>
    <w:p w:rsidR="001A5ED8" w:rsidRDefault="001A5ED8" w:rsidP="001A5ED8">
      <w:pPr>
        <w:pStyle w:val="BodyText21"/>
        <w:keepNext/>
        <w:suppressAutoHyphens w:val="0"/>
        <w:spacing w:line="360" w:lineRule="auto"/>
        <w:rPr>
          <w:rFonts w:ascii="Arial" w:hAnsi="Arial" w:cs="Arial"/>
        </w:rPr>
      </w:pPr>
      <w:r>
        <w:rPr>
          <w:rFonts w:ascii="Arial" w:hAnsi="Arial" w:cs="Arial"/>
          <w:b/>
        </w:rPr>
        <w:t>2.2</w:t>
      </w:r>
      <w:r>
        <w:rPr>
          <w:rFonts w:ascii="Arial" w:hAnsi="Arial" w:cs="Arial"/>
        </w:rPr>
        <w:t xml:space="preserve"> </w:t>
      </w:r>
      <w:r>
        <w:rPr>
          <w:rFonts w:ascii="Arial" w:hAnsi="Arial" w:cs="Arial"/>
          <w:lang w:val="es-ES"/>
        </w:rPr>
        <w:t xml:space="preserve">Se constató la </w:t>
      </w:r>
      <w:r>
        <w:rPr>
          <w:rFonts w:ascii="Arial" w:hAnsi="Arial" w:cs="Arial"/>
        </w:rPr>
        <w:t xml:space="preserve">contratación de  arrendamientos de servicios con profesionales </w:t>
      </w:r>
      <w:proofErr w:type="gramStart"/>
      <w:r>
        <w:rPr>
          <w:rFonts w:ascii="Arial" w:hAnsi="Arial" w:cs="Arial"/>
        </w:rPr>
        <w:t>y</w:t>
      </w:r>
      <w:proofErr w:type="gramEnd"/>
      <w:r>
        <w:rPr>
          <w:rFonts w:ascii="Arial" w:hAnsi="Arial" w:cs="Arial"/>
        </w:rPr>
        <w:t xml:space="preserve"> personas físicas  en forma directa, cuando los montos involucrados superan el tope de la compra directa ampliada.</w:t>
      </w:r>
    </w:p>
    <w:p w:rsidR="001A5ED8" w:rsidRDefault="001A5ED8" w:rsidP="001A5ED8">
      <w:pPr>
        <w:pStyle w:val="Sangradetextonormal"/>
        <w:keepNext/>
        <w:suppressAutoHyphens w:val="0"/>
        <w:spacing w:line="360" w:lineRule="auto"/>
        <w:rPr>
          <w:rFonts w:ascii="Arial" w:hAnsi="Arial" w:cs="Arial"/>
        </w:rPr>
      </w:pPr>
      <w:r>
        <w:rPr>
          <w:rFonts w:ascii="Arial" w:hAnsi="Arial" w:cs="Arial"/>
        </w:rPr>
        <w:t>Para dichos contratos no se realizó llamado a interesados ni se realizó la correspondiente publicación de la convocatoria en el sitio web de Compras y Contrataciones del Estado.</w:t>
      </w:r>
    </w:p>
    <w:p w:rsidR="001A5ED8" w:rsidRDefault="001A5ED8" w:rsidP="001A5ED8">
      <w:pPr>
        <w:pStyle w:val="Sangradetextonormal"/>
        <w:keepNext/>
        <w:suppressAutoHyphens w:val="0"/>
        <w:spacing w:line="360" w:lineRule="auto"/>
        <w:rPr>
          <w:rFonts w:ascii="Arial" w:hAnsi="Arial" w:cs="Arial"/>
        </w:rPr>
      </w:pPr>
      <w:r>
        <w:rPr>
          <w:rFonts w:ascii="Arial" w:hAnsi="Arial" w:cs="Arial"/>
        </w:rPr>
        <w:t>Por lo cual no se tomaron las  medidas necesarias para contratar por grupo de servicios para facilitar la presentación del mayor número de oferentes.</w:t>
      </w:r>
    </w:p>
    <w:p w:rsidR="001A5ED8" w:rsidRDefault="001A5ED8" w:rsidP="001A5ED8">
      <w:pPr>
        <w:pStyle w:val="Sangradetextonormal"/>
        <w:keepNext/>
        <w:suppressAutoHyphens w:val="0"/>
        <w:spacing w:line="360" w:lineRule="auto"/>
        <w:rPr>
          <w:rFonts w:ascii="Arial" w:hAnsi="Arial" w:cs="Arial"/>
        </w:rPr>
      </w:pPr>
      <w:r>
        <w:rPr>
          <w:rFonts w:ascii="Arial" w:hAnsi="Arial" w:cs="Arial"/>
        </w:rPr>
        <w:t>Tampoco se dictaron Resoluciones de Directorio para adjudicar las contrataciones mencionadas.</w:t>
      </w:r>
    </w:p>
    <w:p w:rsidR="001A5ED8" w:rsidRDefault="001A5ED8" w:rsidP="001A5ED8">
      <w:pPr>
        <w:pStyle w:val="Sangradetextonormal"/>
        <w:keepNext/>
        <w:suppressAutoHyphens w:val="0"/>
        <w:spacing w:line="360" w:lineRule="auto"/>
        <w:rPr>
          <w:rFonts w:ascii="Arial" w:hAnsi="Arial" w:cs="Arial"/>
        </w:rPr>
      </w:pPr>
      <w:r w:rsidRPr="008B5DD1">
        <w:rPr>
          <w:rFonts w:ascii="Arial" w:hAnsi="Arial" w:cs="Arial"/>
        </w:rPr>
        <w:t xml:space="preserve">En los mencionados contratos se constata la existencia de una cláusula en la que se estipula que de no haber rescisión de los mismos, se prorrogarán   </w:t>
      </w:r>
      <w:r>
        <w:rPr>
          <w:rFonts w:ascii="Arial" w:hAnsi="Arial" w:cs="Arial"/>
        </w:rPr>
        <w:t xml:space="preserve">               automáticamente.</w:t>
      </w:r>
    </w:p>
    <w:p w:rsidR="001A5ED8" w:rsidRPr="008B5DD1" w:rsidRDefault="001A5ED8" w:rsidP="001A5ED8">
      <w:pPr>
        <w:pStyle w:val="Sangradetextonormal"/>
        <w:keepNext/>
        <w:suppressAutoHyphens w:val="0"/>
        <w:spacing w:line="360" w:lineRule="auto"/>
        <w:rPr>
          <w:rFonts w:ascii="Arial" w:hAnsi="Arial" w:cs="Arial"/>
        </w:rPr>
      </w:pPr>
    </w:p>
    <w:p w:rsidR="001A5ED8" w:rsidRDefault="001A5ED8" w:rsidP="001A5ED8">
      <w:pPr>
        <w:pStyle w:val="Sangradetextonormal"/>
        <w:keepNext/>
        <w:suppressAutoHyphens w:val="0"/>
        <w:spacing w:line="360" w:lineRule="auto"/>
        <w:rPr>
          <w:rFonts w:ascii="Arial" w:hAnsi="Arial" w:cs="Arial"/>
        </w:rPr>
      </w:pPr>
      <w:r w:rsidRPr="008B5DD1">
        <w:rPr>
          <w:rFonts w:ascii="Arial" w:hAnsi="Arial" w:cs="Arial"/>
          <w:b/>
        </w:rPr>
        <w:t>2.3</w:t>
      </w:r>
      <w:r w:rsidRPr="008B5DD1">
        <w:rPr>
          <w:rFonts w:ascii="Arial" w:hAnsi="Arial" w:cs="Arial"/>
        </w:rPr>
        <w:t xml:space="preserve"> El Organismo paga una Prima por Complemento de Salud a sus funcionarios, sin tener en cuenta el tope establecido en el Decreto 176/008 de 25/03/2008.</w:t>
      </w:r>
    </w:p>
    <w:p w:rsidR="001A5ED8" w:rsidRPr="008B5DD1" w:rsidRDefault="001A5ED8" w:rsidP="001A5ED8">
      <w:pPr>
        <w:pStyle w:val="Sangradetextonormal"/>
        <w:keepNext/>
        <w:suppressAutoHyphens w:val="0"/>
        <w:spacing w:line="360" w:lineRule="auto"/>
        <w:rPr>
          <w:rFonts w:ascii="Arial" w:hAnsi="Arial" w:cs="Arial"/>
        </w:rPr>
      </w:pPr>
    </w:p>
    <w:p w:rsidR="001A5ED8" w:rsidRPr="008B5DD1" w:rsidRDefault="001A5ED8" w:rsidP="001A5ED8">
      <w:pPr>
        <w:keepNext/>
        <w:widowControl w:val="0"/>
        <w:spacing w:line="360" w:lineRule="auto"/>
        <w:jc w:val="both"/>
        <w:rPr>
          <w:b/>
        </w:rPr>
      </w:pPr>
      <w:r w:rsidRPr="008B5DD1">
        <w:rPr>
          <w:b/>
        </w:rPr>
        <w:t xml:space="preserve">2.4 </w:t>
      </w:r>
      <w:r w:rsidRPr="008B5DD1">
        <w:t>E</w:t>
      </w:r>
      <w:r>
        <w:t>n el Ej</w:t>
      </w:r>
      <w:r w:rsidRPr="008B5DD1">
        <w:t xml:space="preserve">ercicio </w:t>
      </w:r>
      <w:r>
        <w:t>2015</w:t>
      </w:r>
      <w:r w:rsidRPr="008B5DD1">
        <w:t>, se contrataron 5 personas afrodescendientes de un total de 177 nuevos contratos en régimen de función pública, por lo cual no se llega al porcentaje establecido</w:t>
      </w:r>
      <w:r>
        <w:t xml:space="preserve"> por el Artículo 4 de la Ley N°</w:t>
      </w:r>
      <w:r w:rsidRPr="008B5DD1">
        <w:t xml:space="preserve"> 19.122.</w:t>
      </w:r>
    </w:p>
    <w:p w:rsidR="001A5ED8" w:rsidRPr="008B5DD1" w:rsidRDefault="001A5ED8" w:rsidP="001A5ED8">
      <w:pPr>
        <w:keepNext/>
        <w:widowControl w:val="0"/>
        <w:spacing w:line="360" w:lineRule="auto"/>
        <w:rPr>
          <w:b/>
        </w:rPr>
      </w:pPr>
      <w:r w:rsidRPr="008B5DD1">
        <w:rPr>
          <w:b/>
        </w:rPr>
        <w:t>2.5</w:t>
      </w:r>
      <w:r w:rsidRPr="008B5DD1">
        <w:t xml:space="preserve"> En el Ejercicio 2015, ingresaron  2  personas con discapacidad, con lo cual no se alcanza el porcentaje establecido en la Ley 18.651.</w:t>
      </w:r>
    </w:p>
    <w:p w:rsidR="001A5ED8" w:rsidRPr="008B5DD1" w:rsidRDefault="001A5ED8" w:rsidP="001A5ED8">
      <w:pPr>
        <w:pStyle w:val="BodyText21"/>
        <w:keepNext/>
        <w:suppressAutoHyphens w:val="0"/>
        <w:spacing w:line="360" w:lineRule="auto"/>
        <w:rPr>
          <w:rFonts w:ascii="Arial" w:hAnsi="Arial" w:cs="Arial"/>
          <w:b/>
        </w:rPr>
      </w:pPr>
      <w:r w:rsidRPr="008B5DD1">
        <w:rPr>
          <w:rFonts w:ascii="Arial" w:hAnsi="Arial" w:cs="Arial"/>
          <w:b/>
        </w:rPr>
        <w:t xml:space="preserve">2.6 </w:t>
      </w:r>
      <w:r w:rsidRPr="008B5DD1">
        <w:rPr>
          <w:rFonts w:ascii="Arial" w:hAnsi="Arial" w:cs="Arial"/>
        </w:rPr>
        <w:t>En relación al</w:t>
      </w:r>
      <w:r w:rsidRPr="008B5DD1">
        <w:rPr>
          <w:rFonts w:ascii="Arial" w:hAnsi="Arial" w:cs="Arial"/>
          <w:b/>
        </w:rPr>
        <w:t xml:space="preserve"> </w:t>
      </w:r>
      <w:r w:rsidRPr="008B5DD1">
        <w:rPr>
          <w:rFonts w:ascii="Arial" w:hAnsi="Arial" w:cs="Arial"/>
          <w:color w:val="000000"/>
        </w:rPr>
        <w:t>cumplimiento de la normativa relacionada con las  horas extras realizada</w:t>
      </w:r>
      <w:r>
        <w:rPr>
          <w:rFonts w:ascii="Arial" w:hAnsi="Arial" w:cs="Arial"/>
          <w:color w:val="000000"/>
        </w:rPr>
        <w:t>s en el Organismo, no se dicta R</w:t>
      </w:r>
      <w:r w:rsidRPr="008B5DD1">
        <w:rPr>
          <w:rFonts w:ascii="Arial" w:hAnsi="Arial" w:cs="Arial"/>
          <w:color w:val="000000"/>
        </w:rPr>
        <w:t>esolución fundada del directorio para el pago de las mismas.</w:t>
      </w:r>
    </w:p>
    <w:p w:rsidR="001A5ED8" w:rsidRDefault="001A5ED8" w:rsidP="001A5ED8">
      <w:pPr>
        <w:keepNext/>
        <w:widowControl w:val="0"/>
        <w:spacing w:line="360" w:lineRule="auto"/>
        <w:rPr>
          <w:b/>
        </w:rPr>
      </w:pPr>
    </w:p>
    <w:p w:rsidR="00282769" w:rsidRDefault="00282769" w:rsidP="001A5ED8">
      <w:pPr>
        <w:keepNext/>
        <w:widowControl w:val="0"/>
        <w:spacing w:line="360" w:lineRule="auto"/>
        <w:rPr>
          <w:b/>
        </w:rPr>
      </w:pPr>
    </w:p>
    <w:p w:rsidR="00282769" w:rsidRDefault="00282769" w:rsidP="001A5ED8">
      <w:pPr>
        <w:keepNext/>
        <w:widowControl w:val="0"/>
        <w:spacing w:line="360" w:lineRule="auto"/>
        <w:rPr>
          <w:b/>
        </w:rPr>
      </w:pPr>
    </w:p>
    <w:p w:rsidR="001A5ED8" w:rsidRPr="009D4FAE" w:rsidRDefault="001A5ED8" w:rsidP="001A5ED8">
      <w:pPr>
        <w:keepNext/>
        <w:widowControl w:val="0"/>
        <w:numPr>
          <w:ilvl w:val="0"/>
          <w:numId w:val="6"/>
        </w:numPr>
        <w:tabs>
          <w:tab w:val="left" w:pos="426"/>
        </w:tabs>
        <w:spacing w:after="200" w:line="360" w:lineRule="auto"/>
        <w:ind w:hanging="720"/>
        <w:jc w:val="both"/>
      </w:pPr>
      <w:r w:rsidRPr="009D4FAE">
        <w:rPr>
          <w:b/>
        </w:rPr>
        <w:t>Evaluación de Control Interno</w:t>
      </w:r>
    </w:p>
    <w:p w:rsidR="001A5ED8" w:rsidRPr="009D4FAE" w:rsidRDefault="001A5ED8" w:rsidP="001A5ED8">
      <w:pPr>
        <w:pStyle w:val="Sangradetextonormal"/>
        <w:keepNext/>
        <w:suppressAutoHyphens w:val="0"/>
        <w:spacing w:line="360" w:lineRule="auto"/>
      </w:pPr>
      <w:r w:rsidRPr="009D4FAE">
        <w:rPr>
          <w:rFonts w:ascii="Arial" w:hAnsi="Arial" w:cs="Arial"/>
        </w:rPr>
        <w:t>Del relevamiento realizado al área de Retribuciones Personales resultan las siguientes debilidades:</w:t>
      </w:r>
    </w:p>
    <w:p w:rsidR="001A5ED8" w:rsidRPr="009D4FAE" w:rsidRDefault="001A5ED8" w:rsidP="001A5ED8">
      <w:pPr>
        <w:keepNext/>
        <w:widowControl w:val="0"/>
        <w:numPr>
          <w:ilvl w:val="0"/>
          <w:numId w:val="4"/>
        </w:numPr>
        <w:spacing w:after="200" w:line="360" w:lineRule="auto"/>
        <w:jc w:val="both"/>
      </w:pPr>
      <w:r w:rsidRPr="009D4FAE">
        <w:t>No hay restricción al acceso del archivo de pagos, programas y registros relacionados.</w:t>
      </w:r>
      <w:r>
        <w:t xml:space="preserve"> Por lo que se pueden realizar modificaciones a los archivos, dado que personas no autorizadas pueden tener acceso a los mismos.</w:t>
      </w:r>
    </w:p>
    <w:p w:rsidR="001A5ED8" w:rsidRDefault="001A5ED8" w:rsidP="001A5ED8">
      <w:pPr>
        <w:keepNext/>
        <w:widowControl w:val="0"/>
        <w:numPr>
          <w:ilvl w:val="0"/>
          <w:numId w:val="7"/>
        </w:numPr>
        <w:spacing w:after="200" w:line="360" w:lineRule="auto"/>
        <w:jc w:val="both"/>
      </w:pPr>
      <w:r w:rsidRPr="009D4FAE">
        <w:t>La nómina de funcionarios no está debidamente aprobada con anterioridad a la distribución de los cheques o acreditación en las cuentas de los funcionarios.</w:t>
      </w:r>
    </w:p>
    <w:p w:rsidR="001A5ED8" w:rsidRPr="009D4FAE" w:rsidRDefault="001A5ED8" w:rsidP="00282769">
      <w:pPr>
        <w:keepNext/>
        <w:widowControl w:val="0"/>
        <w:spacing w:line="360" w:lineRule="auto"/>
        <w:ind w:left="720"/>
        <w:jc w:val="both"/>
      </w:pPr>
      <w:r>
        <w:t>Por lo que se pueden realizar pagos en más o en menos sin previo control.</w:t>
      </w:r>
    </w:p>
    <w:p w:rsidR="001A5ED8" w:rsidRDefault="001A5ED8" w:rsidP="001A5ED8">
      <w:pPr>
        <w:pStyle w:val="Sangradetextonormal"/>
        <w:keepNext/>
        <w:numPr>
          <w:ilvl w:val="0"/>
          <w:numId w:val="6"/>
        </w:numPr>
        <w:suppressAutoHyphens w:val="0"/>
        <w:spacing w:line="360" w:lineRule="auto"/>
        <w:ind w:left="851" w:hanging="851"/>
        <w:rPr>
          <w:rFonts w:ascii="Arial" w:hAnsi="Arial" w:cs="Arial"/>
          <w:b/>
        </w:rPr>
      </w:pPr>
      <w:r>
        <w:rPr>
          <w:rFonts w:ascii="Arial" w:hAnsi="Arial" w:cs="Arial"/>
          <w:b/>
        </w:rPr>
        <w:t>Recomendaciones</w:t>
      </w:r>
    </w:p>
    <w:p w:rsidR="001A5ED8" w:rsidRDefault="001A5ED8" w:rsidP="001A5ED8">
      <w:pPr>
        <w:pStyle w:val="Textoindependiente"/>
        <w:keepNext/>
        <w:widowControl w:val="0"/>
        <w:numPr>
          <w:ilvl w:val="1"/>
          <w:numId w:val="5"/>
        </w:numPr>
        <w:tabs>
          <w:tab w:val="left" w:pos="284"/>
        </w:tabs>
        <w:suppressAutoHyphens w:val="0"/>
        <w:ind w:hanging="645"/>
        <w:rPr>
          <w:rFonts w:ascii="Arial" w:hAnsi="Arial" w:cs="Arial"/>
          <w:b/>
        </w:rPr>
      </w:pPr>
      <w:r>
        <w:rPr>
          <w:rFonts w:ascii="Arial" w:hAnsi="Arial" w:cs="Arial"/>
          <w:b/>
        </w:rPr>
        <w:t>Recomendaciones de Ejercicios anteriores</w:t>
      </w:r>
    </w:p>
    <w:p w:rsidR="001A5ED8" w:rsidRDefault="001A5ED8" w:rsidP="001A5ED8">
      <w:pPr>
        <w:pStyle w:val="Textoindependiente"/>
        <w:keepNext/>
        <w:widowControl w:val="0"/>
        <w:numPr>
          <w:ilvl w:val="2"/>
          <w:numId w:val="5"/>
        </w:numPr>
        <w:tabs>
          <w:tab w:val="left" w:pos="709"/>
        </w:tabs>
        <w:suppressAutoHyphens w:val="0"/>
        <w:ind w:hanging="1290"/>
        <w:rPr>
          <w:rFonts w:ascii="Arial" w:hAnsi="Arial" w:cs="Arial"/>
          <w:b/>
        </w:rPr>
      </w:pPr>
      <w:r>
        <w:rPr>
          <w:rFonts w:ascii="Arial" w:hAnsi="Arial" w:cs="Arial"/>
          <w:b/>
        </w:rPr>
        <w:t>Cumplidas</w:t>
      </w:r>
    </w:p>
    <w:p w:rsidR="001A5ED8" w:rsidRDefault="001A5ED8" w:rsidP="001A5ED8">
      <w:pPr>
        <w:pStyle w:val="Textoindependiente"/>
        <w:keepNext/>
        <w:widowControl w:val="0"/>
        <w:tabs>
          <w:tab w:val="left" w:pos="851"/>
        </w:tabs>
        <w:suppressAutoHyphens w:val="0"/>
        <w:ind w:left="1290"/>
        <w:rPr>
          <w:rFonts w:ascii="Arial" w:hAnsi="Arial" w:cs="Arial"/>
          <w:b/>
        </w:rPr>
      </w:pPr>
    </w:p>
    <w:p w:rsidR="001A5ED8" w:rsidRDefault="001A5ED8" w:rsidP="001A5ED8">
      <w:pPr>
        <w:pStyle w:val="Textoindependiente"/>
        <w:keepNext/>
        <w:widowControl w:val="0"/>
        <w:suppressAutoHyphens w:val="0"/>
        <w:rPr>
          <w:rFonts w:ascii="Arial" w:hAnsi="Arial" w:cs="Arial"/>
          <w:lang w:val="es-AR"/>
        </w:rPr>
      </w:pPr>
      <w:r>
        <w:rPr>
          <w:rFonts w:ascii="Arial" w:hAnsi="Arial" w:cs="Arial"/>
          <w:b/>
        </w:rPr>
        <w:t xml:space="preserve"> 4.1.1.1</w:t>
      </w:r>
      <w:r>
        <w:rPr>
          <w:rFonts w:ascii="Arial" w:hAnsi="Arial" w:cs="Arial"/>
        </w:rPr>
        <w:t xml:space="preserve"> En relación a los pasantes, el Organismo cumple con lo estipulado en los A</w:t>
      </w:r>
      <w:proofErr w:type="spellStart"/>
      <w:r>
        <w:rPr>
          <w:rFonts w:ascii="Arial" w:hAnsi="Arial" w:cs="Arial"/>
          <w:lang w:val="es-AR"/>
        </w:rPr>
        <w:t>rtículos</w:t>
      </w:r>
      <w:proofErr w:type="spellEnd"/>
      <w:r>
        <w:rPr>
          <w:rFonts w:ascii="Arial" w:hAnsi="Arial" w:cs="Arial"/>
          <w:lang w:val="es-AR"/>
        </w:rPr>
        <w:t xml:space="preserve"> 622 y 623 de la Ley Nº 17.296 y Artículo 51 de la Ley Nº 18.719.</w:t>
      </w:r>
    </w:p>
    <w:p w:rsidR="001A5ED8" w:rsidRDefault="001A5ED8" w:rsidP="001A5ED8">
      <w:pPr>
        <w:pStyle w:val="Textoindependiente"/>
        <w:keepNext/>
        <w:widowControl w:val="0"/>
        <w:suppressAutoHyphens w:val="0"/>
        <w:rPr>
          <w:rFonts w:ascii="Arial" w:hAnsi="Arial" w:cs="Arial"/>
          <w:lang w:val="es-AR"/>
        </w:rPr>
      </w:pPr>
    </w:p>
    <w:p w:rsidR="001A5ED8" w:rsidRDefault="001A5ED8" w:rsidP="001A5ED8">
      <w:pPr>
        <w:pStyle w:val="Textoindependiente"/>
        <w:keepNext/>
        <w:widowControl w:val="0"/>
        <w:suppressAutoHyphens w:val="0"/>
        <w:rPr>
          <w:rFonts w:ascii="Arial" w:hAnsi="Arial" w:cs="Arial"/>
        </w:rPr>
      </w:pPr>
      <w:r>
        <w:rPr>
          <w:rFonts w:ascii="Arial" w:hAnsi="Arial" w:cs="Arial"/>
          <w:b/>
        </w:rPr>
        <w:t>4.1.2. No Cumplidas</w:t>
      </w:r>
    </w:p>
    <w:p w:rsidR="001A5ED8" w:rsidRDefault="001A5ED8" w:rsidP="001A5ED8">
      <w:pPr>
        <w:pStyle w:val="Textoindependiente"/>
        <w:keepNext/>
        <w:widowControl w:val="0"/>
        <w:suppressAutoHyphens w:val="0"/>
        <w:ind w:left="840" w:hanging="840"/>
        <w:rPr>
          <w:rFonts w:ascii="Arial" w:hAnsi="Arial" w:cs="Arial"/>
        </w:rPr>
      </w:pPr>
    </w:p>
    <w:p w:rsidR="001A5ED8" w:rsidRDefault="001A5ED8" w:rsidP="001A5ED8">
      <w:pPr>
        <w:pStyle w:val="Textoindependiente"/>
        <w:keepNext/>
        <w:widowControl w:val="0"/>
        <w:suppressAutoHyphens w:val="0"/>
        <w:rPr>
          <w:rFonts w:ascii="Arial" w:hAnsi="Arial" w:cs="Arial"/>
          <w:lang w:val="es-AR"/>
        </w:rPr>
      </w:pPr>
      <w:r>
        <w:rPr>
          <w:rFonts w:ascii="Arial" w:hAnsi="Arial" w:cs="Arial"/>
          <w:b/>
        </w:rPr>
        <w:t xml:space="preserve">4.1.2.1 </w:t>
      </w:r>
      <w:r>
        <w:rPr>
          <w:rFonts w:ascii="Arial" w:hAnsi="Arial" w:cs="Arial"/>
          <w:lang w:val="es-AR"/>
        </w:rPr>
        <w:t>Realizar las contrataciones de suministros y servicios de acuerdo con los procedimientos establecidos por el TOCAF.</w:t>
      </w:r>
    </w:p>
    <w:p w:rsidR="001A5ED8" w:rsidRDefault="001A5ED8" w:rsidP="001A5ED8">
      <w:pPr>
        <w:pStyle w:val="Textoindependiente"/>
        <w:keepNext/>
        <w:widowControl w:val="0"/>
        <w:suppressAutoHyphens w:val="0"/>
        <w:rPr>
          <w:rFonts w:ascii="Arial" w:hAnsi="Arial" w:cs="Arial"/>
        </w:rPr>
      </w:pPr>
      <w:r>
        <w:rPr>
          <w:rFonts w:ascii="Arial" w:hAnsi="Arial" w:cs="Arial"/>
          <w:b/>
        </w:rPr>
        <w:t>4.1.2.2</w:t>
      </w:r>
      <w:r>
        <w:rPr>
          <w:rFonts w:ascii="Arial" w:hAnsi="Arial" w:cs="Arial"/>
        </w:rPr>
        <w:t xml:space="preserve"> Tener en cuenta el tope establecido en el Decreto 176/008 de 25/03/2008.</w:t>
      </w:r>
    </w:p>
    <w:p w:rsidR="001A5ED8" w:rsidRDefault="001A5ED8" w:rsidP="001A5ED8">
      <w:pPr>
        <w:pStyle w:val="Textoindependiente"/>
        <w:keepNext/>
        <w:widowControl w:val="0"/>
        <w:suppressAutoHyphens w:val="0"/>
        <w:rPr>
          <w:rFonts w:ascii="Arial" w:hAnsi="Arial" w:cs="Arial"/>
        </w:rPr>
      </w:pPr>
      <w:r>
        <w:rPr>
          <w:rFonts w:ascii="Arial" w:hAnsi="Arial" w:cs="Arial"/>
          <w:b/>
        </w:rPr>
        <w:t xml:space="preserve">4.1.2.3  </w:t>
      </w:r>
      <w:r>
        <w:rPr>
          <w:rFonts w:ascii="Arial" w:hAnsi="Arial" w:cs="Arial"/>
        </w:rPr>
        <w:t>Tener en cuenta  lo establecido</w:t>
      </w:r>
      <w:r>
        <w:rPr>
          <w:rFonts w:ascii="Arial" w:hAnsi="Arial" w:cs="Arial"/>
          <w:b/>
        </w:rPr>
        <w:t xml:space="preserve"> </w:t>
      </w:r>
      <w:r>
        <w:rPr>
          <w:rFonts w:ascii="Arial" w:hAnsi="Arial" w:cs="Arial"/>
        </w:rPr>
        <w:t>en el Artículo 4 de la Ley N° 19.122 de 21/08/2013.</w:t>
      </w:r>
    </w:p>
    <w:p w:rsidR="001A5ED8" w:rsidRDefault="001A5ED8" w:rsidP="001A5ED8">
      <w:pPr>
        <w:pStyle w:val="Textoindependiente"/>
        <w:keepNext/>
        <w:widowControl w:val="0"/>
        <w:suppressAutoHyphens w:val="0"/>
        <w:rPr>
          <w:rFonts w:ascii="Arial" w:hAnsi="Arial" w:cs="Arial"/>
        </w:rPr>
      </w:pPr>
      <w:r>
        <w:rPr>
          <w:rFonts w:ascii="Arial" w:hAnsi="Arial" w:cs="Arial"/>
          <w:b/>
        </w:rPr>
        <w:t>4.1.2.</w:t>
      </w:r>
      <w:r w:rsidRPr="009D4FAE">
        <w:rPr>
          <w:rFonts w:ascii="Arial" w:hAnsi="Arial" w:cs="Arial"/>
          <w:b/>
        </w:rPr>
        <w:t>4</w:t>
      </w:r>
      <w:r w:rsidRPr="009D4FAE">
        <w:rPr>
          <w:rFonts w:ascii="Arial" w:hAnsi="Arial" w:cs="Arial"/>
        </w:rPr>
        <w:t xml:space="preserve"> Aplicar los proce</w:t>
      </w:r>
      <w:r>
        <w:rPr>
          <w:rFonts w:ascii="Arial" w:hAnsi="Arial" w:cs="Arial"/>
        </w:rPr>
        <w:t>dimientos necesarios para que só</w:t>
      </w:r>
      <w:r w:rsidRPr="009D4FAE">
        <w:rPr>
          <w:rFonts w:ascii="Arial" w:hAnsi="Arial" w:cs="Arial"/>
        </w:rPr>
        <w:t>lo los funcionarios autorizados accedan a los archivos de pagos, programas y registros relacionados.</w:t>
      </w:r>
    </w:p>
    <w:p w:rsidR="001A5ED8" w:rsidRDefault="001A5ED8" w:rsidP="001A5ED8">
      <w:pPr>
        <w:pStyle w:val="Textoindependiente"/>
        <w:keepNext/>
        <w:widowControl w:val="0"/>
        <w:suppressAutoHyphens w:val="0"/>
        <w:rPr>
          <w:rFonts w:ascii="Arial" w:hAnsi="Arial" w:cs="Arial"/>
        </w:rPr>
      </w:pPr>
      <w:r w:rsidRPr="009D4FAE">
        <w:rPr>
          <w:rFonts w:ascii="Arial" w:hAnsi="Arial" w:cs="Arial"/>
          <w:b/>
        </w:rPr>
        <w:t xml:space="preserve">4.1.2.5 </w:t>
      </w:r>
      <w:r w:rsidRPr="009D4FAE">
        <w:rPr>
          <w:rFonts w:ascii="Arial" w:hAnsi="Arial" w:cs="Arial"/>
        </w:rPr>
        <w:t>Aprobar la nómina antes de la distribución de cheques o acreditación en cuentas de los funcionarios.</w:t>
      </w:r>
    </w:p>
    <w:p w:rsidR="001A5ED8" w:rsidRDefault="001A5ED8" w:rsidP="001A5ED8">
      <w:pPr>
        <w:pStyle w:val="Textoindependiente"/>
        <w:keepNext/>
        <w:widowControl w:val="0"/>
        <w:suppressAutoHyphens w:val="0"/>
        <w:rPr>
          <w:rFonts w:ascii="Arial" w:hAnsi="Arial" w:cs="Arial"/>
        </w:rPr>
      </w:pPr>
      <w:r>
        <w:rPr>
          <w:rFonts w:ascii="Arial" w:hAnsi="Arial" w:cs="Arial"/>
          <w:b/>
        </w:rPr>
        <w:t>4.1.2.6</w:t>
      </w:r>
      <w:r>
        <w:rPr>
          <w:rFonts w:ascii="Arial" w:hAnsi="Arial" w:cs="Arial"/>
        </w:rPr>
        <w:t xml:space="preserve"> Contratar seguros contra incendio y robo para los equipos informáticos ubicados en la Casa Central y contra incendio para el Inmueble sede de la Casa Central.</w:t>
      </w:r>
    </w:p>
    <w:p w:rsidR="001A5ED8" w:rsidRDefault="001A5ED8" w:rsidP="001A5ED8">
      <w:pPr>
        <w:pStyle w:val="Textoindependiente"/>
        <w:keepNext/>
        <w:widowControl w:val="0"/>
        <w:suppressAutoHyphens w:val="0"/>
        <w:ind w:left="851" w:hanging="851"/>
        <w:rPr>
          <w:rFonts w:ascii="Arial" w:hAnsi="Arial" w:cs="Arial"/>
        </w:rPr>
      </w:pPr>
    </w:p>
    <w:p w:rsidR="001A5ED8" w:rsidRDefault="001A5ED8" w:rsidP="001A5ED8">
      <w:pPr>
        <w:pStyle w:val="Textoindependiente"/>
        <w:keepNext/>
        <w:widowControl w:val="0"/>
        <w:tabs>
          <w:tab w:val="left" w:pos="284"/>
        </w:tabs>
        <w:suppressAutoHyphens w:val="0"/>
        <w:ind w:left="285" w:hanging="285"/>
        <w:rPr>
          <w:rFonts w:ascii="Arial" w:hAnsi="Arial" w:cs="Arial"/>
        </w:rPr>
      </w:pPr>
      <w:r>
        <w:rPr>
          <w:rFonts w:ascii="Arial" w:hAnsi="Arial" w:cs="Arial"/>
          <w:b/>
        </w:rPr>
        <w:t>4.2  Recomendaciones del presente Ejercicio</w:t>
      </w:r>
    </w:p>
    <w:p w:rsidR="001A5ED8" w:rsidRDefault="001A5ED8" w:rsidP="001A5ED8">
      <w:pPr>
        <w:pStyle w:val="Textoindependiente"/>
        <w:keepNext/>
        <w:widowControl w:val="0"/>
        <w:tabs>
          <w:tab w:val="left" w:pos="567"/>
        </w:tabs>
        <w:suppressAutoHyphens w:val="0"/>
        <w:rPr>
          <w:rFonts w:ascii="Arial" w:hAnsi="Arial" w:cs="Arial"/>
        </w:rPr>
      </w:pPr>
      <w:r>
        <w:rPr>
          <w:rFonts w:ascii="Arial" w:hAnsi="Arial" w:cs="Arial"/>
        </w:rPr>
        <w:t>Se reiteran las recomendaciones no cumplidas de Ejercicios anteriores y se agregan las siguientes:</w:t>
      </w:r>
    </w:p>
    <w:p w:rsidR="001A5ED8" w:rsidRDefault="001A5ED8" w:rsidP="001A5ED8">
      <w:pPr>
        <w:pStyle w:val="Textoindependiente"/>
        <w:keepNext/>
        <w:widowControl w:val="0"/>
        <w:tabs>
          <w:tab w:val="left" w:pos="567"/>
        </w:tabs>
        <w:suppressAutoHyphens w:val="0"/>
        <w:rPr>
          <w:rFonts w:ascii="Arial" w:hAnsi="Arial" w:cs="Arial"/>
          <w:b/>
        </w:rPr>
      </w:pPr>
    </w:p>
    <w:p w:rsidR="001A5ED8" w:rsidRDefault="001A5ED8" w:rsidP="001A5ED8">
      <w:pPr>
        <w:pStyle w:val="Textoindependiente"/>
        <w:keepNext/>
        <w:widowControl w:val="0"/>
        <w:suppressAutoHyphens w:val="0"/>
        <w:rPr>
          <w:rFonts w:ascii="Arial" w:hAnsi="Arial" w:cs="Arial"/>
        </w:rPr>
      </w:pPr>
      <w:r>
        <w:rPr>
          <w:rFonts w:ascii="Arial" w:hAnsi="Arial" w:cs="Arial"/>
          <w:b/>
        </w:rPr>
        <w:t>4.2.1</w:t>
      </w:r>
      <w:r>
        <w:rPr>
          <w:rFonts w:ascii="Arial" w:hAnsi="Arial" w:cs="Arial"/>
        </w:rPr>
        <w:t xml:space="preserve"> Realizar las contrataciones de arrendamientos de servicios con profesionales y personas físicas de acuerdo con la normativa legal vigente, considerando lo establecido en los Artículos 33, 43 y 50 del TOCAF (Numeral 2.2).</w:t>
      </w:r>
    </w:p>
    <w:p w:rsidR="001A5ED8" w:rsidRDefault="001A5ED8" w:rsidP="001A5ED8">
      <w:pPr>
        <w:pStyle w:val="Textoindependiente"/>
        <w:keepNext/>
        <w:widowControl w:val="0"/>
        <w:suppressAutoHyphens w:val="0"/>
        <w:rPr>
          <w:rFonts w:ascii="Arial" w:hAnsi="Arial" w:cs="Arial"/>
        </w:rPr>
      </w:pPr>
      <w:r>
        <w:rPr>
          <w:rFonts w:ascii="Arial" w:hAnsi="Arial" w:cs="Arial"/>
          <w:b/>
        </w:rPr>
        <w:t xml:space="preserve">4.2.2 </w:t>
      </w:r>
      <w:r>
        <w:rPr>
          <w:rFonts w:ascii="Arial" w:hAnsi="Arial" w:cs="Arial"/>
        </w:rPr>
        <w:t>Dictar Resoluciones de Directorio para adjudicar los arrendamientos de servicios (Numeral 2.2).</w:t>
      </w:r>
    </w:p>
    <w:p w:rsidR="001A5ED8" w:rsidRDefault="001A5ED8" w:rsidP="001A5ED8">
      <w:pPr>
        <w:pStyle w:val="Textoindependiente"/>
        <w:keepNext/>
        <w:widowControl w:val="0"/>
        <w:suppressAutoHyphens w:val="0"/>
        <w:rPr>
          <w:rFonts w:ascii="Arial" w:hAnsi="Arial" w:cs="Arial"/>
          <w:b/>
        </w:rPr>
      </w:pPr>
      <w:r>
        <w:rPr>
          <w:rFonts w:ascii="Arial" w:hAnsi="Arial" w:cs="Arial"/>
          <w:b/>
        </w:rPr>
        <w:t>4.2.3</w:t>
      </w:r>
      <w:r>
        <w:rPr>
          <w:rFonts w:ascii="Arial" w:hAnsi="Arial" w:cs="Arial"/>
        </w:rPr>
        <w:t xml:space="preserve"> Téngase en cuenta que las prórrogas de los contratos de arrendamientos de servicios deben estar acotadas (Numeral 2.2).</w:t>
      </w:r>
    </w:p>
    <w:p w:rsidR="001A5ED8" w:rsidRDefault="001A5ED8" w:rsidP="001A5ED8">
      <w:pPr>
        <w:pStyle w:val="Textoindependiente"/>
        <w:keepNext/>
        <w:widowControl w:val="0"/>
        <w:suppressAutoHyphens w:val="0"/>
        <w:rPr>
          <w:rFonts w:ascii="Arial" w:hAnsi="Arial" w:cs="Arial"/>
        </w:rPr>
      </w:pPr>
      <w:r>
        <w:rPr>
          <w:rFonts w:ascii="Arial" w:hAnsi="Arial" w:cs="Arial"/>
          <w:b/>
        </w:rPr>
        <w:t>4.2.4</w:t>
      </w:r>
      <w:r>
        <w:rPr>
          <w:rFonts w:ascii="Arial" w:hAnsi="Arial" w:cs="Arial"/>
        </w:rPr>
        <w:t xml:space="preserve"> Tener en cuenta lo establecido por el Artículo 49 de la Ley N° 18.651 al contratar personal (Numeral 2.5).</w:t>
      </w:r>
    </w:p>
    <w:p w:rsidR="001A5ED8" w:rsidRDefault="001A5ED8" w:rsidP="001A5ED8">
      <w:pPr>
        <w:pStyle w:val="BodyText21"/>
        <w:keepNext/>
        <w:suppressAutoHyphens w:val="0"/>
        <w:spacing w:line="360" w:lineRule="auto"/>
        <w:rPr>
          <w:rFonts w:ascii="Arial" w:hAnsi="Arial" w:cs="Arial"/>
        </w:rPr>
      </w:pPr>
      <w:r>
        <w:rPr>
          <w:rFonts w:ascii="Arial" w:hAnsi="Arial" w:cs="Arial"/>
          <w:b/>
        </w:rPr>
        <w:t>4.2.5</w:t>
      </w:r>
      <w:r>
        <w:rPr>
          <w:rFonts w:ascii="Arial" w:hAnsi="Arial" w:cs="Arial"/>
        </w:rPr>
        <w:t xml:space="preserve"> Considerar lo dispuesto por el Artículo 3 del Decreto 159/002 de 30/04/2002 (Numeral 2.6).</w:t>
      </w:r>
    </w:p>
    <w:p w:rsidR="001A5ED8" w:rsidRDefault="001A5ED8" w:rsidP="001A5ED8">
      <w:pPr>
        <w:pStyle w:val="Textoindependiente"/>
        <w:keepNext/>
        <w:widowControl w:val="0"/>
        <w:tabs>
          <w:tab w:val="left" w:pos="567"/>
        </w:tabs>
        <w:suppressAutoHyphens w:val="0"/>
        <w:jc w:val="right"/>
        <w:rPr>
          <w:rFonts w:ascii="Arial" w:hAnsi="Arial" w:cs="Arial"/>
        </w:rPr>
      </w:pPr>
      <w:r>
        <w:rPr>
          <w:rFonts w:ascii="Arial" w:hAnsi="Arial" w:cs="Arial"/>
        </w:rPr>
        <w:t>Montevideo, 27 de diciembre de 2016</w:t>
      </w:r>
    </w:p>
    <w:p w:rsidR="001A5ED8" w:rsidRDefault="001A5ED8" w:rsidP="001A5ED8">
      <w:pPr>
        <w:pStyle w:val="Textoindependiente"/>
        <w:keepNext/>
        <w:widowControl w:val="0"/>
        <w:tabs>
          <w:tab w:val="left" w:pos="567"/>
        </w:tabs>
        <w:suppressAutoHyphens w:val="0"/>
        <w:jc w:val="right"/>
        <w:rPr>
          <w:rFonts w:ascii="Arial" w:hAnsi="Arial" w:cs="Arial"/>
        </w:rPr>
      </w:pPr>
    </w:p>
    <w:p w:rsidR="001A5ED8" w:rsidRDefault="001A5ED8" w:rsidP="001A5ED8">
      <w:pPr>
        <w:pStyle w:val="Textoindependiente"/>
        <w:keepNext/>
        <w:widowControl w:val="0"/>
        <w:tabs>
          <w:tab w:val="left" w:pos="567"/>
        </w:tabs>
        <w:suppressAutoHyphens w:val="0"/>
        <w:ind w:hanging="284"/>
        <w:jc w:val="left"/>
      </w:pPr>
      <w:proofErr w:type="gramStart"/>
      <w:r>
        <w:rPr>
          <w:rFonts w:ascii="Arial" w:hAnsi="Arial" w:cs="Arial"/>
        </w:rPr>
        <w:t>dc</w:t>
      </w:r>
      <w:proofErr w:type="gramEnd"/>
    </w:p>
    <w:p w:rsidR="001A5ED8" w:rsidRDefault="001A5ED8" w:rsidP="001A5ED8">
      <w:pPr>
        <w:keepNext/>
        <w:widowControl w:val="0"/>
        <w:spacing w:line="360" w:lineRule="auto"/>
        <w:jc w:val="right"/>
        <w:rPr>
          <w:rFonts w:eastAsia="Calibri" w:cs="Arial"/>
          <w:spacing w:val="-3"/>
          <w:lang w:val="es-ES_tradnl" w:eastAsia="ar-SA"/>
        </w:rPr>
      </w:pPr>
      <w:r>
        <w:rPr>
          <w:rFonts w:eastAsia="Calibri" w:cs="Arial"/>
          <w:spacing w:val="-3"/>
          <w:lang w:val="es-ES_tradnl" w:eastAsia="ar-SA"/>
        </w:rPr>
        <w:t>Montevideo, 30 de enero de 2017.-</w:t>
      </w:r>
    </w:p>
    <w:p w:rsidR="001A5ED8" w:rsidRPr="000E45B0" w:rsidRDefault="001A5ED8" w:rsidP="001A5ED8">
      <w:pPr>
        <w:keepNext/>
        <w:widowControl w:val="0"/>
        <w:spacing w:line="360" w:lineRule="auto"/>
        <w:jc w:val="both"/>
        <w:rPr>
          <w:rFonts w:eastAsia="Calibri" w:cs="Arial"/>
          <w:szCs w:val="22"/>
          <w:lang w:val="es-UY" w:eastAsia="en-US"/>
        </w:rPr>
      </w:pPr>
      <w:r w:rsidRPr="000E45B0">
        <w:rPr>
          <w:rFonts w:eastAsia="Calibri" w:cs="Arial"/>
          <w:szCs w:val="22"/>
          <w:lang w:val="es-UY" w:eastAsia="en-US"/>
        </w:rPr>
        <w:t>Señor</w:t>
      </w:r>
    </w:p>
    <w:p w:rsidR="001A5ED8" w:rsidRDefault="001A5ED8" w:rsidP="001A5ED8">
      <w:pPr>
        <w:keepNext/>
        <w:widowControl w:val="0"/>
        <w:spacing w:line="360" w:lineRule="auto"/>
        <w:jc w:val="both"/>
        <w:rPr>
          <w:rFonts w:eastAsia="Calibri" w:cs="Arial"/>
          <w:szCs w:val="22"/>
          <w:lang w:val="es-UY" w:eastAsia="en-US"/>
        </w:rPr>
      </w:pPr>
      <w:r w:rsidRPr="000E45B0">
        <w:rPr>
          <w:rFonts w:eastAsia="Calibri" w:cs="Arial"/>
          <w:szCs w:val="22"/>
          <w:lang w:val="es-UY" w:eastAsia="en-US"/>
        </w:rPr>
        <w:t>Pre</w:t>
      </w:r>
      <w:r w:rsidR="00282769">
        <w:rPr>
          <w:rFonts w:eastAsia="Calibri" w:cs="Arial"/>
          <w:szCs w:val="22"/>
          <w:lang w:val="es-UY" w:eastAsia="en-US"/>
        </w:rPr>
        <w:t>sidente del Servicio Oficial de</w:t>
      </w:r>
    </w:p>
    <w:p w:rsidR="001A5ED8" w:rsidRPr="000E45B0" w:rsidRDefault="001A5ED8" w:rsidP="001A5ED8">
      <w:pPr>
        <w:keepNext/>
        <w:widowControl w:val="0"/>
        <w:spacing w:line="360" w:lineRule="auto"/>
        <w:jc w:val="both"/>
        <w:rPr>
          <w:rFonts w:eastAsia="Calibri" w:cs="Arial"/>
          <w:szCs w:val="22"/>
          <w:lang w:val="es-UY" w:eastAsia="en-US"/>
        </w:rPr>
      </w:pPr>
      <w:r w:rsidRPr="000E45B0">
        <w:rPr>
          <w:rFonts w:eastAsia="Calibri" w:cs="Arial"/>
          <w:szCs w:val="22"/>
          <w:lang w:val="es-UY" w:eastAsia="en-US"/>
        </w:rPr>
        <w:t>Difusión</w:t>
      </w:r>
      <w:r>
        <w:rPr>
          <w:rFonts w:eastAsia="Calibri" w:cs="Arial"/>
          <w:szCs w:val="22"/>
          <w:lang w:val="es-UY" w:eastAsia="en-US"/>
        </w:rPr>
        <w:t xml:space="preserve"> </w:t>
      </w:r>
      <w:r w:rsidR="00282769">
        <w:rPr>
          <w:rFonts w:eastAsia="Calibri" w:cs="Arial"/>
          <w:szCs w:val="22"/>
          <w:lang w:val="es-UY" w:eastAsia="en-US"/>
        </w:rPr>
        <w:t>Radiotelevisión y Espectáculos</w:t>
      </w:r>
    </w:p>
    <w:p w:rsidR="001A5ED8" w:rsidRDefault="001A5ED8" w:rsidP="001A5ED8">
      <w:pPr>
        <w:keepNext/>
        <w:widowControl w:val="0"/>
        <w:jc w:val="both"/>
        <w:rPr>
          <w:rFonts w:eastAsia="Calibri" w:cs="Arial"/>
          <w:bCs/>
          <w:szCs w:val="22"/>
          <w:lang w:val="es-UY" w:eastAsia="en-US"/>
        </w:rPr>
      </w:pPr>
      <w:r w:rsidRPr="000E45B0">
        <w:rPr>
          <w:rFonts w:eastAsia="Calibri" w:cs="Arial"/>
          <w:bCs/>
          <w:szCs w:val="22"/>
          <w:lang w:val="es-UY" w:eastAsia="en-US"/>
        </w:rPr>
        <w:t xml:space="preserve">Sr. </w:t>
      </w:r>
      <w:proofErr w:type="spellStart"/>
      <w:r w:rsidRPr="000E45B0">
        <w:rPr>
          <w:rFonts w:eastAsia="Calibri" w:cs="Arial"/>
          <w:bCs/>
          <w:szCs w:val="22"/>
          <w:lang w:val="es-UY" w:eastAsia="en-US"/>
        </w:rPr>
        <w:t>Doreen</w:t>
      </w:r>
      <w:proofErr w:type="spellEnd"/>
      <w:r w:rsidRPr="000E45B0">
        <w:rPr>
          <w:rFonts w:eastAsia="Calibri" w:cs="Arial"/>
          <w:bCs/>
          <w:szCs w:val="22"/>
          <w:lang w:val="es-UY" w:eastAsia="en-US"/>
        </w:rPr>
        <w:t xml:space="preserve"> Javier Ibarra Ferreira</w:t>
      </w:r>
    </w:p>
    <w:p w:rsidR="001A5ED8" w:rsidRDefault="001A5ED8" w:rsidP="001A5ED8">
      <w:pPr>
        <w:keepNext/>
        <w:widowControl w:val="0"/>
        <w:jc w:val="both"/>
        <w:rPr>
          <w:rFonts w:eastAsia="Calibri" w:cs="Arial"/>
          <w:bCs/>
          <w:szCs w:val="22"/>
          <w:lang w:val="es-UY" w:eastAsia="en-US"/>
        </w:rPr>
      </w:pPr>
    </w:p>
    <w:p w:rsidR="001A5ED8" w:rsidRDefault="001A5ED8" w:rsidP="001A5ED8">
      <w:pPr>
        <w:keepNext/>
        <w:widowControl w:val="0"/>
        <w:spacing w:line="360" w:lineRule="auto"/>
        <w:jc w:val="right"/>
      </w:pPr>
      <w:r>
        <w:t>E.</w:t>
      </w:r>
      <w:r w:rsidR="00282769">
        <w:t xml:space="preserve"> </w:t>
      </w:r>
      <w:r>
        <w:t>E. 2016-17-1-0003655</w:t>
      </w:r>
    </w:p>
    <w:p w:rsidR="001A5ED8" w:rsidRDefault="001A5ED8" w:rsidP="001A5ED8">
      <w:pPr>
        <w:keepNext/>
        <w:widowControl w:val="0"/>
        <w:spacing w:line="360" w:lineRule="auto"/>
        <w:jc w:val="right"/>
      </w:pPr>
      <w:r>
        <w:t>Entrada 2794/16</w:t>
      </w:r>
    </w:p>
    <w:p w:rsidR="001A5ED8" w:rsidRDefault="001A5ED8" w:rsidP="001A5ED8">
      <w:pPr>
        <w:keepNext/>
        <w:widowControl w:val="0"/>
        <w:spacing w:line="360" w:lineRule="auto"/>
        <w:jc w:val="right"/>
      </w:pPr>
      <w:r>
        <w:t>Oficio 934/17</w:t>
      </w:r>
    </w:p>
    <w:p w:rsidR="001A5ED8" w:rsidRPr="00832B0D" w:rsidRDefault="001A5ED8" w:rsidP="001A5ED8">
      <w:pPr>
        <w:keepNext/>
        <w:widowControl w:val="0"/>
        <w:tabs>
          <w:tab w:val="left" w:pos="360"/>
        </w:tabs>
        <w:spacing w:line="360" w:lineRule="auto"/>
        <w:ind w:firstLine="851"/>
        <w:jc w:val="both"/>
        <w:rPr>
          <w:rFonts w:eastAsia="Calibri" w:cs="Arial"/>
          <w:szCs w:val="22"/>
          <w:lang w:val="es-UY" w:eastAsia="ar-SA"/>
        </w:rPr>
      </w:pPr>
      <w:r w:rsidRPr="00832B0D">
        <w:rPr>
          <w:rFonts w:eastAsia="Calibri" w:cs="Arial"/>
          <w:szCs w:val="22"/>
          <w:lang w:val="es-UY" w:eastAsia="ar-SA"/>
        </w:rPr>
        <w:t>En oportunidad de efectuar el control del cumplimiento de lo dispuesto en el Artículo 17 de la Ley N° 17.904 de 07/10/05 y el Artículo 226 de la Ley N°18.172 de 31/08/07, al dictaminar sobre la Rendición de Cuentas y el Balance de Ejecución Presupuestal correspondiente al Ejercicio 2015 de la Administración Nacional de Correos (ANC), el Tribunal de Cuentas ha verificado que dicho Organismo contrató pautas publicitarias con operadores privados de radio y televisión por $</w:t>
      </w:r>
      <w:r w:rsidRPr="00832B0D">
        <w:rPr>
          <w:rFonts w:eastAsia="Calibri" w:cs="Arial"/>
          <w:szCs w:val="22"/>
          <w:lang w:val="es-MX" w:eastAsia="ar-SA"/>
        </w:rPr>
        <w:t xml:space="preserve"> 182.422 </w:t>
      </w:r>
      <w:r w:rsidRPr="00832B0D">
        <w:rPr>
          <w:rFonts w:eastAsia="Calibri" w:cs="Arial"/>
          <w:szCs w:val="22"/>
          <w:lang w:val="es-UY" w:eastAsia="ar-SA"/>
        </w:rPr>
        <w:t>y $</w:t>
      </w:r>
      <w:r>
        <w:rPr>
          <w:rFonts w:eastAsia="Calibri" w:cs="Arial"/>
          <w:szCs w:val="22"/>
          <w:lang w:val="es-MX" w:eastAsia="ar-SA"/>
        </w:rPr>
        <w:t xml:space="preserve"> 1:</w:t>
      </w:r>
      <w:r w:rsidRPr="00832B0D">
        <w:rPr>
          <w:rFonts w:eastAsia="Calibri" w:cs="Arial"/>
          <w:szCs w:val="22"/>
          <w:lang w:val="es-MX" w:eastAsia="ar-SA"/>
        </w:rPr>
        <w:t xml:space="preserve">053.545 </w:t>
      </w:r>
      <w:r w:rsidRPr="00832B0D">
        <w:rPr>
          <w:rFonts w:eastAsia="Calibri" w:cs="Arial"/>
          <w:szCs w:val="22"/>
          <w:lang w:val="es-UY" w:eastAsia="ar-SA"/>
        </w:rPr>
        <w:t>respectivamente.</w:t>
      </w:r>
    </w:p>
    <w:p w:rsidR="001A5ED8" w:rsidRPr="00832B0D" w:rsidRDefault="001A5ED8" w:rsidP="001A5ED8">
      <w:pPr>
        <w:keepNext/>
        <w:widowControl w:val="0"/>
        <w:tabs>
          <w:tab w:val="left" w:pos="360"/>
        </w:tabs>
        <w:spacing w:line="360" w:lineRule="auto"/>
        <w:ind w:firstLine="851"/>
        <w:jc w:val="both"/>
        <w:rPr>
          <w:rFonts w:eastAsia="Calibri" w:cs="Arial"/>
          <w:szCs w:val="22"/>
          <w:lang w:val="es-UY" w:eastAsia="ar-SA"/>
        </w:rPr>
      </w:pPr>
      <w:r w:rsidRPr="00832B0D">
        <w:rPr>
          <w:rFonts w:eastAsia="Calibri" w:cs="Arial"/>
          <w:szCs w:val="22"/>
          <w:lang w:val="es-UY" w:eastAsia="ar-SA"/>
        </w:rPr>
        <w:t>En dicho Ejercicio, la Administración Nacional de Correos contrató publicidad con la radio y televisión de las difusoras del Servicio Oficial de Difusión Radiotelevisión y Espectáculos por</w:t>
      </w:r>
      <w:r w:rsidRPr="00832B0D">
        <w:rPr>
          <w:rFonts w:eastAsia="Calibri" w:cs="Arial"/>
          <w:szCs w:val="22"/>
          <w:lang w:val="es-MX" w:eastAsia="ar-SA"/>
        </w:rPr>
        <w:t xml:space="preserve"> </w:t>
      </w:r>
      <w:r w:rsidRPr="00832B0D">
        <w:rPr>
          <w:rFonts w:eastAsia="Calibri" w:cs="Arial"/>
          <w:szCs w:val="22"/>
          <w:lang w:val="es-UY" w:eastAsia="ar-SA"/>
        </w:rPr>
        <w:t xml:space="preserve">$ </w:t>
      </w:r>
      <w:r w:rsidRPr="00832B0D">
        <w:rPr>
          <w:rFonts w:eastAsia="Calibri" w:cs="Arial"/>
          <w:szCs w:val="22"/>
          <w:lang w:val="es-MX" w:eastAsia="ar-SA"/>
        </w:rPr>
        <w:t xml:space="preserve">36.515 </w:t>
      </w:r>
      <w:r w:rsidRPr="00832B0D">
        <w:rPr>
          <w:rFonts w:eastAsia="Calibri" w:cs="Arial"/>
          <w:szCs w:val="22"/>
          <w:lang w:val="es-UY" w:eastAsia="ar-SA"/>
        </w:rPr>
        <w:t xml:space="preserve">y $ </w:t>
      </w:r>
      <w:r w:rsidRPr="00832B0D">
        <w:rPr>
          <w:rFonts w:eastAsia="Calibri" w:cs="Arial"/>
          <w:szCs w:val="22"/>
          <w:lang w:val="es-MX" w:eastAsia="ar-SA"/>
        </w:rPr>
        <w:t xml:space="preserve">210.679 </w:t>
      </w:r>
      <w:r w:rsidRPr="00832B0D">
        <w:rPr>
          <w:rFonts w:eastAsia="Calibri" w:cs="Arial"/>
          <w:szCs w:val="22"/>
          <w:lang w:val="es-UY" w:eastAsia="ar-SA"/>
        </w:rPr>
        <w:t>respectivamente, lo que representa el 20% de los importes contratados con radiodifusoras privadas.</w:t>
      </w:r>
    </w:p>
    <w:p w:rsidR="001A5ED8" w:rsidRDefault="00282769" w:rsidP="001A5ED8">
      <w:pPr>
        <w:keepNext/>
        <w:widowControl w:val="0"/>
        <w:tabs>
          <w:tab w:val="left" w:pos="360"/>
        </w:tabs>
        <w:spacing w:line="360" w:lineRule="auto"/>
        <w:jc w:val="right"/>
        <w:rPr>
          <w:rFonts w:eastAsia="Calibri" w:cs="Arial"/>
          <w:szCs w:val="22"/>
          <w:lang w:val="es-UY" w:eastAsia="ar-SA"/>
        </w:rPr>
      </w:pPr>
      <w:r>
        <w:rPr>
          <w:rFonts w:eastAsia="Calibri" w:cs="Arial"/>
          <w:szCs w:val="22"/>
          <w:lang w:val="es-UY" w:eastAsia="ar-SA"/>
        </w:rPr>
        <w:t>Saludamos a Usted atentamente</w:t>
      </w:r>
    </w:p>
    <w:p w:rsidR="001A5ED8" w:rsidRDefault="001A5ED8" w:rsidP="001A5ED8">
      <w:pPr>
        <w:keepNext/>
        <w:widowControl w:val="0"/>
        <w:tabs>
          <w:tab w:val="left" w:pos="360"/>
        </w:tabs>
        <w:spacing w:line="360" w:lineRule="auto"/>
        <w:jc w:val="right"/>
        <w:rPr>
          <w:rFonts w:eastAsia="Calibri" w:cs="Arial"/>
          <w:szCs w:val="22"/>
          <w:lang w:val="es-UY" w:eastAsia="ar-SA"/>
        </w:rPr>
      </w:pPr>
    </w:p>
    <w:p w:rsidR="001A5ED8" w:rsidRDefault="001A5ED8" w:rsidP="001A5ED8">
      <w:pPr>
        <w:keepNext/>
        <w:widowControl w:val="0"/>
        <w:tabs>
          <w:tab w:val="left" w:pos="360"/>
        </w:tabs>
        <w:spacing w:line="360" w:lineRule="auto"/>
        <w:jc w:val="right"/>
        <w:rPr>
          <w:rFonts w:eastAsia="Calibri" w:cs="Arial"/>
          <w:szCs w:val="22"/>
          <w:lang w:val="es-UY" w:eastAsia="ar-SA"/>
        </w:rPr>
      </w:pPr>
    </w:p>
    <w:p w:rsidR="001A5ED8" w:rsidRDefault="001A5ED8" w:rsidP="00282769">
      <w:pPr>
        <w:keepNext/>
        <w:widowControl w:val="0"/>
        <w:tabs>
          <w:tab w:val="left" w:pos="360"/>
        </w:tabs>
        <w:spacing w:line="360" w:lineRule="auto"/>
        <w:ind w:hanging="426"/>
      </w:pPr>
      <w:proofErr w:type="gramStart"/>
      <w:r>
        <w:rPr>
          <w:rFonts w:eastAsia="Calibri" w:cs="Arial"/>
          <w:szCs w:val="22"/>
          <w:lang w:val="es-UY" w:eastAsia="ar-SA"/>
        </w:rPr>
        <w:t>dc</w:t>
      </w:r>
      <w:proofErr w:type="gramEnd"/>
    </w:p>
    <w:sectPr w:rsidR="001A5ED8" w:rsidSect="00832B0D">
      <w:footerReference w:type="default" r:id="rId8"/>
      <w:pgSz w:w="11906" w:h="16838" w:code="9"/>
      <w:pgMar w:top="3402" w:right="1701" w:bottom="1701" w:left="1701" w:header="709" w:footer="720"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82769">
      <w:r>
        <w:separator/>
      </w:r>
    </w:p>
  </w:endnote>
  <w:endnote w:type="continuationSeparator" w:id="0">
    <w:p w:rsidR="00000000" w:rsidRDefault="0028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4E" w:rsidRDefault="00832B0D">
    <w:pPr>
      <w:pStyle w:val="Piedepgina"/>
      <w:jc w:val="center"/>
    </w:pPr>
    <w:r>
      <w:fldChar w:fldCharType="begin"/>
    </w:r>
    <w:r>
      <w:instrText>PAGE   \* MERGEFORMAT</w:instrText>
    </w:r>
    <w:r>
      <w:fldChar w:fldCharType="separate"/>
    </w:r>
    <w:r w:rsidR="00282769">
      <w:rPr>
        <w:noProof/>
      </w:rPr>
      <w:t>1</w:t>
    </w:r>
    <w:r>
      <w:fldChar w:fldCharType="end"/>
    </w:r>
  </w:p>
  <w:p w:rsidR="00627A5F" w:rsidRDefault="002827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82769">
      <w:r>
        <w:separator/>
      </w:r>
    </w:p>
  </w:footnote>
  <w:footnote w:type="continuationSeparator" w:id="0">
    <w:p w:rsidR="00000000" w:rsidRDefault="00282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360" w:hanging="360"/>
      </w:pPr>
    </w:lvl>
    <w:lvl w:ilvl="1">
      <w:start w:val="1"/>
      <w:numFmt w:val="decimal"/>
      <w:lvlText w:val="%1.%2"/>
      <w:lvlJc w:val="left"/>
      <w:pPr>
        <w:tabs>
          <w:tab w:val="num" w:pos="0"/>
        </w:tabs>
        <w:ind w:left="645" w:hanging="36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220" w:hanging="1080"/>
      </w:pPr>
    </w:lvl>
    <w:lvl w:ilvl="5">
      <w:start w:val="1"/>
      <w:numFmt w:val="decimal"/>
      <w:lvlText w:val="%1.%2.%3.%4.%5.%6"/>
      <w:lvlJc w:val="left"/>
      <w:pPr>
        <w:tabs>
          <w:tab w:val="num" w:pos="0"/>
        </w:tabs>
        <w:ind w:left="2865" w:hanging="1440"/>
      </w:pPr>
    </w:lvl>
    <w:lvl w:ilvl="6">
      <w:start w:val="1"/>
      <w:numFmt w:val="decimal"/>
      <w:lvlText w:val="%1.%2.%3.%4.%5.%6.%7"/>
      <w:lvlJc w:val="left"/>
      <w:pPr>
        <w:tabs>
          <w:tab w:val="num" w:pos="0"/>
        </w:tabs>
        <w:ind w:left="3150" w:hanging="1440"/>
      </w:pPr>
    </w:lvl>
    <w:lvl w:ilvl="7">
      <w:start w:val="1"/>
      <w:numFmt w:val="decimal"/>
      <w:lvlText w:val="%1.%2.%3.%4.%5.%6.%7.%8"/>
      <w:lvlJc w:val="left"/>
      <w:pPr>
        <w:tabs>
          <w:tab w:val="num" w:pos="0"/>
        </w:tabs>
        <w:ind w:left="3795" w:hanging="1800"/>
      </w:pPr>
    </w:lvl>
    <w:lvl w:ilvl="8">
      <w:start w:val="1"/>
      <w:numFmt w:val="decimal"/>
      <w:lvlText w:val="%1.%2.%3.%4.%5.%6.%7.%8.%9"/>
      <w:lvlJc w:val="left"/>
      <w:pPr>
        <w:tabs>
          <w:tab w:val="num" w:pos="0"/>
        </w:tabs>
        <w:ind w:left="4080" w:hanging="180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multilevel"/>
    <w:tmpl w:val="EDDEE1DA"/>
    <w:name w:val="WW8Num4"/>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720"/>
      </w:pPr>
    </w:lvl>
    <w:lvl w:ilvl="2">
      <w:start w:val="1"/>
      <w:numFmt w:val="decimal"/>
      <w:lvlText w:val="%1.%2.%3."/>
      <w:lvlJc w:val="left"/>
      <w:pPr>
        <w:tabs>
          <w:tab w:val="num" w:pos="1800"/>
        </w:tabs>
        <w:ind w:left="1800" w:hanging="720"/>
      </w:pPr>
    </w:lvl>
    <w:lvl w:ilvl="3">
      <w:start w:val="3"/>
      <w:numFmt w:val="decimal"/>
      <w:lvlText w:val="%4."/>
      <w:lvlJc w:val="left"/>
      <w:pPr>
        <w:tabs>
          <w:tab w:val="num" w:pos="1800"/>
        </w:tabs>
        <w:ind w:left="1800" w:hanging="360"/>
      </w:pPr>
      <w:rPr>
        <w:rFonts w:ascii="Arial" w:hAnsi="Arial" w:cs="Arial"/>
        <w:b/>
        <w:i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040"/>
        </w:tabs>
        <w:ind w:left="5040" w:hanging="180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b/>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b/>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b/>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0D"/>
    <w:rsid w:val="001A5ED8"/>
    <w:rsid w:val="00282769"/>
    <w:rsid w:val="00330727"/>
    <w:rsid w:val="00832B0D"/>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2">
    <w:name w:val="heading 2"/>
    <w:basedOn w:val="Normal"/>
    <w:next w:val="Normal"/>
    <w:link w:val="Ttulo2Car"/>
    <w:qFormat/>
    <w:rsid w:val="001A5ED8"/>
    <w:pPr>
      <w:keepNext/>
      <w:numPr>
        <w:ilvl w:val="1"/>
        <w:numId w:val="1"/>
      </w:numPr>
      <w:suppressAutoHyphens/>
      <w:spacing w:line="360" w:lineRule="auto"/>
      <w:jc w:val="center"/>
      <w:outlineLvl w:val="1"/>
    </w:pPr>
    <w:rPr>
      <w:rFonts w:ascii="Bookman Old Style" w:hAnsi="Bookman Old Style" w:cs="Bookman Old Style"/>
      <w:b/>
      <w:szCs w:val="20"/>
      <w:lang w:eastAsia="ar-SA"/>
    </w:rPr>
  </w:style>
  <w:style w:type="paragraph" w:styleId="Ttulo5">
    <w:name w:val="heading 5"/>
    <w:basedOn w:val="Normal"/>
    <w:next w:val="Normal"/>
    <w:link w:val="Ttulo5Car"/>
    <w:qFormat/>
    <w:rsid w:val="001A5ED8"/>
    <w:pPr>
      <w:keepNext/>
      <w:tabs>
        <w:tab w:val="num" w:pos="0"/>
      </w:tabs>
      <w:suppressAutoHyphens/>
      <w:spacing w:line="360" w:lineRule="auto"/>
      <w:ind w:left="360"/>
      <w:jc w:val="both"/>
      <w:outlineLvl w:val="4"/>
    </w:pPr>
    <w:rPr>
      <w:rFonts w:cs="Arial"/>
      <w:b/>
      <w:szCs w:val="20"/>
      <w:lang w:eastAsia="ar-SA"/>
    </w:rPr>
  </w:style>
  <w:style w:type="paragraph" w:styleId="Ttulo6">
    <w:name w:val="heading 6"/>
    <w:basedOn w:val="Normal"/>
    <w:next w:val="Normal"/>
    <w:link w:val="Ttulo6Car"/>
    <w:qFormat/>
    <w:rsid w:val="001A5ED8"/>
    <w:pPr>
      <w:keepNext/>
      <w:numPr>
        <w:ilvl w:val="5"/>
        <w:numId w:val="1"/>
      </w:numPr>
      <w:suppressAutoHyphens/>
      <w:spacing w:line="360" w:lineRule="auto"/>
      <w:jc w:val="both"/>
      <w:outlineLvl w:val="5"/>
    </w:pPr>
    <w:rPr>
      <w:rFonts w:cs="Arial"/>
      <w:b/>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832B0D"/>
    <w:pPr>
      <w:tabs>
        <w:tab w:val="center" w:pos="4419"/>
        <w:tab w:val="right" w:pos="8838"/>
      </w:tabs>
    </w:pPr>
  </w:style>
  <w:style w:type="character" w:customStyle="1" w:styleId="PiedepginaCar">
    <w:name w:val="Pie de página Car"/>
    <w:basedOn w:val="Fuentedeprrafopredeter"/>
    <w:link w:val="Piedepgina"/>
    <w:uiPriority w:val="99"/>
    <w:semiHidden/>
    <w:rsid w:val="00832B0D"/>
    <w:rPr>
      <w:rFonts w:ascii="Arial" w:hAnsi="Arial"/>
      <w:sz w:val="24"/>
      <w:szCs w:val="24"/>
      <w:lang w:val="es-ES" w:eastAsia="es-ES"/>
    </w:rPr>
  </w:style>
  <w:style w:type="paragraph" w:styleId="Prrafodelista">
    <w:name w:val="List Paragraph"/>
    <w:basedOn w:val="Normal"/>
    <w:uiPriority w:val="34"/>
    <w:qFormat/>
    <w:rsid w:val="00832B0D"/>
    <w:pPr>
      <w:ind w:left="720"/>
      <w:contextualSpacing/>
    </w:pPr>
  </w:style>
  <w:style w:type="character" w:customStyle="1" w:styleId="Ttulo2Car">
    <w:name w:val="Título 2 Car"/>
    <w:basedOn w:val="Fuentedeprrafopredeter"/>
    <w:link w:val="Ttulo2"/>
    <w:rsid w:val="001A5ED8"/>
    <w:rPr>
      <w:rFonts w:ascii="Bookman Old Style" w:hAnsi="Bookman Old Style" w:cs="Bookman Old Style"/>
      <w:b/>
      <w:sz w:val="24"/>
      <w:lang w:val="es-ES" w:eastAsia="ar-SA"/>
    </w:rPr>
  </w:style>
  <w:style w:type="character" w:customStyle="1" w:styleId="Ttulo6Car">
    <w:name w:val="Título 6 Car"/>
    <w:basedOn w:val="Fuentedeprrafopredeter"/>
    <w:link w:val="Ttulo6"/>
    <w:rsid w:val="001A5ED8"/>
    <w:rPr>
      <w:rFonts w:ascii="Arial" w:hAnsi="Arial" w:cs="Arial"/>
      <w:b/>
      <w:sz w:val="24"/>
      <w:lang w:val="es-ES" w:eastAsia="ar-SA"/>
    </w:rPr>
  </w:style>
  <w:style w:type="paragraph" w:styleId="Textoindependiente">
    <w:name w:val="Body Text"/>
    <w:basedOn w:val="Normal"/>
    <w:link w:val="TextoindependienteCar"/>
    <w:rsid w:val="001A5ED8"/>
    <w:pPr>
      <w:suppressAutoHyphens/>
      <w:spacing w:line="360" w:lineRule="auto"/>
      <w:jc w:val="both"/>
    </w:pPr>
    <w:rPr>
      <w:rFonts w:ascii="Bookman Old Style" w:hAnsi="Bookman Old Style" w:cs="Bookman Old Style"/>
      <w:szCs w:val="20"/>
      <w:lang w:eastAsia="ar-SA"/>
    </w:rPr>
  </w:style>
  <w:style w:type="character" w:customStyle="1" w:styleId="TextoindependienteCar">
    <w:name w:val="Texto independiente Car"/>
    <w:basedOn w:val="Fuentedeprrafopredeter"/>
    <w:link w:val="Textoindependiente"/>
    <w:rsid w:val="001A5ED8"/>
    <w:rPr>
      <w:rFonts w:ascii="Bookman Old Style" w:hAnsi="Bookman Old Style" w:cs="Bookman Old Style"/>
      <w:sz w:val="24"/>
      <w:lang w:val="es-ES" w:eastAsia="ar-SA"/>
    </w:rPr>
  </w:style>
  <w:style w:type="paragraph" w:customStyle="1" w:styleId="Textoindependiente23">
    <w:name w:val="Texto independiente 23"/>
    <w:basedOn w:val="Normal"/>
    <w:rsid w:val="001A5ED8"/>
    <w:pPr>
      <w:suppressAutoHyphens/>
      <w:spacing w:line="360" w:lineRule="auto"/>
      <w:jc w:val="both"/>
    </w:pPr>
    <w:rPr>
      <w:rFonts w:cs="Arial"/>
      <w:szCs w:val="20"/>
      <w:lang w:val="es-ES_tradnl" w:eastAsia="ar-SA"/>
    </w:rPr>
  </w:style>
  <w:style w:type="paragraph" w:customStyle="1" w:styleId="Textoindependiente31">
    <w:name w:val="Texto independiente 31"/>
    <w:basedOn w:val="Normal"/>
    <w:rsid w:val="001A5ED8"/>
    <w:pPr>
      <w:widowControl w:val="0"/>
      <w:suppressAutoHyphens/>
      <w:jc w:val="both"/>
    </w:pPr>
    <w:rPr>
      <w:rFonts w:ascii="Bookman Old Style" w:hAnsi="Bookman Old Style" w:cs="Bookman Old Style"/>
      <w:b/>
      <w:szCs w:val="20"/>
      <w:lang w:eastAsia="ar-SA"/>
    </w:rPr>
  </w:style>
  <w:style w:type="paragraph" w:customStyle="1" w:styleId="Textoindependiente21">
    <w:name w:val="Texto independiente 21"/>
    <w:basedOn w:val="Normal"/>
    <w:rsid w:val="001A5ED8"/>
    <w:pPr>
      <w:suppressAutoHyphens/>
      <w:spacing w:line="360" w:lineRule="auto"/>
      <w:jc w:val="both"/>
    </w:pPr>
    <w:rPr>
      <w:rFonts w:ascii="Times New Roman" w:hAnsi="Times New Roman"/>
      <w:b/>
      <w:szCs w:val="20"/>
      <w:lang w:eastAsia="ar-SA"/>
    </w:rPr>
  </w:style>
  <w:style w:type="paragraph" w:customStyle="1" w:styleId="BodyText21">
    <w:name w:val="Body Text 21"/>
    <w:basedOn w:val="Normal"/>
    <w:rsid w:val="001A5ED8"/>
    <w:pPr>
      <w:widowControl w:val="0"/>
      <w:suppressAutoHyphens/>
      <w:jc w:val="both"/>
    </w:pPr>
    <w:rPr>
      <w:rFonts w:ascii="Bookman Old Style" w:hAnsi="Bookman Old Style" w:cs="Bookman Old Style"/>
      <w:spacing w:val="-3"/>
      <w:szCs w:val="20"/>
      <w:lang w:val="es-UY" w:eastAsia="ar-SA"/>
    </w:rPr>
  </w:style>
  <w:style w:type="paragraph" w:customStyle="1" w:styleId="Textoindependiente22">
    <w:name w:val="Texto independiente 22"/>
    <w:basedOn w:val="Normal"/>
    <w:rsid w:val="001A5ED8"/>
    <w:pPr>
      <w:widowControl w:val="0"/>
      <w:suppressAutoHyphens/>
      <w:jc w:val="both"/>
    </w:pPr>
    <w:rPr>
      <w:rFonts w:ascii="Bookman Old Style" w:hAnsi="Bookman Old Style" w:cs="Bookman Old Style"/>
      <w:spacing w:val="-3"/>
      <w:szCs w:val="20"/>
      <w:lang w:val="es-UY" w:eastAsia="ar-SA"/>
    </w:rPr>
  </w:style>
  <w:style w:type="character" w:customStyle="1" w:styleId="Ttulo5Car">
    <w:name w:val="Título 5 Car"/>
    <w:basedOn w:val="Fuentedeprrafopredeter"/>
    <w:link w:val="Ttulo5"/>
    <w:rsid w:val="001A5ED8"/>
    <w:rPr>
      <w:rFonts w:ascii="Arial" w:hAnsi="Arial" w:cs="Arial"/>
      <w:b/>
      <w:sz w:val="24"/>
      <w:lang w:val="es-ES" w:eastAsia="ar-SA"/>
    </w:rPr>
  </w:style>
  <w:style w:type="paragraph" w:styleId="Sangradetextonormal">
    <w:name w:val="Body Text Indent"/>
    <w:basedOn w:val="Normal"/>
    <w:link w:val="SangradetextonormalCar"/>
    <w:rsid w:val="001A5ED8"/>
    <w:pPr>
      <w:widowControl w:val="0"/>
      <w:suppressAutoHyphens/>
      <w:jc w:val="both"/>
    </w:pPr>
    <w:rPr>
      <w:rFonts w:ascii="Bookman Old Style" w:hAnsi="Bookman Old Style" w:cs="Bookman Old Style"/>
      <w:spacing w:val="-3"/>
      <w:szCs w:val="20"/>
      <w:lang w:val="es-UY" w:eastAsia="ar-SA"/>
    </w:rPr>
  </w:style>
  <w:style w:type="character" w:customStyle="1" w:styleId="SangradetextonormalCar">
    <w:name w:val="Sangría de texto normal Car"/>
    <w:basedOn w:val="Fuentedeprrafopredeter"/>
    <w:link w:val="Sangradetextonormal"/>
    <w:rsid w:val="001A5ED8"/>
    <w:rPr>
      <w:rFonts w:ascii="Bookman Old Style" w:hAnsi="Bookman Old Style" w:cs="Bookman Old Style"/>
      <w:spacing w:val="-3"/>
      <w:sz w:val="24"/>
      <w:lang w:val="es-UY" w:eastAsia="ar-SA"/>
    </w:rPr>
  </w:style>
  <w:style w:type="paragraph" w:customStyle="1" w:styleId="Bodyby">
    <w:name w:val="Body.by"/>
    <w:basedOn w:val="Normal"/>
    <w:rsid w:val="001A5ED8"/>
    <w:pPr>
      <w:suppressAutoHyphens/>
      <w:spacing w:after="260" w:line="260" w:lineRule="exact"/>
    </w:pPr>
    <w:rPr>
      <w:rFonts w:ascii="Times" w:hAnsi="Times" w:cs="Times"/>
      <w:sz w:val="2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2">
    <w:name w:val="heading 2"/>
    <w:basedOn w:val="Normal"/>
    <w:next w:val="Normal"/>
    <w:link w:val="Ttulo2Car"/>
    <w:qFormat/>
    <w:rsid w:val="001A5ED8"/>
    <w:pPr>
      <w:keepNext/>
      <w:numPr>
        <w:ilvl w:val="1"/>
        <w:numId w:val="1"/>
      </w:numPr>
      <w:suppressAutoHyphens/>
      <w:spacing w:line="360" w:lineRule="auto"/>
      <w:jc w:val="center"/>
      <w:outlineLvl w:val="1"/>
    </w:pPr>
    <w:rPr>
      <w:rFonts w:ascii="Bookman Old Style" w:hAnsi="Bookman Old Style" w:cs="Bookman Old Style"/>
      <w:b/>
      <w:szCs w:val="20"/>
      <w:lang w:eastAsia="ar-SA"/>
    </w:rPr>
  </w:style>
  <w:style w:type="paragraph" w:styleId="Ttulo5">
    <w:name w:val="heading 5"/>
    <w:basedOn w:val="Normal"/>
    <w:next w:val="Normal"/>
    <w:link w:val="Ttulo5Car"/>
    <w:qFormat/>
    <w:rsid w:val="001A5ED8"/>
    <w:pPr>
      <w:keepNext/>
      <w:tabs>
        <w:tab w:val="num" w:pos="0"/>
      </w:tabs>
      <w:suppressAutoHyphens/>
      <w:spacing w:line="360" w:lineRule="auto"/>
      <w:ind w:left="360"/>
      <w:jc w:val="both"/>
      <w:outlineLvl w:val="4"/>
    </w:pPr>
    <w:rPr>
      <w:rFonts w:cs="Arial"/>
      <w:b/>
      <w:szCs w:val="20"/>
      <w:lang w:eastAsia="ar-SA"/>
    </w:rPr>
  </w:style>
  <w:style w:type="paragraph" w:styleId="Ttulo6">
    <w:name w:val="heading 6"/>
    <w:basedOn w:val="Normal"/>
    <w:next w:val="Normal"/>
    <w:link w:val="Ttulo6Car"/>
    <w:qFormat/>
    <w:rsid w:val="001A5ED8"/>
    <w:pPr>
      <w:keepNext/>
      <w:numPr>
        <w:ilvl w:val="5"/>
        <w:numId w:val="1"/>
      </w:numPr>
      <w:suppressAutoHyphens/>
      <w:spacing w:line="360" w:lineRule="auto"/>
      <w:jc w:val="both"/>
      <w:outlineLvl w:val="5"/>
    </w:pPr>
    <w:rPr>
      <w:rFonts w:cs="Arial"/>
      <w:b/>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832B0D"/>
    <w:pPr>
      <w:tabs>
        <w:tab w:val="center" w:pos="4419"/>
        <w:tab w:val="right" w:pos="8838"/>
      </w:tabs>
    </w:pPr>
  </w:style>
  <w:style w:type="character" w:customStyle="1" w:styleId="PiedepginaCar">
    <w:name w:val="Pie de página Car"/>
    <w:basedOn w:val="Fuentedeprrafopredeter"/>
    <w:link w:val="Piedepgina"/>
    <w:uiPriority w:val="99"/>
    <w:semiHidden/>
    <w:rsid w:val="00832B0D"/>
    <w:rPr>
      <w:rFonts w:ascii="Arial" w:hAnsi="Arial"/>
      <w:sz w:val="24"/>
      <w:szCs w:val="24"/>
      <w:lang w:val="es-ES" w:eastAsia="es-ES"/>
    </w:rPr>
  </w:style>
  <w:style w:type="paragraph" w:styleId="Prrafodelista">
    <w:name w:val="List Paragraph"/>
    <w:basedOn w:val="Normal"/>
    <w:uiPriority w:val="34"/>
    <w:qFormat/>
    <w:rsid w:val="00832B0D"/>
    <w:pPr>
      <w:ind w:left="720"/>
      <w:contextualSpacing/>
    </w:pPr>
  </w:style>
  <w:style w:type="character" w:customStyle="1" w:styleId="Ttulo2Car">
    <w:name w:val="Título 2 Car"/>
    <w:basedOn w:val="Fuentedeprrafopredeter"/>
    <w:link w:val="Ttulo2"/>
    <w:rsid w:val="001A5ED8"/>
    <w:rPr>
      <w:rFonts w:ascii="Bookman Old Style" w:hAnsi="Bookman Old Style" w:cs="Bookman Old Style"/>
      <w:b/>
      <w:sz w:val="24"/>
      <w:lang w:val="es-ES" w:eastAsia="ar-SA"/>
    </w:rPr>
  </w:style>
  <w:style w:type="character" w:customStyle="1" w:styleId="Ttulo6Car">
    <w:name w:val="Título 6 Car"/>
    <w:basedOn w:val="Fuentedeprrafopredeter"/>
    <w:link w:val="Ttulo6"/>
    <w:rsid w:val="001A5ED8"/>
    <w:rPr>
      <w:rFonts w:ascii="Arial" w:hAnsi="Arial" w:cs="Arial"/>
      <w:b/>
      <w:sz w:val="24"/>
      <w:lang w:val="es-ES" w:eastAsia="ar-SA"/>
    </w:rPr>
  </w:style>
  <w:style w:type="paragraph" w:styleId="Textoindependiente">
    <w:name w:val="Body Text"/>
    <w:basedOn w:val="Normal"/>
    <w:link w:val="TextoindependienteCar"/>
    <w:rsid w:val="001A5ED8"/>
    <w:pPr>
      <w:suppressAutoHyphens/>
      <w:spacing w:line="360" w:lineRule="auto"/>
      <w:jc w:val="both"/>
    </w:pPr>
    <w:rPr>
      <w:rFonts w:ascii="Bookman Old Style" w:hAnsi="Bookman Old Style" w:cs="Bookman Old Style"/>
      <w:szCs w:val="20"/>
      <w:lang w:eastAsia="ar-SA"/>
    </w:rPr>
  </w:style>
  <w:style w:type="character" w:customStyle="1" w:styleId="TextoindependienteCar">
    <w:name w:val="Texto independiente Car"/>
    <w:basedOn w:val="Fuentedeprrafopredeter"/>
    <w:link w:val="Textoindependiente"/>
    <w:rsid w:val="001A5ED8"/>
    <w:rPr>
      <w:rFonts w:ascii="Bookman Old Style" w:hAnsi="Bookman Old Style" w:cs="Bookman Old Style"/>
      <w:sz w:val="24"/>
      <w:lang w:val="es-ES" w:eastAsia="ar-SA"/>
    </w:rPr>
  </w:style>
  <w:style w:type="paragraph" w:customStyle="1" w:styleId="Textoindependiente23">
    <w:name w:val="Texto independiente 23"/>
    <w:basedOn w:val="Normal"/>
    <w:rsid w:val="001A5ED8"/>
    <w:pPr>
      <w:suppressAutoHyphens/>
      <w:spacing w:line="360" w:lineRule="auto"/>
      <w:jc w:val="both"/>
    </w:pPr>
    <w:rPr>
      <w:rFonts w:cs="Arial"/>
      <w:szCs w:val="20"/>
      <w:lang w:val="es-ES_tradnl" w:eastAsia="ar-SA"/>
    </w:rPr>
  </w:style>
  <w:style w:type="paragraph" w:customStyle="1" w:styleId="Textoindependiente31">
    <w:name w:val="Texto independiente 31"/>
    <w:basedOn w:val="Normal"/>
    <w:rsid w:val="001A5ED8"/>
    <w:pPr>
      <w:widowControl w:val="0"/>
      <w:suppressAutoHyphens/>
      <w:jc w:val="both"/>
    </w:pPr>
    <w:rPr>
      <w:rFonts w:ascii="Bookman Old Style" w:hAnsi="Bookman Old Style" w:cs="Bookman Old Style"/>
      <w:b/>
      <w:szCs w:val="20"/>
      <w:lang w:eastAsia="ar-SA"/>
    </w:rPr>
  </w:style>
  <w:style w:type="paragraph" w:customStyle="1" w:styleId="Textoindependiente21">
    <w:name w:val="Texto independiente 21"/>
    <w:basedOn w:val="Normal"/>
    <w:rsid w:val="001A5ED8"/>
    <w:pPr>
      <w:suppressAutoHyphens/>
      <w:spacing w:line="360" w:lineRule="auto"/>
      <w:jc w:val="both"/>
    </w:pPr>
    <w:rPr>
      <w:rFonts w:ascii="Times New Roman" w:hAnsi="Times New Roman"/>
      <w:b/>
      <w:szCs w:val="20"/>
      <w:lang w:eastAsia="ar-SA"/>
    </w:rPr>
  </w:style>
  <w:style w:type="paragraph" w:customStyle="1" w:styleId="BodyText21">
    <w:name w:val="Body Text 21"/>
    <w:basedOn w:val="Normal"/>
    <w:rsid w:val="001A5ED8"/>
    <w:pPr>
      <w:widowControl w:val="0"/>
      <w:suppressAutoHyphens/>
      <w:jc w:val="both"/>
    </w:pPr>
    <w:rPr>
      <w:rFonts w:ascii="Bookman Old Style" w:hAnsi="Bookman Old Style" w:cs="Bookman Old Style"/>
      <w:spacing w:val="-3"/>
      <w:szCs w:val="20"/>
      <w:lang w:val="es-UY" w:eastAsia="ar-SA"/>
    </w:rPr>
  </w:style>
  <w:style w:type="paragraph" w:customStyle="1" w:styleId="Textoindependiente22">
    <w:name w:val="Texto independiente 22"/>
    <w:basedOn w:val="Normal"/>
    <w:rsid w:val="001A5ED8"/>
    <w:pPr>
      <w:widowControl w:val="0"/>
      <w:suppressAutoHyphens/>
      <w:jc w:val="both"/>
    </w:pPr>
    <w:rPr>
      <w:rFonts w:ascii="Bookman Old Style" w:hAnsi="Bookman Old Style" w:cs="Bookman Old Style"/>
      <w:spacing w:val="-3"/>
      <w:szCs w:val="20"/>
      <w:lang w:val="es-UY" w:eastAsia="ar-SA"/>
    </w:rPr>
  </w:style>
  <w:style w:type="character" w:customStyle="1" w:styleId="Ttulo5Car">
    <w:name w:val="Título 5 Car"/>
    <w:basedOn w:val="Fuentedeprrafopredeter"/>
    <w:link w:val="Ttulo5"/>
    <w:rsid w:val="001A5ED8"/>
    <w:rPr>
      <w:rFonts w:ascii="Arial" w:hAnsi="Arial" w:cs="Arial"/>
      <w:b/>
      <w:sz w:val="24"/>
      <w:lang w:val="es-ES" w:eastAsia="ar-SA"/>
    </w:rPr>
  </w:style>
  <w:style w:type="paragraph" w:styleId="Sangradetextonormal">
    <w:name w:val="Body Text Indent"/>
    <w:basedOn w:val="Normal"/>
    <w:link w:val="SangradetextonormalCar"/>
    <w:rsid w:val="001A5ED8"/>
    <w:pPr>
      <w:widowControl w:val="0"/>
      <w:suppressAutoHyphens/>
      <w:jc w:val="both"/>
    </w:pPr>
    <w:rPr>
      <w:rFonts w:ascii="Bookman Old Style" w:hAnsi="Bookman Old Style" w:cs="Bookman Old Style"/>
      <w:spacing w:val="-3"/>
      <w:szCs w:val="20"/>
      <w:lang w:val="es-UY" w:eastAsia="ar-SA"/>
    </w:rPr>
  </w:style>
  <w:style w:type="character" w:customStyle="1" w:styleId="SangradetextonormalCar">
    <w:name w:val="Sangría de texto normal Car"/>
    <w:basedOn w:val="Fuentedeprrafopredeter"/>
    <w:link w:val="Sangradetextonormal"/>
    <w:rsid w:val="001A5ED8"/>
    <w:rPr>
      <w:rFonts w:ascii="Bookman Old Style" w:hAnsi="Bookman Old Style" w:cs="Bookman Old Style"/>
      <w:spacing w:val="-3"/>
      <w:sz w:val="24"/>
      <w:lang w:val="es-UY" w:eastAsia="ar-SA"/>
    </w:rPr>
  </w:style>
  <w:style w:type="paragraph" w:customStyle="1" w:styleId="Bodyby">
    <w:name w:val="Body.by"/>
    <w:basedOn w:val="Normal"/>
    <w:rsid w:val="001A5ED8"/>
    <w:pPr>
      <w:suppressAutoHyphens/>
      <w:spacing w:after="260" w:line="260" w:lineRule="exact"/>
    </w:pPr>
    <w:rPr>
      <w:rFonts w:ascii="Times" w:hAnsi="Times" w:cs="Times"/>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2001</Words>
  <Characters>11212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2017-01-30T18:10:00Z</cp:lastPrinted>
  <dcterms:created xsi:type="dcterms:W3CDTF">2017-01-30T18:03:00Z</dcterms:created>
  <dcterms:modified xsi:type="dcterms:W3CDTF">2018-05-24T19:15:00Z</dcterms:modified>
</cp:coreProperties>
</file>