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93" w:rsidRPr="008E5193" w:rsidRDefault="008E5193" w:rsidP="008E519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 w:rsidRPr="008E5193">
        <w:rPr>
          <w:rFonts w:cs="Arial"/>
          <w:b/>
          <w:sz w:val="28"/>
          <w:szCs w:val="28"/>
          <w:lang w:val="es-ES_tradnl"/>
        </w:rPr>
        <w:t>RES. 1</w:t>
      </w:r>
      <w:r w:rsidR="00B62ED2">
        <w:rPr>
          <w:rFonts w:cs="Arial"/>
          <w:b/>
          <w:sz w:val="28"/>
          <w:szCs w:val="28"/>
          <w:lang w:val="es-ES_tradnl"/>
        </w:rPr>
        <w:t>413</w:t>
      </w:r>
      <w:r w:rsidRPr="008E5193">
        <w:rPr>
          <w:rFonts w:cs="Arial"/>
          <w:b/>
          <w:sz w:val="28"/>
          <w:szCs w:val="28"/>
          <w:lang w:val="es-ES_tradnl"/>
        </w:rPr>
        <w:t>/18</w:t>
      </w:r>
    </w:p>
    <w:p w:rsidR="008E5193" w:rsidRPr="008E5193" w:rsidRDefault="008E5193" w:rsidP="008E5193">
      <w:pPr>
        <w:tabs>
          <w:tab w:val="center" w:pos="4253"/>
        </w:tabs>
        <w:suppressAutoHyphens/>
        <w:jc w:val="center"/>
        <w:rPr>
          <w:rFonts w:cs="Arial"/>
          <w:b/>
          <w:szCs w:val="20"/>
          <w:lang w:val="es-ES_tradnl"/>
        </w:rPr>
      </w:pPr>
    </w:p>
    <w:p w:rsidR="008E5193" w:rsidRPr="008E5193" w:rsidRDefault="008E5193" w:rsidP="008E519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8E5193">
        <w:rPr>
          <w:rFonts w:ascii="Helvetica" w:hAnsi="Helvetica"/>
          <w:b/>
          <w:szCs w:val="20"/>
          <w:lang w:val="es-ES_tradnl"/>
        </w:rPr>
        <w:t>RESOLUCION ADOPTADA POR EL</w:t>
      </w:r>
    </w:p>
    <w:p w:rsidR="008E5193" w:rsidRPr="008E5193" w:rsidRDefault="008E5193" w:rsidP="008E5193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8E5193" w:rsidRPr="008E5193" w:rsidRDefault="008E5193" w:rsidP="008E519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8E5193">
        <w:rPr>
          <w:rFonts w:ascii="Helvetica" w:hAnsi="Helvetica"/>
          <w:b/>
          <w:szCs w:val="20"/>
          <w:lang w:val="es-ES_tradnl"/>
        </w:rPr>
        <w:t>TRIBUNAL DE CUENTAS</w:t>
      </w:r>
    </w:p>
    <w:p w:rsidR="008E5193" w:rsidRPr="008E5193" w:rsidRDefault="008E5193" w:rsidP="008E5193">
      <w:pPr>
        <w:tabs>
          <w:tab w:val="left" w:pos="-720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8E5193" w:rsidRPr="008E5193" w:rsidRDefault="008E5193" w:rsidP="008E519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  <w:r w:rsidRPr="008E5193">
        <w:rPr>
          <w:rFonts w:ascii="Helvetica" w:hAnsi="Helvetica"/>
          <w:b/>
          <w:szCs w:val="20"/>
          <w:lang w:val="es-ES_tradnl"/>
        </w:rPr>
        <w:t xml:space="preserve">EN SESION DE FECHA 26 </w:t>
      </w:r>
      <w:r w:rsidRPr="008E5193">
        <w:rPr>
          <w:rFonts w:cs="Arial"/>
          <w:b/>
          <w:szCs w:val="20"/>
          <w:lang w:val="es-ES_tradnl"/>
        </w:rPr>
        <w:t xml:space="preserve"> DE ABRIL </w:t>
      </w:r>
      <w:r w:rsidRPr="008E5193">
        <w:rPr>
          <w:rFonts w:ascii="Helvetica" w:hAnsi="Helvetica"/>
          <w:b/>
          <w:szCs w:val="20"/>
          <w:lang w:val="es-ES_tradnl"/>
        </w:rPr>
        <w:t>DE 2018</w:t>
      </w:r>
    </w:p>
    <w:p w:rsidR="008E5193" w:rsidRPr="008E5193" w:rsidRDefault="008E5193" w:rsidP="008E519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  <w:lang w:val="es-ES_tradnl"/>
        </w:rPr>
      </w:pPr>
    </w:p>
    <w:p w:rsidR="008E5193" w:rsidRPr="008E5193" w:rsidRDefault="008E5193" w:rsidP="008E5193">
      <w:pPr>
        <w:tabs>
          <w:tab w:val="center" w:pos="4253"/>
        </w:tabs>
        <w:suppressAutoHyphens/>
        <w:jc w:val="center"/>
        <w:rPr>
          <w:rFonts w:ascii="Helvetica" w:hAnsi="Helvetica"/>
          <w:b/>
          <w:szCs w:val="20"/>
        </w:rPr>
      </w:pPr>
      <w:r w:rsidRPr="008E5193">
        <w:rPr>
          <w:rFonts w:ascii="Helvetica" w:hAnsi="Helvetica"/>
          <w:b/>
          <w:szCs w:val="20"/>
        </w:rPr>
        <w:t>(E. E. Nº 2018-17-1-0002</w:t>
      </w:r>
      <w:r w:rsidR="00B62ED2">
        <w:rPr>
          <w:rFonts w:ascii="Helvetica" w:hAnsi="Helvetica"/>
          <w:b/>
          <w:szCs w:val="20"/>
        </w:rPr>
        <w:t>515</w:t>
      </w:r>
      <w:r w:rsidRPr="008E5193">
        <w:rPr>
          <w:rFonts w:ascii="Helvetica" w:hAnsi="Helvetica"/>
          <w:b/>
          <w:szCs w:val="20"/>
        </w:rPr>
        <w:t xml:space="preserve">, </w:t>
      </w:r>
      <w:proofErr w:type="spellStart"/>
      <w:r w:rsidRPr="008E5193">
        <w:rPr>
          <w:rFonts w:ascii="Helvetica" w:hAnsi="Helvetica"/>
          <w:b/>
          <w:szCs w:val="20"/>
        </w:rPr>
        <w:t>Ent</w:t>
      </w:r>
      <w:proofErr w:type="spellEnd"/>
      <w:r w:rsidRPr="008E5193">
        <w:rPr>
          <w:rFonts w:ascii="Helvetica" w:hAnsi="Helvetica"/>
          <w:b/>
          <w:szCs w:val="20"/>
        </w:rPr>
        <w:t>. N° 1</w:t>
      </w:r>
      <w:r w:rsidR="00B62ED2">
        <w:rPr>
          <w:rFonts w:ascii="Helvetica" w:hAnsi="Helvetica"/>
          <w:b/>
          <w:szCs w:val="20"/>
        </w:rPr>
        <w:t>889</w:t>
      </w:r>
      <w:r w:rsidRPr="008E5193">
        <w:rPr>
          <w:rFonts w:ascii="Helvetica" w:hAnsi="Helvetica"/>
          <w:b/>
          <w:szCs w:val="20"/>
        </w:rPr>
        <w:t>/18)</w:t>
      </w:r>
    </w:p>
    <w:p w:rsidR="008E5193" w:rsidRDefault="008E5193" w:rsidP="00D01B53">
      <w:pPr>
        <w:pStyle w:val="Ttulo1"/>
        <w:spacing w:line="360" w:lineRule="auto"/>
        <w:jc w:val="left"/>
        <w:rPr>
          <w:rFonts w:ascii="Arial" w:hAnsi="Arial" w:cs="Arial"/>
        </w:rPr>
      </w:pPr>
    </w:p>
    <w:p w:rsidR="00473FC3" w:rsidRDefault="00473FC3" w:rsidP="00D01B53">
      <w:pPr>
        <w:spacing w:line="360" w:lineRule="auto"/>
        <w:jc w:val="both"/>
        <w:rPr>
          <w:lang w:val="es-ES_tradnl"/>
        </w:rPr>
      </w:pPr>
    </w:p>
    <w:p w:rsidR="00A56F10" w:rsidRDefault="00D01B53" w:rsidP="00473FC3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estas actuaciones remitidas por el</w:t>
      </w:r>
      <w:r w:rsidR="00306313" w:rsidRPr="00306313">
        <w:t xml:space="preserve"> </w:t>
      </w:r>
      <w:r w:rsidR="00306313" w:rsidRPr="00306313">
        <w:rPr>
          <w:rFonts w:cs="Arial"/>
        </w:rPr>
        <w:t xml:space="preserve">Ministerio de </w:t>
      </w:r>
      <w:r w:rsidR="00DB4B96">
        <w:rPr>
          <w:rFonts w:cs="Arial"/>
        </w:rPr>
        <w:t>Desarrollo Social</w:t>
      </w:r>
      <w:r w:rsidR="00306313" w:rsidRPr="00306313">
        <w:rPr>
          <w:rFonts w:cs="Arial"/>
        </w:rPr>
        <w:t xml:space="preserve"> (M</w:t>
      </w:r>
      <w:r w:rsidR="00DB4B96">
        <w:rPr>
          <w:rFonts w:cs="Arial"/>
        </w:rPr>
        <w:t>IDES</w:t>
      </w:r>
      <w:r w:rsidR="00306313" w:rsidRPr="00306313">
        <w:rPr>
          <w:rFonts w:cs="Arial"/>
        </w:rPr>
        <w:t>)</w:t>
      </w:r>
      <w:r>
        <w:rPr>
          <w:rFonts w:cs="Arial"/>
        </w:rPr>
        <w:t xml:space="preserve">,  relacionadas con el </w:t>
      </w:r>
      <w:r w:rsidR="00306313">
        <w:rPr>
          <w:rFonts w:cs="Arial"/>
        </w:rPr>
        <w:t>convenio</w:t>
      </w:r>
      <w:r w:rsidR="00DB4B96">
        <w:rPr>
          <w:rFonts w:cs="Arial"/>
        </w:rPr>
        <w:t xml:space="preserve"> </w:t>
      </w:r>
      <w:r w:rsidR="00A56F10">
        <w:rPr>
          <w:rFonts w:cs="Arial"/>
        </w:rPr>
        <w:t xml:space="preserve">suscrito con la Cooperativa Social </w:t>
      </w:r>
      <w:proofErr w:type="spellStart"/>
      <w:r w:rsidR="00A56F10">
        <w:rPr>
          <w:rFonts w:cs="Arial"/>
        </w:rPr>
        <w:t>Cablex</w:t>
      </w:r>
      <w:proofErr w:type="spellEnd"/>
      <w:r w:rsidR="00A56F10">
        <w:rPr>
          <w:rFonts w:cs="Arial"/>
        </w:rPr>
        <w:t xml:space="preserve"> Paysandú con fecha 15 de marzo de 2018;</w:t>
      </w:r>
    </w:p>
    <w:p w:rsidR="009B769D" w:rsidRDefault="00D01B53" w:rsidP="00473FC3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>1)</w:t>
      </w:r>
      <w:r w:rsidR="00F9297C">
        <w:t xml:space="preserve"> </w:t>
      </w:r>
      <w:r w:rsidR="00515FC0">
        <w:t>que con fecha</w:t>
      </w:r>
      <w:r w:rsidR="009B769D">
        <w:t xml:space="preserve"> 22 de noviembre de 2013</w:t>
      </w:r>
      <w:r w:rsidR="00380AFE">
        <w:t>,</w:t>
      </w:r>
      <w:r w:rsidR="00F9297C">
        <w:t xml:space="preserve"> el MIDES y</w:t>
      </w:r>
      <w:r w:rsidR="00515FC0" w:rsidRPr="00515FC0">
        <w:t xml:space="preserve"> </w:t>
      </w:r>
      <w:r w:rsidR="00515FC0">
        <w:t xml:space="preserve">la Administración Nacional de Usinas y Trasmisiones Eléctricas </w:t>
      </w:r>
      <w:r w:rsidR="00380AFE">
        <w:t xml:space="preserve"> (UTE), </w:t>
      </w:r>
      <w:r w:rsidR="00515FC0">
        <w:t xml:space="preserve">suscribieron </w:t>
      </w:r>
      <w:r w:rsidR="009B769D">
        <w:t>un convenio con objeto facilitar el acceso a determinada población a una canasta de servicios básicos y optimizar las inversiones del Estado convenio en el marco del Proyecto Piloto “Canasta de Servicios”</w:t>
      </w:r>
      <w:r w:rsidR="00515FC0">
        <w:t>, el cual fue considerado por</w:t>
      </w:r>
      <w:r w:rsidR="00515FC0" w:rsidRPr="00515FC0">
        <w:t xml:space="preserve"> </w:t>
      </w:r>
      <w:r w:rsidR="00515FC0">
        <w:t xml:space="preserve">este Tribunal con fecha 9 de abril de </w:t>
      </w:r>
      <w:r w:rsidR="001D3B28">
        <w:t>2014,</w:t>
      </w:r>
      <w:r w:rsidR="00515FC0">
        <w:t xml:space="preserve"> cometiendo la intervención de los gastos para los </w:t>
      </w:r>
      <w:r w:rsidR="00473FC3">
        <w:t>E</w:t>
      </w:r>
      <w:r w:rsidR="00515FC0">
        <w:t>jercicios 2013 y 2014</w:t>
      </w:r>
      <w:r w:rsidR="009B769D">
        <w:t>;</w:t>
      </w:r>
    </w:p>
    <w:p w:rsidR="000E2D67" w:rsidRDefault="00515FC0" w:rsidP="00153338">
      <w:pPr>
        <w:spacing w:line="360" w:lineRule="auto"/>
        <w:ind w:firstLine="2694"/>
        <w:jc w:val="both"/>
      </w:pPr>
      <w:r>
        <w:rPr>
          <w:b/>
          <w:bCs/>
        </w:rPr>
        <w:t xml:space="preserve">2) </w:t>
      </w:r>
      <w:r w:rsidR="00D01B53">
        <w:t>que</w:t>
      </w:r>
      <w:r w:rsidR="004C4D04">
        <w:t xml:space="preserve"> </w:t>
      </w:r>
      <w:r w:rsidR="00380AFE">
        <w:t xml:space="preserve">con fecha 15 de marzo de 2018 y </w:t>
      </w:r>
      <w:r>
        <w:t xml:space="preserve">en </w:t>
      </w:r>
      <w:r w:rsidR="00380AFE">
        <w:t xml:space="preserve">el marco del citado convenio, el ministerio actuante suscribió convenio con </w:t>
      </w:r>
      <w:r>
        <w:rPr>
          <w:rFonts w:cs="Arial"/>
        </w:rPr>
        <w:t xml:space="preserve">la Cooperativa Social </w:t>
      </w:r>
      <w:proofErr w:type="spellStart"/>
      <w:r>
        <w:rPr>
          <w:rFonts w:cs="Arial"/>
        </w:rPr>
        <w:t>Cablex</w:t>
      </w:r>
      <w:proofErr w:type="spellEnd"/>
      <w:r>
        <w:rPr>
          <w:rFonts w:cs="Arial"/>
        </w:rPr>
        <w:t xml:space="preserve"> Paysandú, cuyo objeto es</w:t>
      </w:r>
      <w:r w:rsidR="00A56F10">
        <w:t xml:space="preserve"> la </w:t>
      </w:r>
      <w:r w:rsidR="004C4D04">
        <w:t>ejecución</w:t>
      </w:r>
      <w:r>
        <w:t xml:space="preserve"> por parte de la citada cooperativa,  </w:t>
      </w:r>
      <w:r w:rsidR="00A56F10">
        <w:t>de las tareas relacionadas</w:t>
      </w:r>
      <w:r w:rsidR="004C4D04">
        <w:t xml:space="preserve"> a la mejora de las conexiones </w:t>
      </w:r>
      <w:r w:rsidR="004C4D04">
        <w:lastRenderedPageBreak/>
        <w:t xml:space="preserve">eléctricas </w:t>
      </w:r>
      <w:proofErr w:type="spellStart"/>
      <w:r w:rsidR="000E2D67">
        <w:t>intradomiciliarias</w:t>
      </w:r>
      <w:proofErr w:type="spellEnd"/>
      <w:r w:rsidR="004C4D04">
        <w:t>, según la base de datos de hogares que le será proporcionada por UTE</w:t>
      </w:r>
      <w:r w:rsidR="000E2D67">
        <w:t xml:space="preserve"> en las localidades de Paysandú y otros departamentos;</w:t>
      </w:r>
    </w:p>
    <w:p w:rsidR="008F7CC6" w:rsidRDefault="00515FC0" w:rsidP="00153338">
      <w:pPr>
        <w:spacing w:line="360" w:lineRule="auto"/>
        <w:ind w:firstLine="2835"/>
        <w:jc w:val="both"/>
      </w:pPr>
      <w:r w:rsidRPr="001D3B28">
        <w:rPr>
          <w:b/>
        </w:rPr>
        <w:t>3</w:t>
      </w:r>
      <w:r w:rsidR="00F63063" w:rsidRPr="001D3B28">
        <w:rPr>
          <w:b/>
        </w:rPr>
        <w:t>)</w:t>
      </w:r>
      <w:r w:rsidR="00F63063">
        <w:rPr>
          <w:b/>
        </w:rPr>
        <w:t xml:space="preserve"> </w:t>
      </w:r>
      <w:r w:rsidR="00F63063">
        <w:t>que</w:t>
      </w:r>
      <w:r w:rsidR="00D01B53">
        <w:t xml:space="preserve"> </w:t>
      </w:r>
      <w:r w:rsidR="00DB4B96">
        <w:t>el</w:t>
      </w:r>
      <w:r w:rsidR="000E2D67">
        <w:t xml:space="preserve"> monto total del convenio asciende a la suma de $</w:t>
      </w:r>
      <w:r w:rsidR="00AF2A9E">
        <w:t xml:space="preserve"> </w:t>
      </w:r>
      <w:r w:rsidR="000E2D67">
        <w:t>2.100.000</w:t>
      </w:r>
      <w:r w:rsidR="00380AFE">
        <w:t>, la</w:t>
      </w:r>
      <w:r w:rsidR="000E2D67">
        <w:t xml:space="preserve"> que se abonará en partidas </w:t>
      </w:r>
      <w:r w:rsidR="008F7CC6">
        <w:t>mensuales, según</w:t>
      </w:r>
      <w:r w:rsidR="000E2D67">
        <w:t xml:space="preserve"> la cantidad de conexiones domiciliarias que haya realizado la cooperativa y que hayan sido aprobadas </w:t>
      </w:r>
      <w:r w:rsidR="00AF2A9E">
        <w:t>por</w:t>
      </w:r>
      <w:r w:rsidR="000E2D67">
        <w:t xml:space="preserve"> UTE, siendo el costo por servicio de conexión por domicilio variable y no podrá </w:t>
      </w:r>
      <w:r w:rsidR="003048D4">
        <w:t>sobrepasar los $</w:t>
      </w:r>
      <w:r w:rsidR="00AF2A9E">
        <w:t xml:space="preserve"> </w:t>
      </w:r>
      <w:r w:rsidR="003048D4">
        <w:t xml:space="preserve">21.000 por cada vivienda, </w:t>
      </w:r>
      <w:r w:rsidR="00DB4B96">
        <w:t xml:space="preserve"> </w:t>
      </w:r>
      <w:r w:rsidR="008F7CC6">
        <w:t>dependiendo del trabajo que insuma el mismo;</w:t>
      </w:r>
    </w:p>
    <w:p w:rsidR="008F7CC6" w:rsidRPr="008F7CC6" w:rsidRDefault="001D3B28" w:rsidP="00495788">
      <w:pPr>
        <w:spacing w:line="360" w:lineRule="auto"/>
        <w:ind w:firstLine="2835"/>
        <w:jc w:val="both"/>
      </w:pPr>
      <w:r>
        <w:rPr>
          <w:b/>
        </w:rPr>
        <w:t>4</w:t>
      </w:r>
      <w:r w:rsidR="008F7CC6" w:rsidRPr="008F7CC6">
        <w:rPr>
          <w:b/>
        </w:rPr>
        <w:t>)</w:t>
      </w:r>
      <w:r w:rsidR="00231CC5">
        <w:rPr>
          <w:b/>
        </w:rPr>
        <w:t xml:space="preserve"> </w:t>
      </w:r>
      <w:r w:rsidR="00317D2B">
        <w:t>que el monto se ajustará</w:t>
      </w:r>
      <w:r w:rsidR="008F7CC6" w:rsidRPr="008F7CC6">
        <w:t xml:space="preserve"> trimestralmente</w:t>
      </w:r>
      <w:r w:rsidR="00317D2B">
        <w:t xml:space="preserve">, </w:t>
      </w:r>
      <w:r w:rsidR="008F7CC6" w:rsidRPr="008F7CC6">
        <w:t xml:space="preserve">de acuerdo a la variación </w:t>
      </w:r>
      <w:r w:rsidR="008F7CC6">
        <w:t>de i</w:t>
      </w:r>
      <w:r w:rsidR="008F7CC6" w:rsidRPr="008F7CC6">
        <w:t>gual periodo de</w:t>
      </w:r>
      <w:r w:rsidR="008F7CC6">
        <w:t xml:space="preserve"> </w:t>
      </w:r>
      <w:r w:rsidR="008F7CC6" w:rsidRPr="008F7CC6">
        <w:t xml:space="preserve">la cláusula segunda </w:t>
      </w:r>
      <w:r w:rsidR="009631D1">
        <w:t>L</w:t>
      </w:r>
      <w:r w:rsidR="008F7CC6" w:rsidRPr="008F7CC6">
        <w:t>iteral “K”</w:t>
      </w:r>
      <w:r w:rsidR="00010776">
        <w:t xml:space="preserve"> referente a las obligaciones de UTE,</w:t>
      </w:r>
      <w:r w:rsidR="008F7CC6" w:rsidRPr="008F7CC6">
        <w:t xml:space="preserve"> de la adenda al convenio</w:t>
      </w:r>
      <w:r w:rsidR="00380AFE">
        <w:t xml:space="preserve">, </w:t>
      </w:r>
      <w:r w:rsidR="008F7CC6" w:rsidRPr="008F7CC6">
        <w:t>suscrita entre UTE y MIDES el 16 de noviembre de 2015</w:t>
      </w:r>
      <w:r w:rsidR="00010776">
        <w:t xml:space="preserve"> cuya copia se agrega. Asimismo se agrega copia de otra adenda al citado convenio marco suscrito entre ambas partes con fecha 11 de octubre de </w:t>
      </w:r>
      <w:r w:rsidR="00533CA8">
        <w:t>2017</w:t>
      </w:r>
      <w:r w:rsidR="00236820">
        <w:t xml:space="preserve"> y que fueron oportunamente intervenidas por los Contadores </w:t>
      </w:r>
      <w:r w:rsidR="009631D1">
        <w:t>D</w:t>
      </w:r>
      <w:r w:rsidR="00236820">
        <w:t xml:space="preserve">elegados de este Tribunal </w:t>
      </w:r>
      <w:r w:rsidR="009631D1">
        <w:t>en</w:t>
      </w:r>
      <w:r w:rsidR="00236820">
        <w:t xml:space="preserve"> UTE</w:t>
      </w:r>
      <w:r w:rsidR="00533CA8">
        <w:t>;</w:t>
      </w:r>
    </w:p>
    <w:p w:rsidR="008F7CC6" w:rsidRDefault="001D3B28" w:rsidP="00EA26BC">
      <w:pPr>
        <w:spacing w:line="360" w:lineRule="auto"/>
        <w:ind w:firstLine="2835"/>
        <w:jc w:val="both"/>
      </w:pPr>
      <w:r>
        <w:rPr>
          <w:b/>
        </w:rPr>
        <w:t>5</w:t>
      </w:r>
      <w:r w:rsidR="00231CC5" w:rsidRPr="00231CC5">
        <w:rPr>
          <w:b/>
        </w:rPr>
        <w:t>)</w:t>
      </w:r>
      <w:r w:rsidR="00231CC5">
        <w:t xml:space="preserve"> </w:t>
      </w:r>
      <w:r w:rsidR="008F7CC6">
        <w:t>q</w:t>
      </w:r>
      <w:r w:rsidR="008F7CC6" w:rsidRPr="008F7CC6">
        <w:t>ue el precio incluye las partidas destinadas al pago de los salarios,</w:t>
      </w:r>
      <w:r w:rsidR="008F7CC6">
        <w:t xml:space="preserve"> </w:t>
      </w:r>
      <w:r w:rsidR="008F7CC6" w:rsidRPr="008F7CC6">
        <w:t xml:space="preserve">cargas sociales y Banco de Seguros </w:t>
      </w:r>
      <w:r w:rsidR="00873F80">
        <w:t xml:space="preserve">del Estado </w:t>
      </w:r>
      <w:r w:rsidR="00317D2B">
        <w:t>de los trabajadores asignados</w:t>
      </w:r>
      <w:r w:rsidR="00AE7956">
        <w:t xml:space="preserve"> </w:t>
      </w:r>
      <w:r w:rsidR="00317D2B">
        <w:t xml:space="preserve">a las tareas por cada </w:t>
      </w:r>
      <w:r w:rsidR="00B65A9D">
        <w:t>vivienda,</w:t>
      </w:r>
      <w:r w:rsidR="00317D2B">
        <w:t xml:space="preserve"> </w:t>
      </w:r>
      <w:r w:rsidR="00AE7956">
        <w:t>así</w:t>
      </w:r>
      <w:r w:rsidR="00317D2B">
        <w:t xml:space="preserve"> como cualquier otro </w:t>
      </w:r>
      <w:r w:rsidR="00AE7956">
        <w:t>beneficio</w:t>
      </w:r>
      <w:r w:rsidR="00317D2B">
        <w:t xml:space="preserve"> que corresponda legalmente según el sector</w:t>
      </w:r>
      <w:r w:rsidR="00AE7956">
        <w:t xml:space="preserve"> </w:t>
      </w:r>
      <w:r w:rsidR="00317D2B">
        <w:t xml:space="preserve">de actividad </w:t>
      </w:r>
      <w:r w:rsidR="00AE7956">
        <w:t>específico. También</w:t>
      </w:r>
      <w:r w:rsidR="00317D2B">
        <w:t xml:space="preserve"> incluye la cobertura de  los llamados beneficios sociales (aguinaldo,</w:t>
      </w:r>
      <w:r w:rsidR="00AE7956">
        <w:t xml:space="preserve"> </w:t>
      </w:r>
      <w:r w:rsidR="00317D2B">
        <w:t xml:space="preserve">licencia y salario </w:t>
      </w:r>
      <w:r w:rsidR="00AE7956">
        <w:t>vacacional</w:t>
      </w:r>
      <w:r w:rsidR="00317D2B">
        <w:t>) y un porcentaje destinado a cubrir</w:t>
      </w:r>
      <w:r w:rsidR="00380AFE">
        <w:t xml:space="preserve"> </w:t>
      </w:r>
      <w:r w:rsidR="00317D2B">
        <w:t>las licencias (ordinarias y especiales) de los titulares, gastos por amortización de implementos de trabajo, insumos que se utilicen</w:t>
      </w:r>
      <w:r w:rsidR="00AE7956">
        <w:t xml:space="preserve"> </w:t>
      </w:r>
      <w:r w:rsidR="00317D2B">
        <w:t xml:space="preserve">en cada vivienda, </w:t>
      </w:r>
      <w:r w:rsidR="0016487C">
        <w:t>imprevistos, excedentes</w:t>
      </w:r>
      <w:r w:rsidR="00317D2B">
        <w:t xml:space="preserve"> y demás gastos que integran el </w:t>
      </w:r>
      <w:r w:rsidR="0016487C">
        <w:t>precio conforme</w:t>
      </w:r>
      <w:r w:rsidR="00317D2B">
        <w:t xml:space="preserve"> presupuesto adjuntado al  expediente el que debe considerarse parte de este contrato</w:t>
      </w:r>
      <w:r w:rsidR="00B65A9D">
        <w:t>;</w:t>
      </w:r>
    </w:p>
    <w:p w:rsidR="0016487C" w:rsidRDefault="001D3B28" w:rsidP="00EA26BC">
      <w:pPr>
        <w:spacing w:line="360" w:lineRule="auto"/>
        <w:ind w:firstLine="2835"/>
        <w:jc w:val="both"/>
      </w:pPr>
      <w:r>
        <w:rPr>
          <w:b/>
        </w:rPr>
        <w:t>6</w:t>
      </w:r>
      <w:r w:rsidR="00231CC5" w:rsidRPr="00231CC5">
        <w:rPr>
          <w:b/>
        </w:rPr>
        <w:t>)</w:t>
      </w:r>
      <w:r w:rsidR="00231CC5">
        <w:rPr>
          <w:b/>
        </w:rPr>
        <w:t xml:space="preserve"> </w:t>
      </w:r>
      <w:r w:rsidR="0016487C">
        <w:t>qu</w:t>
      </w:r>
      <w:r w:rsidR="00236820">
        <w:t>e el plazo del contrato será de</w:t>
      </w:r>
      <w:r w:rsidR="0016487C">
        <w:t xml:space="preserve"> doce meses a partir de su suscripci</w:t>
      </w:r>
      <w:r w:rsidR="00236820">
        <w:t>ón, pudiendo ser prorrogado</w:t>
      </w:r>
      <w:r w:rsidR="0016487C">
        <w:t xml:space="preserve"> por igual o menor periodo</w:t>
      </w:r>
      <w:r w:rsidR="00236820">
        <w:t>,</w:t>
      </w:r>
      <w:r w:rsidR="0016487C">
        <w:t xml:space="preserve"> según las necesidades del servicio;</w:t>
      </w:r>
    </w:p>
    <w:p w:rsidR="0066047A" w:rsidRDefault="001D3B28" w:rsidP="00EA26BC">
      <w:pPr>
        <w:spacing w:line="360" w:lineRule="auto"/>
        <w:ind w:firstLine="2835"/>
        <w:jc w:val="both"/>
      </w:pPr>
      <w:r>
        <w:rPr>
          <w:b/>
        </w:rPr>
        <w:t>7</w:t>
      </w:r>
      <w:r w:rsidR="00231CC5" w:rsidRPr="00231CC5">
        <w:rPr>
          <w:b/>
        </w:rPr>
        <w:t>)</w:t>
      </w:r>
      <w:r w:rsidR="00231CC5">
        <w:rPr>
          <w:b/>
        </w:rPr>
        <w:t xml:space="preserve"> </w:t>
      </w:r>
      <w:r w:rsidR="0016487C">
        <w:t xml:space="preserve">que </w:t>
      </w:r>
      <w:r w:rsidR="00B65A9D">
        <w:t>se agrega memorándum de fecha 23 de febrero de 2018</w:t>
      </w:r>
      <w:r w:rsidR="0066047A">
        <w:t xml:space="preserve"> de la  Dirección de Gestión Territorial</w:t>
      </w:r>
      <w:r w:rsidR="006B031D">
        <w:t>,</w:t>
      </w:r>
      <w:r w:rsidR="0066047A">
        <w:t xml:space="preserve"> informando que la Cooperativa Social CABLEX fue inscripta en el Registro Nacional de Cooperativas Sociales </w:t>
      </w:r>
      <w:r w:rsidR="0066047A">
        <w:lastRenderedPageBreak/>
        <w:t>con el N° 436</w:t>
      </w:r>
      <w:r w:rsidR="00236820">
        <w:t>,</w:t>
      </w:r>
      <w:r w:rsidR="0066047A">
        <w:t xml:space="preserve"> en el Registro de Personas Jurídicas –Sección Comercio desde el 11 de octubre de 2016 con el N° 14.005</w:t>
      </w:r>
      <w:r w:rsidR="006B031D">
        <w:t xml:space="preserve">, siendo su objeto </w:t>
      </w:r>
      <w:r w:rsidR="0043193A">
        <w:t xml:space="preserve"> brindar servicios de mantenimiento integral en edificios públicos,</w:t>
      </w:r>
      <w:r w:rsidR="006B031D">
        <w:t xml:space="preserve"> privados o residencias y </w:t>
      </w:r>
      <w:r w:rsidR="0043193A">
        <w:t xml:space="preserve"> </w:t>
      </w:r>
      <w:r w:rsidR="006B031D">
        <w:t>a</w:t>
      </w:r>
      <w:r w:rsidR="0043193A">
        <w:t xml:space="preserve">simismo </w:t>
      </w:r>
      <w:r w:rsidR="006B031D">
        <w:t xml:space="preserve">la </w:t>
      </w:r>
      <w:r w:rsidR="0043193A">
        <w:t>realiza</w:t>
      </w:r>
      <w:r w:rsidR="006B031D">
        <w:t xml:space="preserve">ción de </w:t>
      </w:r>
      <w:r w:rsidR="0043193A">
        <w:t>tareas de limpieza, electricidad, construcción, reparación, cuidado y mantenimiento de espacios verdes, calzadas o veredas</w:t>
      </w:r>
      <w:r w:rsidR="0066047A">
        <w:t>;</w:t>
      </w:r>
    </w:p>
    <w:p w:rsidR="0016487C" w:rsidRDefault="001D3B28" w:rsidP="00EA26BC">
      <w:pPr>
        <w:spacing w:line="360" w:lineRule="auto"/>
        <w:ind w:firstLine="2835"/>
        <w:jc w:val="both"/>
      </w:pPr>
      <w:r>
        <w:rPr>
          <w:b/>
        </w:rPr>
        <w:t>8</w:t>
      </w:r>
      <w:r w:rsidR="0066047A" w:rsidRPr="0066047A">
        <w:rPr>
          <w:b/>
        </w:rPr>
        <w:t>)</w:t>
      </w:r>
      <w:r w:rsidR="0043193A">
        <w:rPr>
          <w:b/>
        </w:rPr>
        <w:t xml:space="preserve"> </w:t>
      </w:r>
      <w:r w:rsidR="006B031D" w:rsidRPr="006B031D">
        <w:t xml:space="preserve">que </w:t>
      </w:r>
      <w:r w:rsidR="0016487C">
        <w:t>se adjunta Resolución N° 1022/017 de fecha 15 de agosto de 2017</w:t>
      </w:r>
      <w:r w:rsidR="006B031D">
        <w:t>,</w:t>
      </w:r>
      <w:r w:rsidR="0016487C">
        <w:t xml:space="preserve"> </w:t>
      </w:r>
      <w:r w:rsidR="009F5BB9">
        <w:t xml:space="preserve">por la cual </w:t>
      </w:r>
      <w:r w:rsidR="00F54F9D">
        <w:t>se autoriza, previa intervención de la Co</w:t>
      </w:r>
      <w:r w:rsidR="00B65A9D">
        <w:t>ntadora Auditora Destacada de</w:t>
      </w:r>
      <w:r w:rsidR="00761C3F">
        <w:t xml:space="preserve"> este Tribunal</w:t>
      </w:r>
      <w:r w:rsidR="00F54F9D">
        <w:t>, la suscripción de un contrato de arrendamiento de servicios con la Cooperativa Social “</w:t>
      </w:r>
      <w:proofErr w:type="spellStart"/>
      <w:r w:rsidR="00F54F9D">
        <w:t>Cablex</w:t>
      </w:r>
      <w:proofErr w:type="spellEnd"/>
      <w:r w:rsidR="00F54F9D">
        <w:t xml:space="preserve"> Paysandú”, </w:t>
      </w:r>
      <w:r w:rsidR="00D07909">
        <w:t xml:space="preserve">y asimismo se </w:t>
      </w:r>
      <w:r w:rsidR="00F54F9D">
        <w:t>apr</w:t>
      </w:r>
      <w:r w:rsidR="00D07909">
        <w:t>ueba</w:t>
      </w:r>
      <w:r w:rsidR="00F54F9D">
        <w:t xml:space="preserve"> el texto del contrato</w:t>
      </w:r>
      <w:r w:rsidR="00D07909">
        <w:t>,</w:t>
      </w:r>
      <w:r w:rsidR="00F54F9D">
        <w:t xml:space="preserve"> </w:t>
      </w:r>
      <w:r w:rsidR="00D07909">
        <w:t>cuya vigencia será de 12 meses a partir de su suscripción,</w:t>
      </w:r>
      <w:r w:rsidR="00F54F9D">
        <w:t xml:space="preserve"> por un monto </w:t>
      </w:r>
      <w:r w:rsidR="00231CC5">
        <w:t>total</w:t>
      </w:r>
      <w:r w:rsidR="00F54F9D">
        <w:t xml:space="preserve"> de hasta </w:t>
      </w:r>
      <w:r w:rsidR="00231CC5">
        <w:t>$</w:t>
      </w:r>
      <w:r w:rsidR="00AF2A9E">
        <w:t xml:space="preserve"> </w:t>
      </w:r>
      <w:r w:rsidR="00231CC5">
        <w:t>2.100.000, suma que se ajustará de acuerdo a lo previsto por la cláusula</w:t>
      </w:r>
      <w:r w:rsidR="00F54F9D">
        <w:t xml:space="preserve">, </w:t>
      </w:r>
      <w:r w:rsidR="00236820">
        <w:t xml:space="preserve">y se hará efectiva </w:t>
      </w:r>
      <w:r w:rsidR="00F54F9D">
        <w:t>con cargo al Programa 500, Proyecto</w:t>
      </w:r>
      <w:r w:rsidR="00231CC5">
        <w:t xml:space="preserve"> 112,Grupo</w:t>
      </w:r>
      <w:r w:rsidR="0043193A">
        <w:t xml:space="preserve"> </w:t>
      </w:r>
      <w:r w:rsidR="00231CC5">
        <w:t>2, Financiación</w:t>
      </w:r>
      <w:r w:rsidR="00130241">
        <w:t xml:space="preserve"> </w:t>
      </w:r>
      <w:r w:rsidR="00231CC5">
        <w:t>33, Unidad Ejecutora 002 del Inciso 15 “</w:t>
      </w:r>
      <w:r w:rsidR="00236820">
        <w:t>Ministerio de Desarrollo Social”</w:t>
      </w:r>
      <w:r w:rsidR="00231CC5">
        <w:t>;</w:t>
      </w:r>
    </w:p>
    <w:p w:rsidR="00D95903" w:rsidRPr="00D95903" w:rsidRDefault="001D3B28" w:rsidP="00826D89">
      <w:pPr>
        <w:spacing w:line="360" w:lineRule="auto"/>
        <w:ind w:firstLine="2835"/>
        <w:jc w:val="both"/>
      </w:pPr>
      <w:r>
        <w:rPr>
          <w:b/>
        </w:rPr>
        <w:t>9</w:t>
      </w:r>
      <w:r w:rsidR="00B65A9D" w:rsidRPr="00B65A9D">
        <w:rPr>
          <w:b/>
        </w:rPr>
        <w:t>)</w:t>
      </w:r>
      <w:r w:rsidR="00B65A9D">
        <w:rPr>
          <w:b/>
        </w:rPr>
        <w:t xml:space="preserve"> </w:t>
      </w:r>
      <w:r w:rsidR="00130241">
        <w:t>q</w:t>
      </w:r>
      <w:r w:rsidR="00A5798C">
        <w:t xml:space="preserve">ue se adjunta Documento de Afectación </w:t>
      </w:r>
      <w:r w:rsidR="00826D89">
        <w:t xml:space="preserve">                      </w:t>
      </w:r>
      <w:r w:rsidR="00A5798C">
        <w:t>N° 0000</w:t>
      </w:r>
      <w:r w:rsidR="00130241">
        <w:t>71 de fecha 7 de febrero de</w:t>
      </w:r>
      <w:r w:rsidR="00236820">
        <w:t xml:space="preserve"> 2018 por la suma de $</w:t>
      </w:r>
      <w:r w:rsidR="00826D89">
        <w:t xml:space="preserve"> </w:t>
      </w:r>
      <w:r w:rsidR="00236820">
        <w:t>2.100.000</w:t>
      </w:r>
      <w:r w:rsidR="00130241">
        <w:t>;</w:t>
      </w:r>
      <w:r w:rsidR="00B65A9D">
        <w:t xml:space="preserve">      </w:t>
      </w:r>
      <w:r w:rsidR="006C766F">
        <w:t xml:space="preserve">  </w:t>
      </w:r>
    </w:p>
    <w:p w:rsidR="003F645A" w:rsidRPr="000C60B1" w:rsidRDefault="00D01B53" w:rsidP="00826D89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CONSIDERANDO:</w:t>
      </w:r>
      <w:r>
        <w:rPr>
          <w:b/>
        </w:rPr>
        <w:t xml:space="preserve"> </w:t>
      </w:r>
      <w:r w:rsidR="00120352">
        <w:rPr>
          <w:rFonts w:cs="Arial"/>
          <w:b/>
          <w:lang w:val="es-MX"/>
        </w:rPr>
        <w:t>1</w:t>
      </w:r>
      <w:r w:rsidR="00120352" w:rsidRPr="0099797B">
        <w:rPr>
          <w:rFonts w:cs="Arial"/>
          <w:b/>
          <w:lang w:val="es-MX"/>
        </w:rPr>
        <w:t>)</w:t>
      </w:r>
      <w:r w:rsidR="00120352">
        <w:rPr>
          <w:rFonts w:cs="Arial"/>
          <w:lang w:val="es-MX"/>
        </w:rPr>
        <w:t xml:space="preserve"> </w:t>
      </w:r>
      <w:r w:rsidR="000C60B1">
        <w:t xml:space="preserve">que </w:t>
      </w:r>
      <w:r w:rsidR="003F645A">
        <w:t xml:space="preserve">conforme a lo dispuesto por el </w:t>
      </w:r>
      <w:r w:rsidR="006A44C5">
        <w:t>L</w:t>
      </w:r>
      <w:r w:rsidR="003F645A">
        <w:t xml:space="preserve">iteral </w:t>
      </w:r>
      <w:r w:rsidR="00A5798C">
        <w:t>C</w:t>
      </w:r>
      <w:r w:rsidR="003F645A">
        <w:t xml:space="preserve">) del </w:t>
      </w:r>
      <w:r w:rsidR="006A44C5">
        <w:t>A</w:t>
      </w:r>
      <w:r w:rsidR="003F645A">
        <w:t>rtículo 9 de la Ley N° 17.866, de 21/03/05,</w:t>
      </w:r>
      <w:r w:rsidR="0096357E">
        <w:t xml:space="preserve"> al MIDES le compete </w:t>
      </w:r>
      <w:r w:rsidR="0096357E">
        <w:rPr>
          <w:i/>
        </w:rPr>
        <w:t>““coordinar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social, a la no discriminación y a los cuidados”</w:t>
      </w:r>
      <w:r w:rsidR="0096357E">
        <w:t>;</w:t>
      </w:r>
    </w:p>
    <w:p w:rsidR="00891AA4" w:rsidRDefault="0096357E" w:rsidP="006A44C5">
      <w:pPr>
        <w:spacing w:line="360" w:lineRule="auto"/>
        <w:ind w:firstLine="2977"/>
        <w:jc w:val="both"/>
      </w:pPr>
      <w:r>
        <w:rPr>
          <w:b/>
        </w:rPr>
        <w:t xml:space="preserve">2) </w:t>
      </w:r>
      <w:r>
        <w:t xml:space="preserve">que, asimismo, el </w:t>
      </w:r>
      <w:r w:rsidR="006A44C5">
        <w:t>L</w:t>
      </w:r>
      <w:r w:rsidR="00D12096">
        <w:t xml:space="preserve">iteral I) del </w:t>
      </w:r>
      <w:r w:rsidR="006A44C5">
        <w:t>A</w:t>
      </w:r>
      <w:r>
        <w:t>rtículo 9</w:t>
      </w:r>
      <w:r w:rsidR="00EC09CA">
        <w:t xml:space="preserve"> citado,</w:t>
      </w:r>
      <w:r w:rsidR="00D12096">
        <w:t xml:space="preserve"> faculta al MIDES –para cumplir sus cometidos- a celebrar convenios bilaterales y multilaterales de cooperación con instituciones públicas y privadas, nacionales o extranjeras;</w:t>
      </w:r>
      <w:r>
        <w:t xml:space="preserve"> </w:t>
      </w:r>
    </w:p>
    <w:p w:rsidR="00264FA3" w:rsidRPr="00891AA4" w:rsidRDefault="00AF2A9E" w:rsidP="006A44C5">
      <w:pPr>
        <w:spacing w:line="360" w:lineRule="auto"/>
        <w:ind w:firstLine="2977"/>
        <w:jc w:val="both"/>
      </w:pPr>
      <w:r>
        <w:rPr>
          <w:b/>
          <w:bCs/>
        </w:rPr>
        <w:t>3</w:t>
      </w:r>
      <w:r w:rsidR="008F1B24">
        <w:rPr>
          <w:b/>
          <w:bCs/>
          <w:lang w:val="es-MX"/>
        </w:rPr>
        <w:t>)</w:t>
      </w:r>
      <w:r w:rsidR="00264FA3">
        <w:rPr>
          <w:rFonts w:cs="Arial"/>
          <w:lang w:val="es-MX"/>
        </w:rPr>
        <w:t xml:space="preserve"> q</w:t>
      </w:r>
      <w:r w:rsidR="00264FA3" w:rsidRPr="007F7D0E">
        <w:rPr>
          <w:rFonts w:cs="Arial"/>
          <w:lang w:val="es-MX"/>
        </w:rPr>
        <w:t>ue</w:t>
      </w:r>
      <w:r w:rsidR="00264FA3">
        <w:rPr>
          <w:rFonts w:cs="Arial"/>
          <w:lang w:val="es-MX"/>
        </w:rPr>
        <w:t xml:space="preserve"> el procedimiento directo seguido para la selección del </w:t>
      </w:r>
      <w:proofErr w:type="spellStart"/>
      <w:r w:rsidR="00264FA3">
        <w:rPr>
          <w:rFonts w:cs="Arial"/>
          <w:lang w:val="es-MX"/>
        </w:rPr>
        <w:t>co</w:t>
      </w:r>
      <w:proofErr w:type="spellEnd"/>
      <w:r w:rsidR="00264FA3">
        <w:rPr>
          <w:rFonts w:cs="Arial"/>
          <w:lang w:val="es-MX"/>
        </w:rPr>
        <w:t>.-contratante</w:t>
      </w:r>
      <w:r w:rsidR="008F1B24">
        <w:rPr>
          <w:rFonts w:cs="Arial"/>
          <w:lang w:val="es-MX"/>
        </w:rPr>
        <w:t>, la</w:t>
      </w:r>
      <w:r w:rsidR="00264FA3" w:rsidRPr="00264FA3">
        <w:rPr>
          <w:rFonts w:cs="Arial"/>
          <w:lang w:val="es-MX"/>
        </w:rPr>
        <w:t xml:space="preserve"> </w:t>
      </w:r>
      <w:r w:rsidR="00264FA3">
        <w:rPr>
          <w:rFonts w:cs="Arial"/>
          <w:lang w:val="es-MX"/>
        </w:rPr>
        <w:t xml:space="preserve">Cooperativa </w:t>
      </w:r>
      <w:r w:rsidR="00264FA3">
        <w:rPr>
          <w:rFonts w:cs="Arial"/>
        </w:rPr>
        <w:t xml:space="preserve">Social </w:t>
      </w:r>
      <w:proofErr w:type="spellStart"/>
      <w:r w:rsidR="00264FA3">
        <w:rPr>
          <w:rFonts w:cs="Arial"/>
        </w:rPr>
        <w:t>Cablex</w:t>
      </w:r>
      <w:proofErr w:type="spellEnd"/>
      <w:r w:rsidR="00264FA3">
        <w:rPr>
          <w:rFonts w:cs="Arial"/>
        </w:rPr>
        <w:t xml:space="preserve"> Paysandú</w:t>
      </w:r>
      <w:r w:rsidR="00264FA3">
        <w:rPr>
          <w:rFonts w:cs="Arial"/>
          <w:lang w:val="es-MX"/>
        </w:rPr>
        <w:t xml:space="preserve">, atendiendo a la calidad de </w:t>
      </w:r>
      <w:r w:rsidR="00805A74">
        <w:rPr>
          <w:rFonts w:cs="Arial"/>
          <w:lang w:val="es-MX"/>
        </w:rPr>
        <w:t>“</w:t>
      </w:r>
      <w:r w:rsidR="00264FA3">
        <w:rPr>
          <w:rFonts w:cs="Arial"/>
          <w:lang w:val="es-MX"/>
        </w:rPr>
        <w:t>cooperativa social</w:t>
      </w:r>
      <w:r w:rsidR="00805A74">
        <w:rPr>
          <w:rFonts w:cs="Arial"/>
          <w:lang w:val="es-MX"/>
        </w:rPr>
        <w:t>”</w:t>
      </w:r>
      <w:r w:rsidR="00264FA3">
        <w:rPr>
          <w:rFonts w:cs="Arial"/>
          <w:lang w:val="es-MX"/>
        </w:rPr>
        <w:t xml:space="preserve"> </w:t>
      </w:r>
      <w:r w:rsidR="00805A74">
        <w:rPr>
          <w:rFonts w:cs="Arial"/>
          <w:lang w:val="es-MX"/>
        </w:rPr>
        <w:t xml:space="preserve"> de la </w:t>
      </w:r>
      <w:r w:rsidR="008F1B24">
        <w:rPr>
          <w:rFonts w:cs="Arial"/>
          <w:lang w:val="es-MX"/>
        </w:rPr>
        <w:t xml:space="preserve">contratante, que está </w:t>
      </w:r>
      <w:r w:rsidR="00264FA3">
        <w:rPr>
          <w:rFonts w:cs="Arial"/>
          <w:lang w:val="es-MX"/>
        </w:rPr>
        <w:t xml:space="preserve">debidamente inscripta, y al monto total  del convenio, encuadra </w:t>
      </w:r>
      <w:r w:rsidR="008F1B24">
        <w:rPr>
          <w:rFonts w:cs="Arial"/>
          <w:lang w:val="es-MX"/>
        </w:rPr>
        <w:t xml:space="preserve">en la causal de excepción prevista en </w:t>
      </w:r>
      <w:r w:rsidR="00264FA3" w:rsidRPr="007F7D0E">
        <w:rPr>
          <w:rFonts w:cs="Arial"/>
          <w:lang w:val="es-MX"/>
        </w:rPr>
        <w:t xml:space="preserve"> el num</w:t>
      </w:r>
      <w:r w:rsidR="00264FA3">
        <w:rPr>
          <w:rFonts w:cs="Arial"/>
          <w:lang w:val="es-MX"/>
        </w:rPr>
        <w:t>eral</w:t>
      </w:r>
      <w:r w:rsidR="00264FA3" w:rsidRPr="007F7D0E">
        <w:rPr>
          <w:rFonts w:cs="Arial"/>
          <w:lang w:val="es-MX"/>
        </w:rPr>
        <w:t xml:space="preserve"> </w:t>
      </w:r>
      <w:r w:rsidR="00264FA3">
        <w:rPr>
          <w:rFonts w:cs="Arial"/>
          <w:lang w:val="es-MX"/>
        </w:rPr>
        <w:t>20</w:t>
      </w:r>
      <w:r w:rsidR="00264FA3" w:rsidRPr="007F7D0E">
        <w:rPr>
          <w:rFonts w:cs="Arial"/>
          <w:lang w:val="es-MX"/>
        </w:rPr>
        <w:t xml:space="preserve">) del </w:t>
      </w:r>
      <w:r w:rsidR="00237EAB">
        <w:rPr>
          <w:rFonts w:cs="Arial"/>
          <w:lang w:val="es-MX"/>
        </w:rPr>
        <w:t>L</w:t>
      </w:r>
      <w:r w:rsidR="00264FA3" w:rsidRPr="007F7D0E">
        <w:rPr>
          <w:rFonts w:cs="Arial"/>
          <w:lang w:val="es-MX"/>
        </w:rPr>
        <w:t>it</w:t>
      </w:r>
      <w:r w:rsidR="008F1B24">
        <w:rPr>
          <w:rFonts w:cs="Arial"/>
          <w:lang w:val="es-MX"/>
        </w:rPr>
        <w:t xml:space="preserve">eral C) del </w:t>
      </w:r>
      <w:r w:rsidR="00237EAB">
        <w:rPr>
          <w:rFonts w:cs="Arial"/>
          <w:lang w:val="es-MX"/>
        </w:rPr>
        <w:t>A</w:t>
      </w:r>
      <w:r w:rsidR="008F1B24">
        <w:rPr>
          <w:rFonts w:cs="Arial"/>
          <w:lang w:val="es-MX"/>
        </w:rPr>
        <w:t>rtículo</w:t>
      </w:r>
      <w:r w:rsidR="00264FA3">
        <w:rPr>
          <w:rFonts w:cs="Arial"/>
          <w:lang w:val="es-MX"/>
        </w:rPr>
        <w:t xml:space="preserve"> 33 del TOCAF;</w:t>
      </w:r>
    </w:p>
    <w:p w:rsidR="00487042" w:rsidRDefault="00AF2A9E" w:rsidP="00237EAB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b/>
          <w:lang w:val="es-MX"/>
        </w:rPr>
      </w:pPr>
      <w:r>
        <w:rPr>
          <w:b/>
          <w:bCs/>
        </w:rPr>
        <w:t>4</w:t>
      </w:r>
      <w:r w:rsidR="00805A74" w:rsidRPr="00805A74">
        <w:rPr>
          <w:b/>
          <w:bCs/>
        </w:rPr>
        <w:t>)</w:t>
      </w:r>
      <w:r w:rsidR="00264FA3">
        <w:rPr>
          <w:bCs/>
        </w:rPr>
        <w:t xml:space="preserve"> </w:t>
      </w:r>
      <w:r w:rsidR="000978BD">
        <w:rPr>
          <w:bCs/>
        </w:rPr>
        <w:t xml:space="preserve">que </w:t>
      </w:r>
      <w:r>
        <w:rPr>
          <w:bCs/>
        </w:rPr>
        <w:t>no obstante, sin perjuicio de que el</w:t>
      </w:r>
      <w:r w:rsidR="008F1B24">
        <w:rPr>
          <w:bCs/>
        </w:rPr>
        <w:t xml:space="preserve"> convenio se suscribió </w:t>
      </w:r>
      <w:r w:rsidR="000978BD">
        <w:rPr>
          <w:bCs/>
        </w:rPr>
        <w:t>en forma previa a la intervención</w:t>
      </w:r>
      <w:r>
        <w:rPr>
          <w:bCs/>
        </w:rPr>
        <w:t xml:space="preserve"> que le compete a este Tribunal,</w:t>
      </w:r>
      <w:r w:rsidR="00EC09CA">
        <w:rPr>
          <w:bCs/>
        </w:rPr>
        <w:t xml:space="preserve"> tanto en su</w:t>
      </w:r>
      <w:r w:rsidR="008F1B24">
        <w:rPr>
          <w:bCs/>
        </w:rPr>
        <w:t xml:space="preserve"> cl</w:t>
      </w:r>
      <w:r w:rsidR="00EC09CA">
        <w:rPr>
          <w:bCs/>
        </w:rPr>
        <w:t>áusula sexta como en la R</w:t>
      </w:r>
      <w:r w:rsidR="008F1B24">
        <w:rPr>
          <w:bCs/>
        </w:rPr>
        <w:t>esolución</w:t>
      </w:r>
      <w:r w:rsidR="00EC09CA">
        <w:rPr>
          <w:bCs/>
        </w:rPr>
        <w:t xml:space="preserve"> remitida </w:t>
      </w:r>
      <w:r w:rsidR="00805A74" w:rsidRPr="00487042">
        <w:rPr>
          <w:rFonts w:cs="Arial"/>
          <w:lang w:val="es-MX"/>
        </w:rPr>
        <w:t>N° 1022/017 de fecha 15 de agosto de 2017</w:t>
      </w:r>
      <w:r w:rsidR="000978BD">
        <w:rPr>
          <w:bCs/>
        </w:rPr>
        <w:t xml:space="preserve">, </w:t>
      </w:r>
      <w:r w:rsidR="00EC09CA">
        <w:rPr>
          <w:bCs/>
        </w:rPr>
        <w:t>se establece su entrada en vigencia a partir de la suscripción</w:t>
      </w:r>
      <w:r>
        <w:rPr>
          <w:bCs/>
        </w:rPr>
        <w:t xml:space="preserve"> (15/03/2918)</w:t>
      </w:r>
      <w:r w:rsidR="00EC09CA">
        <w:rPr>
          <w:bCs/>
        </w:rPr>
        <w:t xml:space="preserve">, </w:t>
      </w:r>
      <w:r w:rsidR="000978BD">
        <w:rPr>
          <w:bCs/>
        </w:rPr>
        <w:t>cont</w:t>
      </w:r>
      <w:r w:rsidR="00451EC2">
        <w:rPr>
          <w:bCs/>
        </w:rPr>
        <w:t>raviniendo lo dispuesto por el L</w:t>
      </w:r>
      <w:r w:rsidR="000978BD">
        <w:rPr>
          <w:bCs/>
        </w:rPr>
        <w:t xml:space="preserve">iteral B) del </w:t>
      </w:r>
      <w:r w:rsidR="00451EC2">
        <w:rPr>
          <w:bCs/>
        </w:rPr>
        <w:t>A</w:t>
      </w:r>
      <w:r w:rsidR="000978BD">
        <w:rPr>
          <w:bCs/>
        </w:rPr>
        <w:t>rtículo 211 de la Constitución de la República;</w:t>
      </w:r>
      <w:r w:rsidR="000978BD">
        <w:rPr>
          <w:rFonts w:cs="Arial"/>
          <w:b/>
          <w:lang w:val="es-MX"/>
        </w:rPr>
        <w:t xml:space="preserve"> </w:t>
      </w:r>
    </w:p>
    <w:p w:rsidR="004D52FF" w:rsidRPr="00487042" w:rsidRDefault="00487042" w:rsidP="00120352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                    </w:t>
      </w:r>
      <w:r w:rsidR="00264FA3">
        <w:rPr>
          <w:rFonts w:cs="Arial"/>
          <w:b/>
          <w:lang w:val="es-MX"/>
        </w:rPr>
        <w:t xml:space="preserve">         </w:t>
      </w:r>
    </w:p>
    <w:p w:rsidR="00D01B53" w:rsidRPr="004D52FF" w:rsidRDefault="00D01B53" w:rsidP="0068250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dispuesto por el </w:t>
      </w:r>
      <w:r w:rsidR="00682501">
        <w:rPr>
          <w:rFonts w:cs="Arial"/>
        </w:rPr>
        <w:t>A</w:t>
      </w:r>
      <w:r>
        <w:rPr>
          <w:rFonts w:cs="Arial"/>
        </w:rPr>
        <w:t>rt</w:t>
      </w:r>
      <w:r w:rsidR="00682501">
        <w:rPr>
          <w:rFonts w:cs="Arial"/>
        </w:rPr>
        <w:t>ículo</w:t>
      </w:r>
      <w:r>
        <w:rPr>
          <w:rFonts w:cs="Arial"/>
        </w:rPr>
        <w:t xml:space="preserve"> 211 </w:t>
      </w:r>
      <w:r w:rsidR="00682501">
        <w:rPr>
          <w:rFonts w:cs="Arial"/>
        </w:rPr>
        <w:t>L</w:t>
      </w:r>
      <w:r>
        <w:rPr>
          <w:rFonts w:cs="Arial"/>
        </w:rPr>
        <w:t>iteral B) de la Constitución de la República;</w:t>
      </w:r>
      <w:r w:rsidR="00D07909">
        <w:rPr>
          <w:rFonts w:cs="Arial"/>
        </w:rPr>
        <w:t xml:space="preserve">   </w:t>
      </w:r>
    </w:p>
    <w:p w:rsidR="00D01B53" w:rsidRDefault="00D01B53" w:rsidP="00D01B53">
      <w:pPr>
        <w:spacing w:line="360" w:lineRule="auto"/>
        <w:jc w:val="center"/>
        <w:rPr>
          <w:b/>
        </w:rPr>
      </w:pPr>
      <w:r>
        <w:rPr>
          <w:b/>
        </w:rPr>
        <w:t>EL TRIBUNAL ACUERDA</w:t>
      </w:r>
    </w:p>
    <w:p w:rsidR="00682501" w:rsidRDefault="00682501" w:rsidP="00682501">
      <w:pPr>
        <w:spacing w:line="360" w:lineRule="auto"/>
        <w:ind w:left="284" w:hanging="284"/>
        <w:jc w:val="both"/>
        <w:rPr>
          <w:rFonts w:cs="Arial"/>
        </w:rPr>
      </w:pPr>
      <w:r w:rsidRPr="00682501">
        <w:rPr>
          <w:rFonts w:cs="Arial"/>
          <w:b/>
        </w:rPr>
        <w:t>1)</w:t>
      </w:r>
      <w:r>
        <w:rPr>
          <w:rFonts w:cs="Arial"/>
        </w:rPr>
        <w:t xml:space="preserve"> </w:t>
      </w:r>
      <w:r w:rsidR="00F0283D">
        <w:rPr>
          <w:rFonts w:cs="Arial"/>
          <w:lang w:val="es-MX"/>
        </w:rPr>
        <w:t xml:space="preserve">Observar el convenio suscrito entre el MIDES y la Cooperativa </w:t>
      </w:r>
      <w:r w:rsidR="00F0283D">
        <w:rPr>
          <w:rFonts w:cs="Arial"/>
        </w:rPr>
        <w:t xml:space="preserve">Social </w:t>
      </w:r>
      <w:proofErr w:type="spellStart"/>
      <w:r w:rsidR="00F0283D">
        <w:rPr>
          <w:rFonts w:cs="Arial"/>
        </w:rPr>
        <w:t>Cablex</w:t>
      </w:r>
      <w:proofErr w:type="spellEnd"/>
      <w:r w:rsidR="00F0283D">
        <w:rPr>
          <w:rFonts w:cs="Arial"/>
        </w:rPr>
        <w:t xml:space="preserve"> Paysandú por lo expresado en </w:t>
      </w:r>
      <w:r w:rsidR="00EC09CA">
        <w:rPr>
          <w:rFonts w:cs="Arial"/>
        </w:rPr>
        <w:t xml:space="preserve">el Considerando </w:t>
      </w:r>
      <w:r w:rsidR="00AF2A9E">
        <w:rPr>
          <w:rFonts w:cs="Arial"/>
        </w:rPr>
        <w:t>4</w:t>
      </w:r>
      <w:r w:rsidR="00EC09CA">
        <w:rPr>
          <w:rFonts w:cs="Arial"/>
        </w:rPr>
        <w:t xml:space="preserve"> de la presente Resolución</w:t>
      </w:r>
      <w:r>
        <w:rPr>
          <w:rFonts w:cs="Arial"/>
        </w:rPr>
        <w:t>;</w:t>
      </w:r>
    </w:p>
    <w:p w:rsidR="00D01B53" w:rsidRDefault="00682501" w:rsidP="00682501">
      <w:pPr>
        <w:spacing w:line="360" w:lineRule="auto"/>
        <w:ind w:left="284" w:hanging="284"/>
        <w:jc w:val="both"/>
      </w:pPr>
      <w:r>
        <w:rPr>
          <w:rFonts w:cs="Arial"/>
          <w:b/>
        </w:rPr>
        <w:t xml:space="preserve">2) </w:t>
      </w:r>
      <w:r w:rsidR="00D01B53">
        <w:t>Devolver las actuaciones.</w:t>
      </w:r>
    </w:p>
    <w:p w:rsidR="00D01B53" w:rsidRDefault="00D01B53" w:rsidP="00D01B53">
      <w:pPr>
        <w:spacing w:line="360" w:lineRule="auto"/>
        <w:jc w:val="right"/>
      </w:pPr>
    </w:p>
    <w:p w:rsidR="00D01B53" w:rsidRDefault="00682501" w:rsidP="00D01B53">
      <w:proofErr w:type="spellStart"/>
      <w:proofErr w:type="gramStart"/>
      <w:r>
        <w:t>ag</w:t>
      </w:r>
      <w:bookmarkStart w:id="0" w:name="_GoBack"/>
      <w:bookmarkEnd w:id="0"/>
      <w:proofErr w:type="spellEnd"/>
      <w:proofErr w:type="gramEnd"/>
    </w:p>
    <w:p w:rsidR="00D96E59" w:rsidRDefault="00D96E59"/>
    <w:sectPr w:rsidR="00D96E59" w:rsidSect="000E683E">
      <w:footerReference w:type="even" r:id="rId8"/>
      <w:footerReference w:type="default" r:id="rId9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B4" w:rsidRDefault="006973B4">
      <w:r>
        <w:separator/>
      </w:r>
    </w:p>
  </w:endnote>
  <w:endnote w:type="continuationSeparator" w:id="0">
    <w:p w:rsidR="006973B4" w:rsidRDefault="0069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38" w:rsidRDefault="00833E3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683E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833E38" w:rsidRDefault="00833E3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B4" w:rsidRDefault="006973B4">
      <w:r>
        <w:separator/>
      </w:r>
    </w:p>
  </w:footnote>
  <w:footnote w:type="continuationSeparator" w:id="0">
    <w:p w:rsidR="006973B4" w:rsidRDefault="00697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53"/>
    <w:rsid w:val="0000009E"/>
    <w:rsid w:val="00010776"/>
    <w:rsid w:val="000174FE"/>
    <w:rsid w:val="00034970"/>
    <w:rsid w:val="00094D58"/>
    <w:rsid w:val="00095533"/>
    <w:rsid w:val="000978BD"/>
    <w:rsid w:val="000C1180"/>
    <w:rsid w:val="000C60B1"/>
    <w:rsid w:val="000E2D67"/>
    <w:rsid w:val="000E683E"/>
    <w:rsid w:val="00120352"/>
    <w:rsid w:val="00130241"/>
    <w:rsid w:val="00153338"/>
    <w:rsid w:val="0016487C"/>
    <w:rsid w:val="001D3B28"/>
    <w:rsid w:val="00200ED8"/>
    <w:rsid w:val="00231CC5"/>
    <w:rsid w:val="002341E3"/>
    <w:rsid w:val="00236820"/>
    <w:rsid w:val="00237EAB"/>
    <w:rsid w:val="00241324"/>
    <w:rsid w:val="00252F5A"/>
    <w:rsid w:val="00264FA3"/>
    <w:rsid w:val="002B019E"/>
    <w:rsid w:val="002D2F4C"/>
    <w:rsid w:val="003048D4"/>
    <w:rsid w:val="00306313"/>
    <w:rsid w:val="00311FB5"/>
    <w:rsid w:val="00317D2B"/>
    <w:rsid w:val="003273DA"/>
    <w:rsid w:val="0034319C"/>
    <w:rsid w:val="00380AFE"/>
    <w:rsid w:val="003823BA"/>
    <w:rsid w:val="003854B3"/>
    <w:rsid w:val="003F645A"/>
    <w:rsid w:val="00422F2D"/>
    <w:rsid w:val="0043193A"/>
    <w:rsid w:val="00451EC2"/>
    <w:rsid w:val="00473FC3"/>
    <w:rsid w:val="00487042"/>
    <w:rsid w:val="00495788"/>
    <w:rsid w:val="004C4D04"/>
    <w:rsid w:val="004D52FF"/>
    <w:rsid w:val="00501268"/>
    <w:rsid w:val="00515FC0"/>
    <w:rsid w:val="00533CA8"/>
    <w:rsid w:val="005479F4"/>
    <w:rsid w:val="00554D78"/>
    <w:rsid w:val="005B22E0"/>
    <w:rsid w:val="00651240"/>
    <w:rsid w:val="0066047A"/>
    <w:rsid w:val="00667454"/>
    <w:rsid w:val="00682501"/>
    <w:rsid w:val="006973B4"/>
    <w:rsid w:val="006A44C5"/>
    <w:rsid w:val="006B031D"/>
    <w:rsid w:val="006C766F"/>
    <w:rsid w:val="006D6B89"/>
    <w:rsid w:val="00702C06"/>
    <w:rsid w:val="00715438"/>
    <w:rsid w:val="00761C3F"/>
    <w:rsid w:val="0079433A"/>
    <w:rsid w:val="007C3A9B"/>
    <w:rsid w:val="007E6AE2"/>
    <w:rsid w:val="00805A74"/>
    <w:rsid w:val="00826D89"/>
    <w:rsid w:val="00833E38"/>
    <w:rsid w:val="00873F80"/>
    <w:rsid w:val="00891AA4"/>
    <w:rsid w:val="008E2400"/>
    <w:rsid w:val="008E3F30"/>
    <w:rsid w:val="008E5193"/>
    <w:rsid w:val="008F1B24"/>
    <w:rsid w:val="008F7CC6"/>
    <w:rsid w:val="009631D1"/>
    <w:rsid w:val="0096357E"/>
    <w:rsid w:val="00976449"/>
    <w:rsid w:val="0099797B"/>
    <w:rsid w:val="009A390A"/>
    <w:rsid w:val="009A74C6"/>
    <w:rsid w:val="009B769D"/>
    <w:rsid w:val="009C39AC"/>
    <w:rsid w:val="009E0682"/>
    <w:rsid w:val="009F5BB9"/>
    <w:rsid w:val="00A53E6D"/>
    <w:rsid w:val="00A56F10"/>
    <w:rsid w:val="00A5798C"/>
    <w:rsid w:val="00A674F2"/>
    <w:rsid w:val="00AE7956"/>
    <w:rsid w:val="00AF2A9E"/>
    <w:rsid w:val="00B115C0"/>
    <w:rsid w:val="00B16E08"/>
    <w:rsid w:val="00B54F4C"/>
    <w:rsid w:val="00B62ED2"/>
    <w:rsid w:val="00B65A9D"/>
    <w:rsid w:val="00B93608"/>
    <w:rsid w:val="00C769D9"/>
    <w:rsid w:val="00C97EC4"/>
    <w:rsid w:val="00CB4283"/>
    <w:rsid w:val="00CD098A"/>
    <w:rsid w:val="00CF3994"/>
    <w:rsid w:val="00D01B53"/>
    <w:rsid w:val="00D07909"/>
    <w:rsid w:val="00D12096"/>
    <w:rsid w:val="00D419DD"/>
    <w:rsid w:val="00D543CF"/>
    <w:rsid w:val="00D8364C"/>
    <w:rsid w:val="00D95903"/>
    <w:rsid w:val="00D96E59"/>
    <w:rsid w:val="00DB4B96"/>
    <w:rsid w:val="00DD10F9"/>
    <w:rsid w:val="00DF039F"/>
    <w:rsid w:val="00E11EAD"/>
    <w:rsid w:val="00E14D7B"/>
    <w:rsid w:val="00E23EA3"/>
    <w:rsid w:val="00E30D36"/>
    <w:rsid w:val="00E404FA"/>
    <w:rsid w:val="00E63A59"/>
    <w:rsid w:val="00E706EF"/>
    <w:rsid w:val="00EA26BC"/>
    <w:rsid w:val="00EA5462"/>
    <w:rsid w:val="00EC09CA"/>
    <w:rsid w:val="00F0283D"/>
    <w:rsid w:val="00F54F9D"/>
    <w:rsid w:val="00F63063"/>
    <w:rsid w:val="00F9297C"/>
    <w:rsid w:val="00FD68ED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63A59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91AA4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91AA4"/>
    <w:rPr>
      <w:rFonts w:ascii="Courier New" w:hAnsi="Courier New" w:cs="Courier New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78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78BD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82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D01B5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D01B53"/>
    <w:rPr>
      <w:rFonts w:ascii="Arial" w:hAnsi="Arial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semiHidden/>
    <w:rsid w:val="00D01B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D01B53"/>
    <w:rPr>
      <w:rFonts w:ascii="Arial" w:hAnsi="Arial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D01B53"/>
  </w:style>
  <w:style w:type="paragraph" w:styleId="Textoindependiente">
    <w:name w:val="Body Text"/>
    <w:basedOn w:val="Normal"/>
    <w:link w:val="TextoindependienteCar"/>
    <w:semiHidden/>
    <w:rsid w:val="00D01B53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01B53"/>
    <w:rPr>
      <w:rFonts w:ascii="Arial" w:hAnsi="Arial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63A59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91AA4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91AA4"/>
    <w:rPr>
      <w:rFonts w:ascii="Courier New" w:hAnsi="Courier New" w:cs="Courier New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978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78BD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82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19</cp:revision>
  <cp:lastPrinted>2018-05-02T18:12:00Z</cp:lastPrinted>
  <dcterms:created xsi:type="dcterms:W3CDTF">2018-04-30T18:05:00Z</dcterms:created>
  <dcterms:modified xsi:type="dcterms:W3CDTF">2018-05-02T18:12:00Z</dcterms:modified>
</cp:coreProperties>
</file>