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7FB" w:rsidRPr="00786EEB" w:rsidRDefault="00E207FB" w:rsidP="00786EEB">
      <w:pPr>
        <w:tabs>
          <w:tab w:val="center" w:pos="4253"/>
        </w:tabs>
        <w:suppressAutoHyphens/>
        <w:jc w:val="right"/>
        <w:rPr>
          <w:rFonts w:cs="Arial"/>
          <w:b/>
          <w:sz w:val="28"/>
          <w:szCs w:val="28"/>
          <w:lang w:val="es-ES_tradnl"/>
        </w:rPr>
      </w:pPr>
      <w:r>
        <w:rPr>
          <w:rFonts w:cs="Arial"/>
          <w:b/>
          <w:sz w:val="28"/>
          <w:szCs w:val="28"/>
          <w:lang w:val="es-ES_tradnl"/>
        </w:rPr>
        <w:t>RES. 1398/18</w:t>
      </w:r>
    </w:p>
    <w:p w:rsidR="00E207FB" w:rsidRDefault="00E207FB" w:rsidP="00786EEB">
      <w:pPr>
        <w:tabs>
          <w:tab w:val="center" w:pos="4253"/>
        </w:tabs>
        <w:suppressAutoHyphens/>
        <w:jc w:val="right"/>
        <w:rPr>
          <w:rFonts w:cs="Arial"/>
          <w:b/>
          <w:lang w:val="es-ES_tradnl"/>
        </w:rPr>
      </w:pPr>
    </w:p>
    <w:p w:rsidR="0049249F" w:rsidRDefault="0049249F">
      <w:pPr>
        <w:tabs>
          <w:tab w:val="center" w:pos="4253"/>
        </w:tabs>
        <w:suppressAutoHyphens/>
        <w:jc w:val="center"/>
        <w:rPr>
          <w:rFonts w:cs="Arial"/>
          <w:b/>
          <w:lang w:val="es-ES_tradnl"/>
        </w:rPr>
      </w:pPr>
    </w:p>
    <w:p w:rsidR="00E207FB" w:rsidRPr="00762B34" w:rsidRDefault="00E207FB">
      <w:pPr>
        <w:tabs>
          <w:tab w:val="center" w:pos="4253"/>
        </w:tabs>
        <w:suppressAutoHyphens/>
        <w:jc w:val="center"/>
        <w:rPr>
          <w:rFonts w:cs="Arial"/>
          <w:b/>
          <w:lang w:val="es-ES_tradnl"/>
        </w:rPr>
      </w:pPr>
      <w:r w:rsidRPr="00762B34">
        <w:rPr>
          <w:rFonts w:cs="Arial"/>
          <w:b/>
          <w:lang w:val="es-ES_tradnl"/>
        </w:rPr>
        <w:t>RESOLUCION ADOPTADA POR EL</w:t>
      </w:r>
    </w:p>
    <w:p w:rsidR="00E207FB" w:rsidRPr="00762B34" w:rsidRDefault="00E207FB">
      <w:pPr>
        <w:tabs>
          <w:tab w:val="left" w:pos="-720"/>
        </w:tabs>
        <w:suppressAutoHyphens/>
        <w:jc w:val="center"/>
        <w:rPr>
          <w:rFonts w:cs="Arial"/>
          <w:b/>
          <w:lang w:val="es-ES_tradnl"/>
        </w:rPr>
      </w:pPr>
    </w:p>
    <w:p w:rsidR="00E207FB" w:rsidRPr="00762B34" w:rsidRDefault="00E207FB">
      <w:pPr>
        <w:tabs>
          <w:tab w:val="center" w:pos="4253"/>
        </w:tabs>
        <w:suppressAutoHyphens/>
        <w:jc w:val="center"/>
        <w:rPr>
          <w:rFonts w:cs="Arial"/>
          <w:b/>
          <w:lang w:val="es-ES_tradnl"/>
        </w:rPr>
      </w:pPr>
      <w:r w:rsidRPr="00762B34">
        <w:rPr>
          <w:rFonts w:cs="Arial"/>
          <w:b/>
          <w:lang w:val="es-ES_tradnl"/>
        </w:rPr>
        <w:t>TRIBUNAL DE CUENTAS</w:t>
      </w:r>
    </w:p>
    <w:p w:rsidR="00E207FB" w:rsidRPr="00762B34" w:rsidRDefault="00E207FB">
      <w:pPr>
        <w:tabs>
          <w:tab w:val="left" w:pos="-720"/>
        </w:tabs>
        <w:suppressAutoHyphens/>
        <w:jc w:val="center"/>
        <w:rPr>
          <w:rFonts w:cs="Arial"/>
          <w:b/>
          <w:lang w:val="es-ES_tradnl"/>
        </w:rPr>
      </w:pPr>
    </w:p>
    <w:p w:rsidR="00E207FB" w:rsidRPr="00762B34" w:rsidRDefault="00E207FB">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26 DE ABRIL </w:t>
      </w:r>
      <w:r>
        <w:rPr>
          <w:rFonts w:ascii="Helvetica" w:hAnsi="Helvetica"/>
          <w:b/>
          <w:lang w:val="es-ES_tradnl"/>
        </w:rPr>
        <w:t>DE 2018</w:t>
      </w:r>
    </w:p>
    <w:p w:rsidR="00E207FB" w:rsidRPr="00762B34" w:rsidRDefault="00E207FB">
      <w:pPr>
        <w:tabs>
          <w:tab w:val="center" w:pos="4253"/>
        </w:tabs>
        <w:suppressAutoHyphens/>
        <w:jc w:val="center"/>
        <w:rPr>
          <w:rFonts w:cs="Arial"/>
          <w:b/>
          <w:lang w:val="es-ES_tradnl"/>
        </w:rPr>
      </w:pPr>
    </w:p>
    <w:p w:rsidR="00E207FB" w:rsidRPr="005F3F5F" w:rsidRDefault="00E207FB">
      <w:pPr>
        <w:tabs>
          <w:tab w:val="center" w:pos="4253"/>
        </w:tabs>
        <w:suppressAutoHyphens/>
        <w:jc w:val="center"/>
        <w:rPr>
          <w:rFonts w:cs="Arial"/>
          <w:b/>
          <w:lang w:val="es-UY"/>
        </w:rPr>
      </w:pPr>
      <w:r w:rsidRPr="005F3F5F">
        <w:rPr>
          <w:rFonts w:cs="Arial"/>
          <w:b/>
          <w:lang w:val="es-UY"/>
        </w:rPr>
        <w:t xml:space="preserve">(E. E. Nº 2017-17-1-0002199, </w:t>
      </w:r>
      <w:proofErr w:type="spellStart"/>
      <w:r w:rsidRPr="005F3F5F">
        <w:rPr>
          <w:rFonts w:cs="Arial"/>
          <w:b/>
          <w:lang w:val="es-UY"/>
        </w:rPr>
        <w:t>Ent</w:t>
      </w:r>
      <w:proofErr w:type="spellEnd"/>
      <w:r w:rsidRPr="005F3F5F">
        <w:rPr>
          <w:rFonts w:cs="Arial"/>
          <w:b/>
          <w:lang w:val="es-UY"/>
        </w:rPr>
        <w:t>. N° 1816/18)</w:t>
      </w:r>
    </w:p>
    <w:p w:rsidR="00E207FB" w:rsidRPr="005F3F5F" w:rsidRDefault="00E207FB">
      <w:pPr>
        <w:tabs>
          <w:tab w:val="center" w:pos="4253"/>
        </w:tabs>
        <w:suppressAutoHyphens/>
        <w:jc w:val="center"/>
        <w:rPr>
          <w:rFonts w:ascii="Helvetica" w:hAnsi="Helvetica"/>
          <w:b/>
          <w:lang w:val="es-UY"/>
        </w:rPr>
      </w:pPr>
    </w:p>
    <w:p w:rsidR="0021688E" w:rsidRDefault="0021688E" w:rsidP="0021688E"/>
    <w:p w:rsidR="0021688E" w:rsidRDefault="0021688E" w:rsidP="00E207FB">
      <w:pPr>
        <w:spacing w:line="360" w:lineRule="auto"/>
        <w:ind w:firstLine="708"/>
        <w:jc w:val="both"/>
      </w:pPr>
      <w:r>
        <w:rPr>
          <w:b/>
          <w:bCs/>
        </w:rPr>
        <w:t>VISTO:</w:t>
      </w:r>
      <w:r>
        <w:t xml:space="preserve"> estas actuaciones remitidas por la Agencia para el Desarrollo del Gobierno de Gestión Electrónica y la Sociedad de la Información y del Conocimiento (AGESIC), relacionadas con el convenio específico a suscribir con la Fundación Julio </w:t>
      </w:r>
      <w:proofErr w:type="spellStart"/>
      <w:r>
        <w:t>Ricaldoni</w:t>
      </w:r>
      <w:proofErr w:type="spellEnd"/>
      <w:r>
        <w:t xml:space="preserve"> de la Facultad de Ingeniería de la Universidad de la República (FJR); </w:t>
      </w:r>
    </w:p>
    <w:p w:rsidR="0021688E" w:rsidRDefault="0021688E" w:rsidP="00E207FB">
      <w:pPr>
        <w:tabs>
          <w:tab w:val="left" w:pos="1800"/>
        </w:tabs>
        <w:spacing w:line="360" w:lineRule="auto"/>
        <w:ind w:firstLine="709"/>
        <w:jc w:val="both"/>
        <w:rPr>
          <w:bCs/>
        </w:rPr>
      </w:pPr>
      <w:r>
        <w:rPr>
          <w:b/>
          <w:bCs/>
        </w:rPr>
        <w:t>RESULTANDO:</w:t>
      </w:r>
      <w:r>
        <w:t xml:space="preserve"> </w:t>
      </w:r>
      <w:r>
        <w:rPr>
          <w:b/>
          <w:bCs/>
        </w:rPr>
        <w:t xml:space="preserve">1) </w:t>
      </w:r>
      <w:r w:rsidRPr="001649F3">
        <w:rPr>
          <w:bCs/>
        </w:rPr>
        <w:t xml:space="preserve">que con fecha 4 de julio de 2013, </w:t>
      </w:r>
      <w:r>
        <w:rPr>
          <w:bCs/>
        </w:rPr>
        <w:t xml:space="preserve">la </w:t>
      </w:r>
      <w:r w:rsidRPr="001649F3">
        <w:rPr>
          <w:bCs/>
        </w:rPr>
        <w:t>AGESIC</w:t>
      </w:r>
      <w:r>
        <w:rPr>
          <w:bCs/>
        </w:rPr>
        <w:t xml:space="preserve"> remitió antecedentes a este Tribunal, relativos al convenio marco a suscribir con la FJR, por el cual se acordaba que ambas instituciones se apoyaran mutuamente para el más eficaz y eficiente cumplimiento de sus respectivas misiones y líneas estratégicas;</w:t>
      </w:r>
    </w:p>
    <w:p w:rsidR="0021688E" w:rsidRDefault="0021688E" w:rsidP="00E207FB">
      <w:pPr>
        <w:tabs>
          <w:tab w:val="left" w:pos="1800"/>
        </w:tabs>
        <w:spacing w:line="360" w:lineRule="auto"/>
        <w:ind w:firstLine="2552"/>
        <w:jc w:val="both"/>
        <w:rPr>
          <w:bCs/>
        </w:rPr>
      </w:pPr>
      <w:r w:rsidRPr="007608C1">
        <w:rPr>
          <w:b/>
          <w:bCs/>
        </w:rPr>
        <w:t>2)</w:t>
      </w:r>
      <w:r>
        <w:rPr>
          <w:bCs/>
        </w:rPr>
        <w:t xml:space="preserve"> que por Resolución de fecha 17 de julio de 2013, este Tribunal acordó no formular observaciones al convenio marco referido, el cual fue en definitiva celebrado por las partes con fecha  26 de agosto de 2013; </w:t>
      </w:r>
    </w:p>
    <w:p w:rsidR="0021688E" w:rsidRDefault="0021688E" w:rsidP="00E207FB">
      <w:pPr>
        <w:tabs>
          <w:tab w:val="left" w:pos="1800"/>
        </w:tabs>
        <w:spacing w:line="360" w:lineRule="auto"/>
        <w:ind w:firstLine="2552"/>
        <w:jc w:val="both"/>
        <w:rPr>
          <w:bCs/>
        </w:rPr>
      </w:pPr>
      <w:r>
        <w:rPr>
          <w:b/>
          <w:bCs/>
        </w:rPr>
        <w:t>3</w:t>
      </w:r>
      <w:r w:rsidRPr="007608C1">
        <w:rPr>
          <w:b/>
          <w:bCs/>
        </w:rPr>
        <w:t>)</w:t>
      </w:r>
      <w:r>
        <w:rPr>
          <w:bCs/>
        </w:rPr>
        <w:t xml:space="preserve"> que posteriormente la AGESIC remitió a este Tribunal un</w:t>
      </w:r>
      <w:r w:rsidR="002B6882">
        <w:rPr>
          <w:bCs/>
        </w:rPr>
        <w:t xml:space="preserve"> </w:t>
      </w:r>
      <w:r>
        <w:rPr>
          <w:bCs/>
        </w:rPr>
        <w:t xml:space="preserve">proyecto de adenda del </w:t>
      </w:r>
      <w:r w:rsidR="002B6882">
        <w:rPr>
          <w:bCs/>
        </w:rPr>
        <w:t>c</w:t>
      </w:r>
      <w:r>
        <w:rPr>
          <w:bCs/>
        </w:rPr>
        <w:t xml:space="preserve">onvenio </w:t>
      </w:r>
      <w:r w:rsidR="002B6882">
        <w:rPr>
          <w:bCs/>
        </w:rPr>
        <w:t>marco, por la cual se estableció</w:t>
      </w:r>
      <w:r>
        <w:rPr>
          <w:bCs/>
        </w:rPr>
        <w:t xml:space="preserve"> que el plazo </w:t>
      </w:r>
      <w:r w:rsidR="002B6882">
        <w:rPr>
          <w:bCs/>
        </w:rPr>
        <w:t>del mismo es</w:t>
      </w:r>
      <w:r>
        <w:rPr>
          <w:bCs/>
        </w:rPr>
        <w:t xml:space="preserve"> de 2 años, renovándose automáticamente por plazos anuales;</w:t>
      </w:r>
    </w:p>
    <w:p w:rsidR="002B6882" w:rsidRDefault="002B6882" w:rsidP="00E207FB">
      <w:pPr>
        <w:tabs>
          <w:tab w:val="left" w:pos="1800"/>
        </w:tabs>
        <w:spacing w:line="360" w:lineRule="auto"/>
        <w:ind w:firstLine="2552"/>
        <w:jc w:val="both"/>
        <w:rPr>
          <w:bCs/>
        </w:rPr>
      </w:pPr>
      <w:r>
        <w:rPr>
          <w:b/>
          <w:bCs/>
        </w:rPr>
        <w:t>4</w:t>
      </w:r>
      <w:r w:rsidR="0021688E" w:rsidRPr="007608C1">
        <w:rPr>
          <w:b/>
          <w:bCs/>
        </w:rPr>
        <w:t>)</w:t>
      </w:r>
      <w:r w:rsidR="0021688E">
        <w:rPr>
          <w:bCs/>
        </w:rPr>
        <w:t xml:space="preserve"> que por Resolución de fecha 1º de octubre de 2014, este Tribunal acordó no formular observaciones a la adenda </w:t>
      </w:r>
      <w:r>
        <w:rPr>
          <w:bCs/>
        </w:rPr>
        <w:t xml:space="preserve"> contractual mencionada, la cual fue suscripta el </w:t>
      </w:r>
      <w:r w:rsidR="0021688E">
        <w:rPr>
          <w:bCs/>
        </w:rPr>
        <w:t>23 de octubre de 2014</w:t>
      </w:r>
      <w:r>
        <w:rPr>
          <w:bCs/>
        </w:rPr>
        <w:t>;</w:t>
      </w:r>
    </w:p>
    <w:p w:rsidR="00173B62" w:rsidRDefault="002B6882" w:rsidP="00E207FB">
      <w:pPr>
        <w:tabs>
          <w:tab w:val="left" w:pos="1800"/>
        </w:tabs>
        <w:spacing w:line="360" w:lineRule="auto"/>
        <w:ind w:firstLine="2552"/>
        <w:jc w:val="both"/>
      </w:pPr>
      <w:r>
        <w:rPr>
          <w:b/>
          <w:bCs/>
        </w:rPr>
        <w:lastRenderedPageBreak/>
        <w:t>5</w:t>
      </w:r>
      <w:r w:rsidR="0021688E" w:rsidRPr="007608C1">
        <w:rPr>
          <w:b/>
          <w:bCs/>
        </w:rPr>
        <w:t>)</w:t>
      </w:r>
      <w:r w:rsidR="0021688E">
        <w:rPr>
          <w:bCs/>
        </w:rPr>
        <w:t xml:space="preserve"> </w:t>
      </w:r>
      <w:r w:rsidR="0021688E">
        <w:rPr>
          <w:rFonts w:cs="Arial"/>
        </w:rPr>
        <w:t>que en esta oportunidad</w:t>
      </w:r>
      <w:r>
        <w:rPr>
          <w:rFonts w:cs="Arial"/>
        </w:rPr>
        <w:t>,</w:t>
      </w:r>
      <w:r w:rsidR="0021688E">
        <w:rPr>
          <w:rFonts w:cs="Arial"/>
        </w:rPr>
        <w:t xml:space="preserve"> se remite proyecto de convenio específico</w:t>
      </w:r>
      <w:r>
        <w:rPr>
          <w:rFonts w:cs="Arial"/>
        </w:rPr>
        <w:t xml:space="preserve"> a suscribir </w:t>
      </w:r>
      <w:r w:rsidR="005F3F5F">
        <w:rPr>
          <w:rFonts w:cs="Arial"/>
        </w:rPr>
        <w:t>por</w:t>
      </w:r>
      <w:r>
        <w:rPr>
          <w:rFonts w:cs="Arial"/>
        </w:rPr>
        <w:t xml:space="preserve"> las partes</w:t>
      </w:r>
      <w:r w:rsidR="0021688E">
        <w:rPr>
          <w:rFonts w:cs="Arial"/>
        </w:rPr>
        <w:t xml:space="preserve"> </w:t>
      </w:r>
      <w:r w:rsidR="0021688E" w:rsidRPr="007608C1">
        <w:rPr>
          <w:rFonts w:cs="Arial"/>
        </w:rPr>
        <w:t>al amparo del</w:t>
      </w:r>
      <w:r>
        <w:rPr>
          <w:rFonts w:cs="Arial"/>
        </w:rPr>
        <w:t xml:space="preserve"> </w:t>
      </w:r>
      <w:r w:rsidR="0021688E" w:rsidRPr="007608C1">
        <w:rPr>
          <w:rFonts w:cs="Arial"/>
        </w:rPr>
        <w:t>convenio marco,</w:t>
      </w:r>
      <w:r w:rsidR="0021688E">
        <w:rPr>
          <w:rFonts w:cs="Arial"/>
        </w:rPr>
        <w:t xml:space="preserve"> </w:t>
      </w:r>
      <w:r w:rsidR="0021688E">
        <w:t xml:space="preserve"> </w:t>
      </w:r>
      <w:r w:rsidR="00E63C14">
        <w:t>cuyo objeto consiste en</w:t>
      </w:r>
      <w:r w:rsidR="0021688E">
        <w:t xml:space="preserve"> brindar apoyo a la AGESIC</w:t>
      </w:r>
      <w:r w:rsidR="00E63C14">
        <w:t xml:space="preserve">, cooperando con el desarrollo y la ejecución del </w:t>
      </w:r>
      <w:r w:rsidR="0021688E">
        <w:t xml:space="preserve"> “Programa </w:t>
      </w:r>
      <w:r w:rsidR="00E63C14">
        <w:t xml:space="preserve">Portal Integrado del </w:t>
      </w:r>
      <w:r w:rsidR="0021688E">
        <w:t>Estado”,</w:t>
      </w:r>
      <w:r w:rsidR="00E63C14">
        <w:t xml:space="preserve"> </w:t>
      </w:r>
      <w:r w:rsidR="00472FC7">
        <w:t>así</w:t>
      </w:r>
      <w:r w:rsidR="00E63C14">
        <w:t xml:space="preserve"> como con el resto de los proyectos que integran el portafolio de la Agencia, alineándose con los objetivos y </w:t>
      </w:r>
      <w:r w:rsidR="00173B62">
        <w:t xml:space="preserve">acciones estratégicas de la misma, facilitando a tales efectos la FJR la </w:t>
      </w:r>
      <w:r w:rsidR="00472FC7">
        <w:t>participación</w:t>
      </w:r>
      <w:r w:rsidR="00173B62">
        <w:t xml:space="preserve"> de estudiantes, docentes y egresados de la </w:t>
      </w:r>
      <w:r w:rsidR="00472FC7">
        <w:t>Fac</w:t>
      </w:r>
      <w:r w:rsidR="00173B62">
        <w:t xml:space="preserve">ultad de </w:t>
      </w:r>
      <w:r w:rsidR="00472FC7">
        <w:t>Ingeniería</w:t>
      </w:r>
      <w:r w:rsidR="00173B62">
        <w:t xml:space="preserve">, </w:t>
      </w:r>
      <w:r w:rsidR="00472FC7">
        <w:t>así</w:t>
      </w:r>
      <w:r w:rsidR="00173B62">
        <w:t xml:space="preserve"> como </w:t>
      </w:r>
      <w:r w:rsidR="00472FC7">
        <w:t>todo</w:t>
      </w:r>
      <w:r w:rsidR="00173B62">
        <w:t xml:space="preserve"> otro personal idóneo requerido para colabora</w:t>
      </w:r>
      <w:r w:rsidR="00472FC7">
        <w:t>r</w:t>
      </w:r>
      <w:r w:rsidR="00173B62">
        <w:t xml:space="preserve"> con la Agencia en la </w:t>
      </w:r>
      <w:r w:rsidR="00472FC7">
        <w:t>realización</w:t>
      </w:r>
      <w:r w:rsidR="00173B62">
        <w:t xml:space="preserve"> de acciones </w:t>
      </w:r>
      <w:r w:rsidR="00472FC7">
        <w:t>tendientes</w:t>
      </w:r>
      <w:r w:rsidR="00173B62">
        <w:t xml:space="preserve"> al cumplimiento tanto de sus cometidos sustantivos como aqu</w:t>
      </w:r>
      <w:r w:rsidR="005F3F5F">
        <w:t>é</w:t>
      </w:r>
      <w:r w:rsidR="00173B62">
        <w:t xml:space="preserve">llos de </w:t>
      </w:r>
      <w:r w:rsidR="00472FC7">
        <w:t>apoyo</w:t>
      </w:r>
      <w:r w:rsidR="00173B62">
        <w:t xml:space="preserve">, </w:t>
      </w:r>
      <w:r w:rsidR="00472FC7">
        <w:t>relativos</w:t>
      </w:r>
      <w:r w:rsidR="00173B62">
        <w:t xml:space="preserve"> al “</w:t>
      </w:r>
      <w:r w:rsidR="00472FC7">
        <w:t>Programa</w:t>
      </w:r>
      <w:r w:rsidR="00173B62">
        <w:t xml:space="preserve"> Portal Integrado del </w:t>
      </w:r>
      <w:r w:rsidR="000B637B">
        <w:t>E</w:t>
      </w:r>
      <w:r w:rsidR="00173B62">
        <w:t xml:space="preserve">stado” y demás </w:t>
      </w:r>
      <w:r w:rsidR="00472FC7">
        <w:t>Proyectos</w:t>
      </w:r>
      <w:r w:rsidR="00173B62">
        <w:t xml:space="preserve"> que </w:t>
      </w:r>
      <w:r w:rsidR="00472FC7">
        <w:t>integran</w:t>
      </w:r>
      <w:r w:rsidR="00173B62">
        <w:t xml:space="preserve"> el portafolio de AGESIC;</w:t>
      </w:r>
    </w:p>
    <w:p w:rsidR="0021688E" w:rsidRDefault="00173B62" w:rsidP="00E207FB">
      <w:pPr>
        <w:tabs>
          <w:tab w:val="left" w:pos="1800"/>
        </w:tabs>
        <w:spacing w:line="360" w:lineRule="auto"/>
        <w:ind w:firstLine="2552"/>
        <w:jc w:val="both"/>
      </w:pPr>
      <w:r>
        <w:rPr>
          <w:b/>
        </w:rPr>
        <w:t>6</w:t>
      </w:r>
      <w:r w:rsidR="0021688E" w:rsidRPr="007608C1">
        <w:rPr>
          <w:b/>
        </w:rPr>
        <w:t>)</w:t>
      </w:r>
      <w:r w:rsidR="0021688E">
        <w:rPr>
          <w:b/>
        </w:rPr>
        <w:t xml:space="preserve"> </w:t>
      </w:r>
      <w:r w:rsidR="0021688E">
        <w:t xml:space="preserve">que en el marco de dicho </w:t>
      </w:r>
      <w:r w:rsidR="000B637B">
        <w:t>c</w:t>
      </w:r>
      <w:r w:rsidR="0021688E">
        <w:t>onvenio</w:t>
      </w:r>
      <w:r w:rsidR="000B637B">
        <w:t>,</w:t>
      </w:r>
      <w:r w:rsidR="0021688E">
        <w:t xml:space="preserve"> AGESIC podrá solicitar a la FJR la ejecución y desarrollo de actividades y tareas descriptas en el </w:t>
      </w:r>
      <w:r w:rsidR="005F3F5F">
        <w:t>A</w:t>
      </w:r>
      <w:r w:rsidR="0021688E">
        <w:t xml:space="preserve">nexo </w:t>
      </w:r>
      <w:proofErr w:type="gramStart"/>
      <w:r w:rsidR="0021688E">
        <w:t>A</w:t>
      </w:r>
      <w:proofErr w:type="gramEnd"/>
      <w:r w:rsidR="0021688E">
        <w:t xml:space="preserve">, </w:t>
      </w:r>
      <w:r>
        <w:t xml:space="preserve"> que forma parte del convenio;</w:t>
      </w:r>
    </w:p>
    <w:p w:rsidR="0021688E" w:rsidRDefault="00173B62" w:rsidP="00E207FB">
      <w:pPr>
        <w:tabs>
          <w:tab w:val="left" w:pos="1800"/>
        </w:tabs>
        <w:spacing w:line="360" w:lineRule="auto"/>
        <w:ind w:firstLine="2552"/>
        <w:jc w:val="both"/>
      </w:pPr>
      <w:r>
        <w:rPr>
          <w:b/>
        </w:rPr>
        <w:t>7</w:t>
      </w:r>
      <w:r w:rsidR="0021688E" w:rsidRPr="006D612E">
        <w:rPr>
          <w:b/>
        </w:rPr>
        <w:t>)</w:t>
      </w:r>
      <w:r w:rsidR="0021688E">
        <w:t xml:space="preserve"> que la AGESIC destinará </w:t>
      </w:r>
      <w:r w:rsidR="0021688E" w:rsidRPr="006D612E">
        <w:t xml:space="preserve">la suma de $ </w:t>
      </w:r>
      <w:r w:rsidR="0021688E">
        <w:t>4</w:t>
      </w:r>
      <w:r>
        <w:t>5</w:t>
      </w:r>
      <w:r w:rsidR="0021688E" w:rsidRPr="006D612E">
        <w:t xml:space="preserve">.000.000, procedente de sus propios recursos, transferible en diferentes </w:t>
      </w:r>
      <w:r w:rsidR="0021688E">
        <w:t xml:space="preserve">partidas, de acuerdo </w:t>
      </w:r>
      <w:r w:rsidR="005F3F5F">
        <w:t>con</w:t>
      </w:r>
      <w:r w:rsidR="0021688E">
        <w:t xml:space="preserve"> la evolución de la ejecución del Acuerdo (Ordenanza </w:t>
      </w:r>
      <w:r>
        <w:t xml:space="preserve">Nº </w:t>
      </w:r>
      <w:r w:rsidR="0021688E">
        <w:t xml:space="preserve">77 del Tribunal de Cuentas); </w:t>
      </w:r>
    </w:p>
    <w:p w:rsidR="0021688E" w:rsidRPr="006D612E" w:rsidRDefault="00173B62" w:rsidP="00E207FB">
      <w:pPr>
        <w:tabs>
          <w:tab w:val="left" w:pos="1800"/>
        </w:tabs>
        <w:spacing w:line="360" w:lineRule="auto"/>
        <w:ind w:firstLine="2552"/>
        <w:jc w:val="both"/>
      </w:pPr>
      <w:r>
        <w:rPr>
          <w:b/>
        </w:rPr>
        <w:t>8</w:t>
      </w:r>
      <w:r w:rsidR="0021688E" w:rsidRPr="006D612E">
        <w:rPr>
          <w:b/>
        </w:rPr>
        <w:t>)</w:t>
      </w:r>
      <w:r w:rsidR="0021688E">
        <w:t xml:space="preserve"> que se autoriza a la FJR a retener un 6,5% de cada ingreso por concepto de gastos administrativos y de gestión; </w:t>
      </w:r>
    </w:p>
    <w:p w:rsidR="0021688E" w:rsidRDefault="00970732" w:rsidP="00E207FB">
      <w:pPr>
        <w:tabs>
          <w:tab w:val="left" w:pos="1800"/>
        </w:tabs>
        <w:spacing w:line="360" w:lineRule="auto"/>
        <w:ind w:firstLine="2552"/>
        <w:jc w:val="both"/>
      </w:pPr>
      <w:r w:rsidRPr="00970732">
        <w:rPr>
          <w:b/>
        </w:rPr>
        <w:t>9</w:t>
      </w:r>
      <w:r w:rsidR="0021688E" w:rsidRPr="00970732">
        <w:rPr>
          <w:b/>
          <w:bCs/>
        </w:rPr>
        <w:t>)</w:t>
      </w:r>
      <w:r w:rsidR="0021688E">
        <w:rPr>
          <w:b/>
          <w:bCs/>
        </w:rPr>
        <w:t xml:space="preserve"> </w:t>
      </w:r>
      <w:r w:rsidR="0021688E">
        <w:t xml:space="preserve">que dicho </w:t>
      </w:r>
      <w:r w:rsidR="000B637B">
        <w:t>c</w:t>
      </w:r>
      <w:r w:rsidR="0021688E">
        <w:t>onvenio entrará en vigencia a partir de su suscripción hasta el 3</w:t>
      </w:r>
      <w:r>
        <w:t>1</w:t>
      </w:r>
      <w:r w:rsidR="0021688E">
        <w:t xml:space="preserve"> de </w:t>
      </w:r>
      <w:r>
        <w:t>diciembre de</w:t>
      </w:r>
      <w:r w:rsidR="0021688E">
        <w:t xml:space="preserve"> año 20</w:t>
      </w:r>
      <w:r>
        <w:t>20</w:t>
      </w:r>
      <w:r w:rsidR="0021688E">
        <w:t xml:space="preserve">, a menos que cualquiera de las partes comunique a la otra su voluntad de desvincularse con al menos 30 días corridos de antelación al vencimiento original o al de cualquiera de sus prórrogas; </w:t>
      </w:r>
    </w:p>
    <w:p w:rsidR="0021688E" w:rsidRDefault="0021688E" w:rsidP="00E207FB">
      <w:pPr>
        <w:tabs>
          <w:tab w:val="left" w:pos="1800"/>
        </w:tabs>
        <w:spacing w:line="360" w:lineRule="auto"/>
        <w:ind w:firstLine="2552"/>
        <w:jc w:val="both"/>
      </w:pPr>
      <w:r w:rsidRPr="006D612E">
        <w:rPr>
          <w:b/>
        </w:rPr>
        <w:t>1</w:t>
      </w:r>
      <w:r w:rsidR="00970732">
        <w:rPr>
          <w:b/>
        </w:rPr>
        <w:t>0</w:t>
      </w:r>
      <w:r w:rsidRPr="006D612E">
        <w:rPr>
          <w:b/>
        </w:rPr>
        <w:t>)</w:t>
      </w:r>
      <w:r>
        <w:t xml:space="preserve"> </w:t>
      </w:r>
      <w:r w:rsidR="000B637B">
        <w:t xml:space="preserve">que </w:t>
      </w:r>
      <w:r>
        <w:t xml:space="preserve">se adjunta </w:t>
      </w:r>
      <w:r w:rsidR="005F3F5F">
        <w:t>D</w:t>
      </w:r>
      <w:r>
        <w:t xml:space="preserve">ocumento de </w:t>
      </w:r>
      <w:r w:rsidR="005F3F5F">
        <w:t>A</w:t>
      </w:r>
      <w:r>
        <w:t xml:space="preserve">fectación </w:t>
      </w:r>
      <w:r w:rsidR="005F3F5F">
        <w:t xml:space="preserve">             </w:t>
      </w:r>
      <w:r>
        <w:t>N</w:t>
      </w:r>
      <w:r w:rsidR="00970732">
        <w:t>º 000450</w:t>
      </w:r>
      <w:r>
        <w:t xml:space="preserve"> de fecha </w:t>
      </w:r>
      <w:r w:rsidR="00BD7C09">
        <w:t xml:space="preserve">23 de marzo de </w:t>
      </w:r>
      <w:r>
        <w:t xml:space="preserve">2018 por el monto de $ </w:t>
      </w:r>
      <w:r w:rsidR="00BD7C09">
        <w:t>2</w:t>
      </w:r>
      <w:r>
        <w:t xml:space="preserve">0:000.000 con cargo al </w:t>
      </w:r>
      <w:r w:rsidR="000B637B">
        <w:t>I</w:t>
      </w:r>
      <w:r>
        <w:t xml:space="preserve">nciso 24 “Diversos Créditos”, Unidad Ejecutora 002 “Presidencia de la </w:t>
      </w:r>
      <w:r>
        <w:lastRenderedPageBreak/>
        <w:t>Repúb</w:t>
      </w:r>
      <w:r w:rsidR="00BD7C09">
        <w:t>l</w:t>
      </w:r>
      <w:r>
        <w:t>ica”, Programa 484 “Política de Gobierno Electrónico”, Proyecto 501</w:t>
      </w:r>
      <w:r w:rsidR="00BD7C09">
        <w:t xml:space="preserve"> y Proyecto 507 “Integración de la Información del Estado”</w:t>
      </w:r>
      <w:r>
        <w:t>, Objeto el Gasto 559, Financiamiento 1.1 “Rentas Generales”;</w:t>
      </w:r>
    </w:p>
    <w:p w:rsidR="00E207FB" w:rsidRDefault="0021688E" w:rsidP="00E207FB">
      <w:pPr>
        <w:tabs>
          <w:tab w:val="left" w:pos="1800"/>
        </w:tabs>
        <w:spacing w:line="360" w:lineRule="auto"/>
        <w:ind w:firstLine="2552"/>
        <w:jc w:val="both"/>
      </w:pPr>
      <w:r w:rsidRPr="00CF28BF">
        <w:rPr>
          <w:b/>
        </w:rPr>
        <w:t>1</w:t>
      </w:r>
      <w:r w:rsidR="00BD7C09">
        <w:rPr>
          <w:b/>
        </w:rPr>
        <w:t>1</w:t>
      </w:r>
      <w:r w:rsidRPr="00CF28BF">
        <w:rPr>
          <w:b/>
        </w:rPr>
        <w:t>)</w:t>
      </w:r>
      <w:r>
        <w:t xml:space="preserve"> que </w:t>
      </w:r>
      <w:r w:rsidR="00BD7C09">
        <w:t>se agrega</w:t>
      </w:r>
      <w:r>
        <w:t xml:space="preserve"> informe de </w:t>
      </w:r>
      <w:r w:rsidR="00BD7C09">
        <w:t>d</w:t>
      </w:r>
      <w:r>
        <w:t xml:space="preserve">isponibilidad de </w:t>
      </w:r>
      <w:r w:rsidR="00BD7C09">
        <w:t>c</w:t>
      </w:r>
      <w:r>
        <w:t xml:space="preserve">rédito de fecha </w:t>
      </w:r>
      <w:r w:rsidR="00BD7C09">
        <w:t>23 de marzo de 2018</w:t>
      </w:r>
      <w:r>
        <w:t xml:space="preserve"> de la Directora de Administración y Finanzas de AGESIC</w:t>
      </w:r>
      <w:r w:rsidR="00BD7C09">
        <w:t xml:space="preserve">, </w:t>
      </w:r>
      <w:r w:rsidR="00E207FB">
        <w:t xml:space="preserve">   </w:t>
      </w:r>
      <w:r w:rsidR="00BD7C09">
        <w:t xml:space="preserve">donde </w:t>
      </w:r>
      <w:r w:rsidR="00E207FB">
        <w:t xml:space="preserve">  </w:t>
      </w:r>
      <w:r>
        <w:t xml:space="preserve"> se </w:t>
      </w:r>
      <w:r w:rsidR="00E207FB">
        <w:t xml:space="preserve">  </w:t>
      </w:r>
      <w:r>
        <w:t xml:space="preserve">informa </w:t>
      </w:r>
      <w:r w:rsidR="00E207FB">
        <w:t xml:space="preserve">  </w:t>
      </w:r>
      <w:r>
        <w:t xml:space="preserve">que </w:t>
      </w:r>
      <w:r w:rsidR="00E207FB">
        <w:t xml:space="preserve">   </w:t>
      </w:r>
      <w:r>
        <w:t xml:space="preserve">la </w:t>
      </w:r>
      <w:r w:rsidR="00E207FB">
        <w:t xml:space="preserve">   </w:t>
      </w:r>
      <w:r>
        <w:t xml:space="preserve">erogación </w:t>
      </w:r>
      <w:r w:rsidR="00E207FB">
        <w:t xml:space="preserve">  </w:t>
      </w:r>
      <w:r>
        <w:t xml:space="preserve">a </w:t>
      </w:r>
      <w:r w:rsidR="00E207FB">
        <w:t xml:space="preserve">  </w:t>
      </w:r>
      <w:r>
        <w:t xml:space="preserve">realizar </w:t>
      </w:r>
      <w:r w:rsidR="00E207FB">
        <w:t xml:space="preserve">  </w:t>
      </w:r>
      <w:r>
        <w:t xml:space="preserve">asciende a </w:t>
      </w:r>
    </w:p>
    <w:p w:rsidR="00E207FB" w:rsidRDefault="0021688E" w:rsidP="00E207FB">
      <w:pPr>
        <w:tabs>
          <w:tab w:val="left" w:pos="1800"/>
        </w:tabs>
        <w:spacing w:line="360" w:lineRule="auto"/>
        <w:jc w:val="both"/>
      </w:pPr>
      <w:r>
        <w:t>$ 4</w:t>
      </w:r>
      <w:r w:rsidR="00CE12DB">
        <w:t>5</w:t>
      </w:r>
      <w:r>
        <w:t xml:space="preserve">:000.000 </w:t>
      </w:r>
      <w:r w:rsidR="00E207FB">
        <w:t xml:space="preserve">  </w:t>
      </w:r>
      <w:r>
        <w:t xml:space="preserve">los </w:t>
      </w:r>
      <w:r w:rsidR="00E207FB">
        <w:t xml:space="preserve">  </w:t>
      </w:r>
      <w:r>
        <w:t xml:space="preserve">que </w:t>
      </w:r>
      <w:r w:rsidR="00E207FB">
        <w:t xml:space="preserve">  </w:t>
      </w:r>
      <w:r>
        <w:t xml:space="preserve">serán </w:t>
      </w:r>
      <w:r w:rsidR="00E207FB">
        <w:t xml:space="preserve">  </w:t>
      </w:r>
      <w:r>
        <w:t xml:space="preserve">cubiertos </w:t>
      </w:r>
      <w:r w:rsidR="00E207FB">
        <w:t xml:space="preserve">   </w:t>
      </w:r>
      <w:r>
        <w:t>con</w:t>
      </w:r>
      <w:r w:rsidR="00E207FB">
        <w:t xml:space="preserve">  </w:t>
      </w:r>
      <w:r>
        <w:t xml:space="preserve"> créditos </w:t>
      </w:r>
      <w:r w:rsidR="00E207FB">
        <w:t xml:space="preserve">  </w:t>
      </w:r>
      <w:r>
        <w:t xml:space="preserve">previstos </w:t>
      </w:r>
      <w:r w:rsidR="00E207FB">
        <w:t xml:space="preserve"> </w:t>
      </w:r>
      <w:r>
        <w:t xml:space="preserve">en la Ley </w:t>
      </w:r>
    </w:p>
    <w:p w:rsidR="0021688E" w:rsidRDefault="0021688E" w:rsidP="00E207FB">
      <w:pPr>
        <w:tabs>
          <w:tab w:val="left" w:pos="1800"/>
        </w:tabs>
        <w:spacing w:line="360" w:lineRule="auto"/>
        <w:jc w:val="both"/>
      </w:pPr>
      <w:r>
        <w:t>N</w:t>
      </w:r>
      <w:r w:rsidR="00E207FB">
        <w:t>°</w:t>
      </w:r>
      <w:r>
        <w:t xml:space="preserve"> 19.355</w:t>
      </w:r>
      <w:r w:rsidR="00A40093">
        <w:t xml:space="preserve"> del 30 de diciembre de 2015</w:t>
      </w:r>
      <w:r>
        <w:t xml:space="preserve"> </w:t>
      </w:r>
      <w:r w:rsidR="00A40093">
        <w:t>(</w:t>
      </w:r>
      <w:r>
        <w:t>Presupuesto Nacional para el período 2015-2019</w:t>
      </w:r>
      <w:r w:rsidR="00A40093">
        <w:t>)</w:t>
      </w:r>
      <w:r>
        <w:t>, existiendo disponibilidad suficiente para atender la</w:t>
      </w:r>
      <w:r w:rsidR="000B637B">
        <w:t xml:space="preserve"> misma,</w:t>
      </w:r>
      <w:r>
        <w:t xml:space="preserve"> de acuerdo </w:t>
      </w:r>
      <w:r w:rsidR="00FB1616">
        <w:t>con e</w:t>
      </w:r>
      <w:r>
        <w:t xml:space="preserve">l siguiente detalle: </w:t>
      </w:r>
      <w:r w:rsidR="005973C3" w:rsidRPr="00FB1616">
        <w:rPr>
          <w:b/>
        </w:rPr>
        <w:t>a</w:t>
      </w:r>
      <w:r w:rsidR="005973C3">
        <w:t xml:space="preserve">) </w:t>
      </w:r>
      <w:r>
        <w:t xml:space="preserve">Año 2018: se </w:t>
      </w:r>
      <w:r w:rsidR="005973C3">
        <w:t xml:space="preserve">deja constancia por medio del </w:t>
      </w:r>
      <w:r w:rsidR="00FB1616">
        <w:t>D</w:t>
      </w:r>
      <w:r w:rsidR="005973C3">
        <w:t xml:space="preserve">ocumento de </w:t>
      </w:r>
      <w:r w:rsidR="00FB1616">
        <w:t>A</w:t>
      </w:r>
      <w:r>
        <w:t xml:space="preserve">fectación </w:t>
      </w:r>
      <w:r w:rsidR="00CE12DB">
        <w:t>referid</w:t>
      </w:r>
      <w:r w:rsidR="005973C3">
        <w:t>o</w:t>
      </w:r>
      <w:r w:rsidR="00CE12DB">
        <w:t xml:space="preserve"> </w:t>
      </w:r>
      <w:r w:rsidR="005973C3">
        <w:t>anteriormente Nº 000450 por $ 20.000.000</w:t>
      </w:r>
      <w:r w:rsidR="00FB1616">
        <w:t>,</w:t>
      </w:r>
      <w:r w:rsidR="005973C3">
        <w:t xml:space="preserve"> y </w:t>
      </w:r>
      <w:r w:rsidR="005973C3" w:rsidRPr="00FB1616">
        <w:rPr>
          <w:b/>
        </w:rPr>
        <w:t>b</w:t>
      </w:r>
      <w:r w:rsidR="005973C3">
        <w:t>) Año 2019: se deja constancia de la disponibilidad suficiente para atender las erogaciones previstas por la suma de $ 25.000.000;</w:t>
      </w:r>
    </w:p>
    <w:p w:rsidR="0021688E" w:rsidRDefault="0021688E" w:rsidP="00E207FB">
      <w:pPr>
        <w:tabs>
          <w:tab w:val="left" w:pos="1800"/>
        </w:tabs>
        <w:spacing w:line="360" w:lineRule="auto"/>
        <w:ind w:firstLine="2552"/>
        <w:jc w:val="both"/>
      </w:pPr>
      <w:r w:rsidRPr="00CF28BF">
        <w:rPr>
          <w:b/>
        </w:rPr>
        <w:t>1</w:t>
      </w:r>
      <w:r w:rsidR="005973C3">
        <w:rPr>
          <w:b/>
        </w:rPr>
        <w:t>2</w:t>
      </w:r>
      <w:r w:rsidRPr="00CF28BF">
        <w:rPr>
          <w:b/>
        </w:rPr>
        <w:t xml:space="preserve">) </w:t>
      </w:r>
      <w:r>
        <w:t xml:space="preserve">que se adjunta </w:t>
      </w:r>
      <w:r w:rsidR="005D7DCA">
        <w:t>p</w:t>
      </w:r>
      <w:r>
        <w:t xml:space="preserve">royecto de </w:t>
      </w:r>
      <w:r w:rsidR="005D7DCA">
        <w:t>r</w:t>
      </w:r>
      <w:r>
        <w:t>esolución de</w:t>
      </w:r>
      <w:r w:rsidR="005973C3">
        <w:t xml:space="preserve"> Presidencia de la República</w:t>
      </w:r>
      <w:r>
        <w:t xml:space="preserve"> por </w:t>
      </w:r>
      <w:r w:rsidR="00FB1616">
        <w:t>e</w:t>
      </w:r>
      <w:r>
        <w:t xml:space="preserve">l cual ser resuelve aprobar la suscripción del </w:t>
      </w:r>
      <w:r w:rsidR="005973C3">
        <w:t>a</w:t>
      </w:r>
      <w:r>
        <w:t xml:space="preserve">cuerdo </w:t>
      </w:r>
      <w:r w:rsidR="005973C3">
        <w:t>e</w:t>
      </w:r>
      <w:r>
        <w:t>specífico</w:t>
      </w:r>
      <w:r w:rsidR="005973C3">
        <w:t xml:space="preserve"> mencionado y se autoriza la </w:t>
      </w:r>
      <w:r>
        <w:t xml:space="preserve"> transferencia a la FJR de la suma</w:t>
      </w:r>
      <w:r w:rsidR="005973C3">
        <w:t xml:space="preserve"> total </w:t>
      </w:r>
      <w:r>
        <w:t xml:space="preserve"> de $ </w:t>
      </w:r>
      <w:r w:rsidR="005973C3">
        <w:t>45</w:t>
      </w:r>
      <w:r>
        <w:t xml:space="preserve">:000.000, a efectos de la ejecución del </w:t>
      </w:r>
      <w:r w:rsidR="005973C3">
        <w:t>mismo</w:t>
      </w:r>
      <w:r>
        <w:t>, l</w:t>
      </w:r>
      <w:r w:rsidR="005973C3">
        <w:t>a</w:t>
      </w:r>
      <w:r>
        <w:t xml:space="preserve"> que se realizará en diferentes partidas y quedará sujeta a lo dispuesto por la Ordenanza No 77 del Tribunal de Cuentas; </w:t>
      </w:r>
    </w:p>
    <w:p w:rsidR="0021688E" w:rsidRDefault="0021688E" w:rsidP="00E207FB">
      <w:pPr>
        <w:spacing w:line="360" w:lineRule="auto"/>
        <w:ind w:firstLine="709"/>
        <w:jc w:val="both"/>
      </w:pPr>
      <w:r>
        <w:rPr>
          <w:b/>
          <w:bCs/>
        </w:rPr>
        <w:t>CONSIDERANDO: 1)</w:t>
      </w:r>
      <w:r>
        <w:t xml:space="preserve"> que de conformidad </w:t>
      </w:r>
      <w:r w:rsidR="00FB1616">
        <w:t>con</w:t>
      </w:r>
      <w:r>
        <w:t xml:space="preserve"> lo dispuesto en el </w:t>
      </w:r>
      <w:r w:rsidR="00E207FB">
        <w:t>A</w:t>
      </w:r>
      <w:r>
        <w:t xml:space="preserve">rt. 72 de la </w:t>
      </w:r>
      <w:r w:rsidR="00E207FB">
        <w:t>L</w:t>
      </w:r>
      <w:r>
        <w:t>ey 17.930</w:t>
      </w:r>
      <w:r w:rsidR="00A40093">
        <w:t xml:space="preserve"> del 23 de diciembre de 2005</w:t>
      </w:r>
      <w:r>
        <w:t>, se creó la AGESIC, como un órgano desconcentrado de la Presidencia de la República, destinado al desarrollo del Gobierno de la Gestión Electrónica y la Sociedad de la Información;</w:t>
      </w:r>
    </w:p>
    <w:p w:rsidR="0021688E" w:rsidRDefault="0021688E" w:rsidP="00E207FB">
      <w:pPr>
        <w:tabs>
          <w:tab w:val="left" w:pos="2160"/>
        </w:tabs>
        <w:spacing w:line="360" w:lineRule="auto"/>
        <w:ind w:firstLine="2835"/>
        <w:jc w:val="both"/>
      </w:pPr>
      <w:r>
        <w:rPr>
          <w:b/>
          <w:bCs/>
        </w:rPr>
        <w:t>2)</w:t>
      </w:r>
      <w:r>
        <w:t xml:space="preserve"> que en particular, el </w:t>
      </w:r>
      <w:r w:rsidR="00E207FB">
        <w:t>D</w:t>
      </w:r>
      <w:r>
        <w:t>ecreto 307/007 de</w:t>
      </w:r>
      <w:r w:rsidR="00A40093">
        <w:t>l</w:t>
      </w:r>
      <w:r>
        <w:t xml:space="preserve"> 27</w:t>
      </w:r>
      <w:r w:rsidR="00A40093">
        <w:t xml:space="preserve"> de agosto de 2007</w:t>
      </w:r>
      <w:r>
        <w:t>, establece en su Anexo, que la AGESIC tendrá entre sus objetivos estratégicos, el de coordinar o participar en l</w:t>
      </w:r>
      <w:r w:rsidR="005973C3">
        <w:t>a</w:t>
      </w:r>
      <w:r>
        <w:t xml:space="preserve"> coordinación de proyectos específicos asociados al Gobierno Electrónico, así como fortalecer los vínculos con el sector académico, la sociedad civil y organizaciones internacionales con fines similares, así como potenciar </w:t>
      </w:r>
      <w:r w:rsidR="00CC759F">
        <w:t xml:space="preserve">la </w:t>
      </w:r>
      <w:r>
        <w:t>asociación entre el Estado y empresas, para el desarrollo del software nacional, entre otros;</w:t>
      </w:r>
    </w:p>
    <w:p w:rsidR="0021688E" w:rsidRDefault="0021688E" w:rsidP="00E207FB">
      <w:pPr>
        <w:tabs>
          <w:tab w:val="left" w:pos="2160"/>
        </w:tabs>
        <w:spacing w:line="360" w:lineRule="auto"/>
        <w:ind w:firstLine="2835"/>
        <w:jc w:val="both"/>
      </w:pPr>
      <w:r>
        <w:rPr>
          <w:b/>
          <w:bCs/>
        </w:rPr>
        <w:t xml:space="preserve">3)  </w:t>
      </w:r>
      <w:r>
        <w:t xml:space="preserve">que la Fundación Julio </w:t>
      </w:r>
      <w:proofErr w:type="spellStart"/>
      <w:r>
        <w:t>Ricaldoni</w:t>
      </w:r>
      <w:proofErr w:type="spellEnd"/>
      <w:r>
        <w:t>, es una</w:t>
      </w:r>
      <w:r>
        <w:rPr>
          <w:b/>
          <w:bCs/>
        </w:rPr>
        <w:t xml:space="preserve"> </w:t>
      </w:r>
      <w:r>
        <w:t xml:space="preserve">entidad privada creada en el marco de la </w:t>
      </w:r>
      <w:r w:rsidR="00CC759F">
        <w:t>L</w:t>
      </w:r>
      <w:r>
        <w:t>ey 17.163</w:t>
      </w:r>
      <w:r w:rsidR="00A40093">
        <w:t xml:space="preserve"> del 1 de setiembre de 1999</w:t>
      </w:r>
      <w:r>
        <w:t xml:space="preserve"> (Ley de Fundaciones), vinculada  a la Facultad de Ingeniería de la Universidad de la República, y cuyo objeto es impulsar el aporte de la Facultad al desarrollo de la ciencia y la tecnología, y su vinculación al sistema productivo, en el marco de la enseñanza, investigación y extensión de la citada Facultad; </w:t>
      </w:r>
    </w:p>
    <w:p w:rsidR="0021688E" w:rsidRDefault="0021688E" w:rsidP="00E207FB">
      <w:pPr>
        <w:spacing w:line="360" w:lineRule="auto"/>
        <w:ind w:firstLine="2835"/>
        <w:jc w:val="both"/>
      </w:pPr>
      <w:r>
        <w:rPr>
          <w:b/>
          <w:bCs/>
        </w:rPr>
        <w:t>4)</w:t>
      </w:r>
      <w:r>
        <w:t xml:space="preserve"> </w:t>
      </w:r>
      <w:r>
        <w:rPr>
          <w:rFonts w:cs="Arial"/>
          <w:lang w:val="es-MX"/>
        </w:rPr>
        <w:t xml:space="preserve">que en virtud de lo expuesto, ambas partes poseen competencia para celebrar el convenio remitido, el que se adecua a los objetivos estratégicos de ambas instituciones;   </w:t>
      </w:r>
    </w:p>
    <w:p w:rsidR="0021688E" w:rsidRDefault="0021688E" w:rsidP="00E207FB">
      <w:pPr>
        <w:spacing w:line="360" w:lineRule="auto"/>
        <w:ind w:firstLine="2835"/>
        <w:jc w:val="both"/>
        <w:rPr>
          <w:rFonts w:cs="Arial"/>
          <w:lang w:val="es-MX"/>
        </w:rPr>
      </w:pPr>
      <w:r>
        <w:rPr>
          <w:rFonts w:cs="Arial"/>
          <w:b/>
          <w:bCs/>
          <w:lang w:val="es-MX"/>
        </w:rPr>
        <w:t>5)</w:t>
      </w:r>
      <w:r>
        <w:rPr>
          <w:rFonts w:cs="Arial"/>
          <w:lang w:val="es-MX"/>
        </w:rPr>
        <w:t xml:space="preserve"> que el procedimiento de contratación directa seguido para la selección del </w:t>
      </w:r>
      <w:proofErr w:type="spellStart"/>
      <w:r>
        <w:rPr>
          <w:rFonts w:cs="Arial"/>
          <w:lang w:val="es-MX"/>
        </w:rPr>
        <w:t>co</w:t>
      </w:r>
      <w:proofErr w:type="spellEnd"/>
      <w:r>
        <w:rPr>
          <w:rFonts w:cs="Arial"/>
          <w:lang w:val="es-MX"/>
        </w:rPr>
        <w:t xml:space="preserve">-contratante, atendiendo a la naturaleza de la </w:t>
      </w:r>
      <w:r>
        <w:t xml:space="preserve">Fundación Julio </w:t>
      </w:r>
      <w:proofErr w:type="spellStart"/>
      <w:r>
        <w:t>Ricaldoni</w:t>
      </w:r>
      <w:proofErr w:type="spellEnd"/>
      <w:r>
        <w:rPr>
          <w:rFonts w:cs="Arial"/>
          <w:lang w:val="es-MX"/>
        </w:rPr>
        <w:t xml:space="preserve"> encuadra en lo dispuesto por el </w:t>
      </w:r>
      <w:r w:rsidR="00CC759F">
        <w:rPr>
          <w:rFonts w:cs="Arial"/>
          <w:lang w:val="es-MX"/>
        </w:rPr>
        <w:t>L</w:t>
      </w:r>
      <w:r>
        <w:rPr>
          <w:rFonts w:cs="Arial"/>
          <w:lang w:val="es-MX"/>
        </w:rPr>
        <w:t xml:space="preserve">iteral c), </w:t>
      </w:r>
      <w:r w:rsidR="00CC759F">
        <w:rPr>
          <w:rFonts w:cs="Arial"/>
          <w:lang w:val="es-MX"/>
        </w:rPr>
        <w:t>N</w:t>
      </w:r>
      <w:r>
        <w:rPr>
          <w:rFonts w:cs="Arial"/>
          <w:lang w:val="es-MX"/>
        </w:rPr>
        <w:t xml:space="preserve">umeral 27 del </w:t>
      </w:r>
      <w:r w:rsidR="00E207FB">
        <w:rPr>
          <w:rFonts w:cs="Arial"/>
          <w:lang w:val="es-MX"/>
        </w:rPr>
        <w:t>A</w:t>
      </w:r>
      <w:r>
        <w:rPr>
          <w:rFonts w:cs="Arial"/>
          <w:lang w:val="es-MX"/>
        </w:rPr>
        <w:t>rt</w:t>
      </w:r>
      <w:r w:rsidR="00E207FB">
        <w:rPr>
          <w:rFonts w:cs="Arial"/>
          <w:lang w:val="es-MX"/>
        </w:rPr>
        <w:t>í</w:t>
      </w:r>
      <w:r>
        <w:rPr>
          <w:rFonts w:cs="Arial"/>
          <w:lang w:val="es-MX"/>
        </w:rPr>
        <w:t xml:space="preserve">culo 33 del TOCAF, el que prevé que los </w:t>
      </w:r>
      <w:r w:rsidR="00CC759F">
        <w:rPr>
          <w:rFonts w:cs="Arial"/>
          <w:lang w:val="es-MX"/>
        </w:rPr>
        <w:t>O</w:t>
      </w:r>
      <w:r>
        <w:rPr>
          <w:rFonts w:cs="Arial"/>
          <w:lang w:val="es-MX"/>
        </w:rPr>
        <w:t>rganismos del Estado podrán contratar directamente con asociaciones y fundaciones vinculadas a la Universidad de la República;</w:t>
      </w:r>
    </w:p>
    <w:p w:rsidR="0021688E" w:rsidRDefault="0021688E" w:rsidP="00E207FB">
      <w:pPr>
        <w:spacing w:line="360" w:lineRule="auto"/>
        <w:ind w:firstLine="709"/>
        <w:jc w:val="both"/>
        <w:rPr>
          <w:b/>
          <w:bCs/>
          <w:lang w:val="es-MX"/>
        </w:rPr>
      </w:pPr>
      <w:r>
        <w:rPr>
          <w:rFonts w:cs="Arial"/>
          <w:b/>
          <w:bCs/>
          <w:lang w:val="es-MX"/>
        </w:rPr>
        <w:t xml:space="preserve">ATENTO </w:t>
      </w:r>
      <w:r>
        <w:rPr>
          <w:rFonts w:cs="Arial"/>
          <w:lang w:val="es-MX"/>
        </w:rPr>
        <w:t>a lo precedentemente expuesto;</w:t>
      </w:r>
    </w:p>
    <w:p w:rsidR="0021688E" w:rsidRDefault="0021688E" w:rsidP="0021688E">
      <w:pPr>
        <w:spacing w:line="360" w:lineRule="auto"/>
        <w:ind w:firstLine="708"/>
        <w:jc w:val="center"/>
        <w:rPr>
          <w:b/>
          <w:bCs/>
        </w:rPr>
      </w:pPr>
      <w:r>
        <w:rPr>
          <w:b/>
          <w:bCs/>
        </w:rPr>
        <w:t>EL TRIBUNAL ACUERDA:</w:t>
      </w:r>
    </w:p>
    <w:p w:rsidR="0021688E" w:rsidRPr="001334BB" w:rsidRDefault="0021688E" w:rsidP="00E207FB">
      <w:pPr>
        <w:numPr>
          <w:ilvl w:val="0"/>
          <w:numId w:val="1"/>
        </w:numPr>
        <w:tabs>
          <w:tab w:val="clear" w:pos="720"/>
          <w:tab w:val="num" w:pos="284"/>
        </w:tabs>
        <w:spacing w:line="360" w:lineRule="auto"/>
        <w:ind w:left="284" w:hanging="284"/>
        <w:jc w:val="both"/>
      </w:pPr>
      <w:r>
        <w:t xml:space="preserve">No formular observaciones al </w:t>
      </w:r>
      <w:r w:rsidR="005973C3">
        <w:t>c</w:t>
      </w:r>
      <w:r>
        <w:t xml:space="preserve">onvenio </w:t>
      </w:r>
      <w:r w:rsidR="005973C3">
        <w:t>e</w:t>
      </w:r>
      <w:r>
        <w:t xml:space="preserve">specífico a suscribir </w:t>
      </w:r>
      <w:r w:rsidR="0049249F">
        <w:t>por</w:t>
      </w:r>
      <w:r>
        <w:t xml:space="preserve"> </w:t>
      </w:r>
      <w:r w:rsidRPr="001334BB">
        <w:t>la Agencia para el Desarrollo del Gobierno de Gestión Electrónica y la Sociedad de la Información y del Conocimiento</w:t>
      </w:r>
      <w:r>
        <w:t xml:space="preserve"> y</w:t>
      </w:r>
      <w:r w:rsidRPr="001334BB">
        <w:t xml:space="preserve"> la Fundación Julio </w:t>
      </w:r>
      <w:proofErr w:type="spellStart"/>
      <w:r w:rsidRPr="001334BB">
        <w:t>Ricaldoni</w:t>
      </w:r>
      <w:proofErr w:type="spellEnd"/>
      <w:r w:rsidR="000B637B">
        <w:t xml:space="preserve"> de la </w:t>
      </w:r>
      <w:r w:rsidRPr="001334BB">
        <w:t xml:space="preserve">Facultad de Ingeniería de la Universidad de la República; </w:t>
      </w:r>
    </w:p>
    <w:p w:rsidR="000B637B" w:rsidRDefault="00472FC7" w:rsidP="00E207FB">
      <w:pPr>
        <w:numPr>
          <w:ilvl w:val="0"/>
          <w:numId w:val="1"/>
        </w:numPr>
        <w:tabs>
          <w:tab w:val="clear" w:pos="720"/>
          <w:tab w:val="num" w:pos="284"/>
        </w:tabs>
        <w:spacing w:line="360" w:lineRule="auto"/>
        <w:ind w:left="284" w:hanging="284"/>
        <w:jc w:val="both"/>
      </w:pPr>
      <w:r>
        <w:t xml:space="preserve">Una vez dictada la resolución definitiva por el </w:t>
      </w:r>
      <w:r w:rsidR="00CC759F">
        <w:t>O</w:t>
      </w:r>
      <w:r>
        <w:t xml:space="preserve">rdenador competente, se comete al Contador Auditor la intervención del gasto de hasta $ 45:000.000, </w:t>
      </w:r>
      <w:r w:rsidR="000B637B">
        <w:t xml:space="preserve">previa verificación de su imputación con cargo al </w:t>
      </w:r>
      <w:r w:rsidR="00CC759F">
        <w:t>G</w:t>
      </w:r>
      <w:r w:rsidR="000B637B">
        <w:t xml:space="preserve">rupo indicado con disponibilidad suficiente, y que la Resolución y el Convenio definitivo concuerden con las condiciones sometidas a este Tribunal (Artículo 8 de la Ordenanza No 27 </w:t>
      </w:r>
      <w:r w:rsidR="00796179">
        <w:t xml:space="preserve">de 22.05.58 </w:t>
      </w:r>
      <w:r w:rsidR="000B637B">
        <w:t>en la redacción dispuesta por la Resolución de fecha 16</w:t>
      </w:r>
      <w:r w:rsidR="00796179">
        <w:t>.</w:t>
      </w:r>
      <w:r w:rsidR="000B637B">
        <w:t>06</w:t>
      </w:r>
      <w:r w:rsidR="00796179">
        <w:t>.</w:t>
      </w:r>
      <w:r w:rsidR="000B637B">
        <w:t>10);</w:t>
      </w:r>
      <w:bookmarkStart w:id="0" w:name="_GoBack"/>
      <w:bookmarkEnd w:id="0"/>
    </w:p>
    <w:p w:rsidR="00E207FB" w:rsidRDefault="000B637B" w:rsidP="00E207FB">
      <w:pPr>
        <w:numPr>
          <w:ilvl w:val="0"/>
          <w:numId w:val="1"/>
        </w:numPr>
        <w:tabs>
          <w:tab w:val="clear" w:pos="720"/>
          <w:tab w:val="num" w:pos="284"/>
        </w:tabs>
        <w:spacing w:line="360" w:lineRule="auto"/>
        <w:ind w:left="284" w:hanging="284"/>
        <w:jc w:val="both"/>
      </w:pPr>
      <w:r>
        <w:t xml:space="preserve">Asimismo, dicho Contador deberá, previo al pago de cada partida, verificar la rendición de las entregadas previamente, de acuerdo con lo dispuesto por </w:t>
      </w:r>
      <w:r w:rsidRPr="001334BB">
        <w:rPr>
          <w:rFonts w:cs="Arial"/>
        </w:rPr>
        <w:t xml:space="preserve">la Ordenanza 77 del Tribunal de Cuentas, el </w:t>
      </w:r>
      <w:r w:rsidR="0049249F">
        <w:rPr>
          <w:rFonts w:cs="Arial"/>
        </w:rPr>
        <w:t>A</w:t>
      </w:r>
      <w:r w:rsidRPr="001334BB">
        <w:rPr>
          <w:rFonts w:cs="Arial"/>
        </w:rPr>
        <w:t xml:space="preserve">rtículo 132 del TOCAF y el </w:t>
      </w:r>
      <w:r w:rsidR="0049249F">
        <w:rPr>
          <w:rFonts w:cs="Arial"/>
        </w:rPr>
        <w:t>Artículo 416 de la L</w:t>
      </w:r>
      <w:r w:rsidRPr="001334BB">
        <w:rPr>
          <w:rFonts w:cs="Arial"/>
        </w:rPr>
        <w:t>ey 17.930</w:t>
      </w:r>
      <w:r>
        <w:t>;</w:t>
      </w:r>
    </w:p>
    <w:p w:rsidR="00E207FB" w:rsidRPr="0049249F" w:rsidRDefault="00472FC7" w:rsidP="00E207FB">
      <w:pPr>
        <w:numPr>
          <w:ilvl w:val="0"/>
          <w:numId w:val="1"/>
        </w:numPr>
        <w:tabs>
          <w:tab w:val="clear" w:pos="720"/>
          <w:tab w:val="num" w:pos="284"/>
        </w:tabs>
        <w:spacing w:line="360" w:lineRule="auto"/>
        <w:ind w:left="284" w:hanging="284"/>
        <w:jc w:val="both"/>
      </w:pPr>
      <w:r>
        <w:t>Comunicar al Contador Auditor;</w:t>
      </w:r>
      <w:r w:rsidRPr="00E207FB">
        <w:rPr>
          <w:b/>
          <w:bCs/>
        </w:rPr>
        <w:t xml:space="preserve"> </w:t>
      </w:r>
      <w:r w:rsidR="00E207FB" w:rsidRPr="0049249F">
        <w:rPr>
          <w:bCs/>
        </w:rPr>
        <w:t>y</w:t>
      </w:r>
    </w:p>
    <w:p w:rsidR="00472FC7" w:rsidRPr="00E207FB" w:rsidRDefault="00472FC7" w:rsidP="00E207FB">
      <w:pPr>
        <w:numPr>
          <w:ilvl w:val="0"/>
          <w:numId w:val="1"/>
        </w:numPr>
        <w:tabs>
          <w:tab w:val="clear" w:pos="720"/>
          <w:tab w:val="num" w:pos="284"/>
        </w:tabs>
        <w:spacing w:line="360" w:lineRule="auto"/>
        <w:ind w:left="284" w:hanging="284"/>
        <w:jc w:val="both"/>
      </w:pPr>
      <w:r>
        <w:t>Devolver las actuaciones a la Administración actuante.</w:t>
      </w:r>
    </w:p>
    <w:p w:rsidR="00472FC7" w:rsidRDefault="00472FC7" w:rsidP="00E207FB">
      <w:pPr>
        <w:tabs>
          <w:tab w:val="num" w:pos="284"/>
        </w:tabs>
        <w:spacing w:line="360" w:lineRule="auto"/>
        <w:ind w:left="284" w:hanging="284"/>
        <w:jc w:val="both"/>
      </w:pPr>
    </w:p>
    <w:p w:rsidR="00472FC7" w:rsidRDefault="00472FC7" w:rsidP="00472FC7">
      <w:pPr>
        <w:spacing w:line="360" w:lineRule="auto"/>
        <w:jc w:val="both"/>
      </w:pPr>
    </w:p>
    <w:p w:rsidR="0021688E" w:rsidRDefault="0049249F" w:rsidP="0021688E">
      <w:pPr>
        <w:spacing w:line="360" w:lineRule="auto"/>
        <w:jc w:val="both"/>
      </w:pPr>
      <w:proofErr w:type="spellStart"/>
      <w:proofErr w:type="gramStart"/>
      <w:r>
        <w:t>cr</w:t>
      </w:r>
      <w:proofErr w:type="spellEnd"/>
      <w:proofErr w:type="gramEnd"/>
    </w:p>
    <w:p w:rsidR="0021688E" w:rsidRDefault="0021688E" w:rsidP="0021688E">
      <w:pPr>
        <w:spacing w:line="360" w:lineRule="auto"/>
        <w:jc w:val="both"/>
      </w:pPr>
    </w:p>
    <w:p w:rsidR="0021688E" w:rsidRDefault="0021688E" w:rsidP="0021688E">
      <w:pPr>
        <w:spacing w:line="360" w:lineRule="auto"/>
        <w:jc w:val="both"/>
      </w:pPr>
    </w:p>
    <w:sectPr w:rsidR="0021688E" w:rsidSect="0061597B">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D3829"/>
    <w:multiLevelType w:val="hybridMultilevel"/>
    <w:tmpl w:val="EAE29056"/>
    <w:lvl w:ilvl="0" w:tplc="722EC70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88E"/>
    <w:rsid w:val="000B637B"/>
    <w:rsid w:val="00173B62"/>
    <w:rsid w:val="0021688E"/>
    <w:rsid w:val="002B6882"/>
    <w:rsid w:val="00472FC7"/>
    <w:rsid w:val="0049249F"/>
    <w:rsid w:val="005973C3"/>
    <w:rsid w:val="005D7DCA"/>
    <w:rsid w:val="005F3F5F"/>
    <w:rsid w:val="0061597B"/>
    <w:rsid w:val="00740A07"/>
    <w:rsid w:val="00796179"/>
    <w:rsid w:val="00970732"/>
    <w:rsid w:val="00A40093"/>
    <w:rsid w:val="00BD7C09"/>
    <w:rsid w:val="00CC759F"/>
    <w:rsid w:val="00CE12DB"/>
    <w:rsid w:val="00E207FB"/>
    <w:rsid w:val="00E63C14"/>
    <w:rsid w:val="00FB161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88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21688E"/>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688E"/>
    <w:rPr>
      <w:rFonts w:ascii="Arial" w:eastAsia="Times New Roman" w:hAnsi="Arial" w:cs="Times New Roman"/>
      <w:b/>
      <w:bCs/>
      <w:sz w:val="24"/>
      <w:szCs w:val="24"/>
      <w:lang w:val="es-ES" w:eastAsia="es-ES"/>
    </w:rPr>
  </w:style>
  <w:style w:type="character" w:styleId="Hipervnculo">
    <w:name w:val="Hyperlink"/>
    <w:uiPriority w:val="99"/>
    <w:unhideWhenUsed/>
    <w:rsid w:val="00472F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88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21688E"/>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688E"/>
    <w:rPr>
      <w:rFonts w:ascii="Arial" w:eastAsia="Times New Roman" w:hAnsi="Arial" w:cs="Times New Roman"/>
      <w:b/>
      <w:bCs/>
      <w:sz w:val="24"/>
      <w:szCs w:val="24"/>
      <w:lang w:val="es-ES" w:eastAsia="es-ES"/>
    </w:rPr>
  </w:style>
  <w:style w:type="character" w:styleId="Hipervnculo">
    <w:name w:val="Hyperlink"/>
    <w:uiPriority w:val="99"/>
    <w:unhideWhenUsed/>
    <w:rsid w:val="00472F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1156</Words>
  <Characters>6358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9</cp:revision>
  <cp:lastPrinted>2018-04-30T16:06:00Z</cp:lastPrinted>
  <dcterms:created xsi:type="dcterms:W3CDTF">2018-04-27T19:31:00Z</dcterms:created>
  <dcterms:modified xsi:type="dcterms:W3CDTF">2018-04-30T16:06:00Z</dcterms:modified>
</cp:coreProperties>
</file>