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22A" w:rsidRPr="0001222A" w:rsidRDefault="0001222A" w:rsidP="0001222A">
      <w:pPr>
        <w:tabs>
          <w:tab w:val="center" w:pos="4253"/>
        </w:tabs>
        <w:suppressAutoHyphens/>
        <w:jc w:val="right"/>
        <w:rPr>
          <w:rFonts w:cs="Arial"/>
          <w:b/>
          <w:color w:val="000000"/>
          <w:sz w:val="28"/>
          <w:szCs w:val="28"/>
          <w:lang w:val="es-ES_tradnl"/>
        </w:rPr>
      </w:pPr>
      <w:r w:rsidRPr="0001222A">
        <w:rPr>
          <w:rFonts w:cs="Arial"/>
          <w:b/>
          <w:color w:val="000000"/>
          <w:sz w:val="28"/>
          <w:szCs w:val="28"/>
          <w:lang w:val="es-ES_tradnl"/>
        </w:rPr>
        <w:t>RES. 133</w:t>
      </w:r>
      <w:r w:rsidR="007F69C9">
        <w:rPr>
          <w:rFonts w:cs="Arial"/>
          <w:b/>
          <w:color w:val="000000"/>
          <w:sz w:val="28"/>
          <w:szCs w:val="28"/>
          <w:lang w:val="es-ES_tradnl"/>
        </w:rPr>
        <w:t>5</w:t>
      </w:r>
      <w:r w:rsidRPr="0001222A">
        <w:rPr>
          <w:rFonts w:cs="Arial"/>
          <w:b/>
          <w:color w:val="000000"/>
          <w:sz w:val="28"/>
          <w:szCs w:val="28"/>
          <w:lang w:val="es-ES_tradnl"/>
        </w:rPr>
        <w:t>/18</w:t>
      </w:r>
    </w:p>
    <w:p w:rsidR="0001222A" w:rsidRPr="0001222A" w:rsidRDefault="0001222A" w:rsidP="0001222A">
      <w:pPr>
        <w:tabs>
          <w:tab w:val="center" w:pos="4253"/>
        </w:tabs>
        <w:suppressAutoHyphens/>
        <w:jc w:val="center"/>
        <w:rPr>
          <w:rFonts w:cs="Arial"/>
          <w:b/>
          <w:color w:val="000000"/>
          <w:lang w:val="es-ES_tradnl"/>
        </w:rPr>
      </w:pPr>
    </w:p>
    <w:p w:rsidR="0001222A" w:rsidRPr="0001222A" w:rsidRDefault="0001222A" w:rsidP="0001222A">
      <w:pPr>
        <w:tabs>
          <w:tab w:val="center" w:pos="4253"/>
        </w:tabs>
        <w:suppressAutoHyphens/>
        <w:jc w:val="center"/>
        <w:rPr>
          <w:rFonts w:cs="Arial"/>
          <w:b/>
          <w:color w:val="000000"/>
          <w:lang w:val="es-ES_tradnl"/>
        </w:rPr>
      </w:pPr>
      <w:r w:rsidRPr="0001222A">
        <w:rPr>
          <w:rFonts w:cs="Arial"/>
          <w:b/>
          <w:color w:val="000000"/>
          <w:lang w:val="es-ES_tradnl"/>
        </w:rPr>
        <w:t>RESOLUCION ADOPTADA POR EL</w:t>
      </w:r>
    </w:p>
    <w:p w:rsidR="0001222A" w:rsidRPr="0001222A" w:rsidRDefault="0001222A" w:rsidP="0001222A">
      <w:pPr>
        <w:tabs>
          <w:tab w:val="left" w:pos="-720"/>
        </w:tabs>
        <w:suppressAutoHyphens/>
        <w:jc w:val="center"/>
        <w:rPr>
          <w:rFonts w:cs="Arial"/>
          <w:b/>
          <w:color w:val="000000"/>
          <w:lang w:val="es-ES_tradnl"/>
        </w:rPr>
      </w:pPr>
    </w:p>
    <w:p w:rsidR="0001222A" w:rsidRPr="0001222A" w:rsidRDefault="0001222A" w:rsidP="0001222A">
      <w:pPr>
        <w:tabs>
          <w:tab w:val="center" w:pos="4253"/>
        </w:tabs>
        <w:suppressAutoHyphens/>
        <w:jc w:val="center"/>
        <w:rPr>
          <w:rFonts w:cs="Arial"/>
          <w:b/>
          <w:color w:val="000000"/>
          <w:lang w:val="es-ES_tradnl"/>
        </w:rPr>
      </w:pPr>
      <w:r w:rsidRPr="0001222A">
        <w:rPr>
          <w:rFonts w:cs="Arial"/>
          <w:b/>
          <w:color w:val="000000"/>
          <w:lang w:val="es-ES_tradnl"/>
        </w:rPr>
        <w:t>TRIBUNAL DE CUENTAS</w:t>
      </w:r>
    </w:p>
    <w:p w:rsidR="0001222A" w:rsidRPr="0001222A" w:rsidRDefault="0001222A" w:rsidP="0001222A">
      <w:pPr>
        <w:tabs>
          <w:tab w:val="left" w:pos="-720"/>
        </w:tabs>
        <w:suppressAutoHyphens/>
        <w:jc w:val="center"/>
        <w:rPr>
          <w:rFonts w:cs="Arial"/>
          <w:b/>
          <w:color w:val="000000"/>
          <w:lang w:val="es-ES_tradnl"/>
        </w:rPr>
      </w:pPr>
    </w:p>
    <w:p w:rsidR="0001222A" w:rsidRPr="0001222A" w:rsidRDefault="0001222A" w:rsidP="0001222A">
      <w:pPr>
        <w:tabs>
          <w:tab w:val="center" w:pos="4253"/>
        </w:tabs>
        <w:suppressAutoHyphens/>
        <w:jc w:val="center"/>
        <w:rPr>
          <w:rFonts w:cs="Arial"/>
          <w:b/>
          <w:color w:val="000000"/>
          <w:lang w:val="es-ES_tradnl"/>
        </w:rPr>
      </w:pPr>
      <w:r w:rsidRPr="0001222A">
        <w:rPr>
          <w:rFonts w:cs="Arial"/>
          <w:b/>
          <w:color w:val="000000"/>
          <w:lang w:val="es-ES_tradnl"/>
        </w:rPr>
        <w:t>EN SESION DE FECHA 18 DE ABRIL DE 2018</w:t>
      </w:r>
    </w:p>
    <w:p w:rsidR="0001222A" w:rsidRPr="0001222A" w:rsidRDefault="0001222A" w:rsidP="0001222A">
      <w:pPr>
        <w:tabs>
          <w:tab w:val="center" w:pos="4253"/>
        </w:tabs>
        <w:suppressAutoHyphens/>
        <w:jc w:val="center"/>
        <w:rPr>
          <w:rFonts w:cs="Arial"/>
          <w:b/>
          <w:color w:val="000000"/>
          <w:lang w:val="es-ES_tradnl"/>
        </w:rPr>
      </w:pPr>
    </w:p>
    <w:p w:rsidR="0001222A" w:rsidRPr="0001222A" w:rsidRDefault="0001222A" w:rsidP="0001222A">
      <w:pPr>
        <w:tabs>
          <w:tab w:val="center" w:pos="4253"/>
        </w:tabs>
        <w:suppressAutoHyphens/>
        <w:jc w:val="center"/>
        <w:rPr>
          <w:rFonts w:cs="Arial"/>
          <w:b/>
          <w:color w:val="000000"/>
        </w:rPr>
      </w:pPr>
      <w:r w:rsidRPr="0001222A">
        <w:rPr>
          <w:rFonts w:cs="Arial"/>
          <w:b/>
          <w:color w:val="000000"/>
        </w:rPr>
        <w:t>(E. E. Nº 2018-17-1-000</w:t>
      </w:r>
      <w:r w:rsidR="007F69C9">
        <w:rPr>
          <w:rFonts w:cs="Arial"/>
          <w:b/>
          <w:color w:val="000000"/>
        </w:rPr>
        <w:t>2026</w:t>
      </w:r>
      <w:r w:rsidRPr="0001222A">
        <w:rPr>
          <w:rFonts w:cs="Arial"/>
          <w:b/>
          <w:color w:val="000000"/>
        </w:rPr>
        <w:t xml:space="preserve">, </w:t>
      </w:r>
      <w:proofErr w:type="spellStart"/>
      <w:r w:rsidRPr="0001222A">
        <w:rPr>
          <w:rFonts w:cs="Arial"/>
          <w:b/>
          <w:color w:val="000000"/>
        </w:rPr>
        <w:t>Ent</w:t>
      </w:r>
      <w:proofErr w:type="spellEnd"/>
      <w:r w:rsidRPr="0001222A">
        <w:rPr>
          <w:rFonts w:cs="Arial"/>
          <w:b/>
          <w:color w:val="000000"/>
        </w:rPr>
        <w:t>. N° 14</w:t>
      </w:r>
      <w:r w:rsidR="007F69C9">
        <w:rPr>
          <w:rFonts w:cs="Arial"/>
          <w:b/>
          <w:color w:val="000000"/>
        </w:rPr>
        <w:t>06</w:t>
      </w:r>
      <w:r w:rsidRPr="0001222A">
        <w:rPr>
          <w:rFonts w:cs="Arial"/>
          <w:b/>
          <w:color w:val="000000"/>
        </w:rPr>
        <w:t>/18)</w:t>
      </w:r>
    </w:p>
    <w:p w:rsidR="0001222A" w:rsidRDefault="0001222A" w:rsidP="00720383">
      <w:pPr>
        <w:spacing w:line="360" w:lineRule="auto"/>
        <w:jc w:val="both"/>
        <w:rPr>
          <w:b/>
          <w:bCs/>
        </w:rPr>
      </w:pPr>
    </w:p>
    <w:p w:rsidR="00720383" w:rsidRPr="00EC129A" w:rsidRDefault="00720383" w:rsidP="00720383">
      <w:pPr>
        <w:pStyle w:val="Ttulo1"/>
        <w:rPr>
          <w:rFonts w:ascii="Arial" w:hAnsi="Arial" w:cs="Arial"/>
        </w:rPr>
      </w:pPr>
    </w:p>
    <w:p w:rsidR="00720383" w:rsidRPr="00720383" w:rsidRDefault="00720383" w:rsidP="00720383">
      <w:pPr>
        <w:rPr>
          <w:lang w:val="es-ES_tradnl" w:eastAsia="es-ES_tradnl"/>
        </w:rPr>
      </w:pPr>
    </w:p>
    <w:p w:rsidR="00720383" w:rsidRDefault="00720383" w:rsidP="001E0737">
      <w:pPr>
        <w:pStyle w:val="Textoindependiente"/>
        <w:ind w:firstLine="85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VISTO:</w:t>
      </w:r>
      <w:r>
        <w:t xml:space="preserve"> </w:t>
      </w:r>
      <w:r>
        <w:rPr>
          <w:rFonts w:ascii="Arial" w:hAnsi="Arial" w:cs="Arial"/>
        </w:rPr>
        <w:t xml:space="preserve">las actuaciones remitidas </w:t>
      </w:r>
      <w:r w:rsidRPr="00C821CA">
        <w:rPr>
          <w:rFonts w:ascii="Arial" w:hAnsi="Arial" w:cs="Arial"/>
        </w:rPr>
        <w:t>por el Ministerio de Vivienda, Ordenamiento Territorial y Medio Ambiente (MVOTMA), relacionadas con el convenio</w:t>
      </w:r>
      <w:r w:rsidRPr="00C821CA">
        <w:rPr>
          <w:rFonts w:ascii="Arial" w:hAnsi="Arial" w:cs="Arial"/>
          <w:bCs/>
        </w:rPr>
        <w:t xml:space="preserve"> a </w:t>
      </w:r>
      <w:r w:rsidRPr="00C821CA">
        <w:rPr>
          <w:rFonts w:ascii="Arial" w:hAnsi="Arial" w:cs="Arial"/>
        </w:rPr>
        <w:t>suscribir</w:t>
      </w:r>
      <w:r w:rsidR="003B6EBD">
        <w:rPr>
          <w:rFonts w:ascii="Arial" w:hAnsi="Arial" w:cs="Arial"/>
        </w:rPr>
        <w:t xml:space="preserve"> </w:t>
      </w:r>
      <w:r w:rsidRPr="00C821CA">
        <w:rPr>
          <w:rFonts w:ascii="Arial" w:hAnsi="Arial" w:cs="Arial"/>
        </w:rPr>
        <w:t>con</w:t>
      </w:r>
      <w:r>
        <w:rPr>
          <w:rFonts w:ascii="Arial" w:hAnsi="Arial" w:cs="Arial"/>
        </w:rPr>
        <w:t xml:space="preserve"> la Comisión de Apoyo del Hospital Maciel (CAH);</w:t>
      </w:r>
    </w:p>
    <w:p w:rsidR="00C20B7E" w:rsidRPr="00A20819" w:rsidRDefault="00720383" w:rsidP="001E0737">
      <w:pPr>
        <w:pStyle w:val="Textoindependiente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RESULTANDO: 1)</w:t>
      </w:r>
      <w:r w:rsidR="00EA0B03">
        <w:rPr>
          <w:rFonts w:ascii="Arial" w:hAnsi="Arial" w:cs="Arial"/>
          <w:b/>
          <w:bCs/>
        </w:rPr>
        <w:t xml:space="preserve"> </w:t>
      </w:r>
      <w:r w:rsidR="00EA0B03" w:rsidRPr="00A20819">
        <w:rPr>
          <w:rFonts w:ascii="Arial" w:hAnsi="Arial" w:cs="Arial"/>
          <w:bCs/>
        </w:rPr>
        <w:t>que según se señala</w:t>
      </w:r>
      <w:r w:rsidR="003B6EBD">
        <w:rPr>
          <w:rFonts w:ascii="Arial" w:hAnsi="Arial" w:cs="Arial"/>
          <w:bCs/>
        </w:rPr>
        <w:t xml:space="preserve"> en la oportunidad, los</w:t>
      </w:r>
      <w:r w:rsidR="00EA0B03" w:rsidRPr="00A20819">
        <w:rPr>
          <w:rFonts w:ascii="Arial" w:hAnsi="Arial" w:cs="Arial"/>
          <w:bCs/>
        </w:rPr>
        <w:t xml:space="preserve"> predios de Montevideo, empadronados  con los números 2513 y 2515, están en proceso de expropiación por parte de la Administración de los Servicios de Salud del Estado</w:t>
      </w:r>
      <w:r w:rsidR="003B6EBD">
        <w:rPr>
          <w:rFonts w:ascii="Arial" w:hAnsi="Arial" w:cs="Arial"/>
          <w:bCs/>
        </w:rPr>
        <w:t xml:space="preserve"> (ASSE)</w:t>
      </w:r>
      <w:r w:rsidR="00044F38" w:rsidRPr="00A20819">
        <w:rPr>
          <w:rFonts w:ascii="Arial" w:hAnsi="Arial" w:cs="Arial"/>
          <w:bCs/>
        </w:rPr>
        <w:t xml:space="preserve">, a </w:t>
      </w:r>
      <w:r w:rsidR="003B6EBD">
        <w:rPr>
          <w:rFonts w:ascii="Arial" w:hAnsi="Arial" w:cs="Arial"/>
          <w:bCs/>
        </w:rPr>
        <w:t>los e</w:t>
      </w:r>
      <w:r w:rsidR="00044F38" w:rsidRPr="00A20819">
        <w:rPr>
          <w:rFonts w:ascii="Arial" w:hAnsi="Arial" w:cs="Arial"/>
          <w:bCs/>
        </w:rPr>
        <w:t>fectos de ampliar los servicios del Hospital Maciel. Dichos predios están ocupados en forma irregular por parte de 4 familias que, por sus condiciones</w:t>
      </w:r>
      <w:r w:rsidR="00A20819">
        <w:rPr>
          <w:rFonts w:ascii="Arial" w:hAnsi="Arial" w:cs="Arial"/>
          <w:bCs/>
        </w:rPr>
        <w:t xml:space="preserve"> </w:t>
      </w:r>
      <w:r w:rsidR="00044F38" w:rsidRPr="00A20819">
        <w:rPr>
          <w:rFonts w:ascii="Arial" w:hAnsi="Arial" w:cs="Arial"/>
          <w:bCs/>
        </w:rPr>
        <w:t xml:space="preserve">socio económicas, forman parte de la población meta del MVOTMA, correspondiendo las mismas a las siguientes jefaturas de hogar: a) </w:t>
      </w:r>
      <w:r w:rsidR="00A20819" w:rsidRPr="00A20819">
        <w:rPr>
          <w:rFonts w:ascii="Arial" w:hAnsi="Arial" w:cs="Arial"/>
          <w:bCs/>
        </w:rPr>
        <w:t>María</w:t>
      </w:r>
      <w:r w:rsidR="00044F38" w:rsidRPr="00A20819">
        <w:rPr>
          <w:rFonts w:ascii="Arial" w:hAnsi="Arial" w:cs="Arial"/>
          <w:bCs/>
        </w:rPr>
        <w:t xml:space="preserve"> </w:t>
      </w:r>
      <w:r w:rsidR="00A20819" w:rsidRPr="00A20819">
        <w:rPr>
          <w:rFonts w:ascii="Arial" w:hAnsi="Arial" w:cs="Arial"/>
          <w:bCs/>
        </w:rPr>
        <w:t>Dolores</w:t>
      </w:r>
      <w:r w:rsidR="00044F38" w:rsidRPr="00A20819">
        <w:rPr>
          <w:rFonts w:ascii="Arial" w:hAnsi="Arial" w:cs="Arial"/>
          <w:bCs/>
        </w:rPr>
        <w:t xml:space="preserve"> </w:t>
      </w:r>
      <w:proofErr w:type="spellStart"/>
      <w:r w:rsidR="00044F38" w:rsidRPr="00A20819">
        <w:rPr>
          <w:rFonts w:ascii="Arial" w:hAnsi="Arial" w:cs="Arial"/>
          <w:bCs/>
        </w:rPr>
        <w:t>L</w:t>
      </w:r>
      <w:r w:rsidR="00A20819">
        <w:rPr>
          <w:rFonts w:ascii="Arial" w:hAnsi="Arial" w:cs="Arial"/>
          <w:bCs/>
        </w:rPr>
        <w:t>a</w:t>
      </w:r>
      <w:r w:rsidR="00EC129A">
        <w:rPr>
          <w:rFonts w:ascii="Arial" w:hAnsi="Arial" w:cs="Arial"/>
          <w:bCs/>
        </w:rPr>
        <w:t>cer</w:t>
      </w:r>
      <w:r w:rsidR="00044F38" w:rsidRPr="00A20819">
        <w:rPr>
          <w:rFonts w:ascii="Arial" w:hAnsi="Arial" w:cs="Arial"/>
          <w:bCs/>
        </w:rPr>
        <w:t>da</w:t>
      </w:r>
      <w:proofErr w:type="spellEnd"/>
      <w:r w:rsidR="00044F38" w:rsidRPr="00A20819">
        <w:rPr>
          <w:rFonts w:ascii="Arial" w:hAnsi="Arial" w:cs="Arial"/>
          <w:bCs/>
        </w:rPr>
        <w:t xml:space="preserve"> </w:t>
      </w:r>
      <w:r w:rsidR="00A20819" w:rsidRPr="00A20819">
        <w:rPr>
          <w:rFonts w:ascii="Arial" w:hAnsi="Arial" w:cs="Arial"/>
          <w:bCs/>
        </w:rPr>
        <w:t>Fernández</w:t>
      </w:r>
      <w:r w:rsidR="00044F38" w:rsidRPr="00A20819">
        <w:rPr>
          <w:rFonts w:ascii="Arial" w:hAnsi="Arial" w:cs="Arial"/>
          <w:bCs/>
        </w:rPr>
        <w:t xml:space="preserve"> CI 1.542.117-0,</w:t>
      </w:r>
      <w:r w:rsidR="003B6EBD">
        <w:rPr>
          <w:rFonts w:ascii="Arial" w:hAnsi="Arial" w:cs="Arial"/>
          <w:bCs/>
        </w:rPr>
        <w:t xml:space="preserve"> </w:t>
      </w:r>
      <w:r w:rsidR="001E0737">
        <w:rPr>
          <w:rFonts w:ascii="Arial" w:hAnsi="Arial" w:cs="Arial"/>
          <w:bCs/>
        </w:rPr>
        <w:t xml:space="preserve">                   </w:t>
      </w:r>
      <w:r w:rsidR="003B6EBD">
        <w:rPr>
          <w:rFonts w:ascii="Arial" w:hAnsi="Arial" w:cs="Arial"/>
          <w:bCs/>
        </w:rPr>
        <w:t>b)</w:t>
      </w:r>
      <w:r w:rsidR="00044F38" w:rsidRPr="00A20819">
        <w:rPr>
          <w:rFonts w:ascii="Arial" w:hAnsi="Arial" w:cs="Arial"/>
          <w:bCs/>
        </w:rPr>
        <w:t xml:space="preserve"> Gladys </w:t>
      </w:r>
      <w:proofErr w:type="spellStart"/>
      <w:r w:rsidR="00044F38" w:rsidRPr="00A20819">
        <w:rPr>
          <w:rFonts w:ascii="Arial" w:hAnsi="Arial" w:cs="Arial"/>
          <w:bCs/>
        </w:rPr>
        <w:t>Lomazzi</w:t>
      </w:r>
      <w:proofErr w:type="spellEnd"/>
      <w:r w:rsidR="00044F38" w:rsidRPr="00A20819">
        <w:rPr>
          <w:rFonts w:ascii="Arial" w:hAnsi="Arial" w:cs="Arial"/>
          <w:bCs/>
        </w:rPr>
        <w:t xml:space="preserve"> CI 1.296.081-8 y José Bracesco CI 1.245.141-1, </w:t>
      </w:r>
      <w:r w:rsidR="003B6EBD">
        <w:rPr>
          <w:rFonts w:ascii="Arial" w:hAnsi="Arial" w:cs="Arial"/>
          <w:bCs/>
        </w:rPr>
        <w:t>c</w:t>
      </w:r>
      <w:r w:rsidR="00044F38" w:rsidRPr="00A20819">
        <w:rPr>
          <w:rFonts w:ascii="Arial" w:hAnsi="Arial" w:cs="Arial"/>
          <w:bCs/>
        </w:rPr>
        <w:t>)</w:t>
      </w:r>
      <w:r w:rsidR="00A20819">
        <w:rPr>
          <w:rFonts w:ascii="Arial" w:hAnsi="Arial" w:cs="Arial"/>
          <w:bCs/>
        </w:rPr>
        <w:t xml:space="preserve"> </w:t>
      </w:r>
      <w:r w:rsidR="00A20819" w:rsidRPr="00A20819">
        <w:rPr>
          <w:rFonts w:ascii="Arial" w:hAnsi="Arial" w:cs="Arial"/>
          <w:bCs/>
        </w:rPr>
        <w:t>Adri</w:t>
      </w:r>
      <w:r w:rsidR="003B6EBD">
        <w:rPr>
          <w:rFonts w:ascii="Arial" w:hAnsi="Arial" w:cs="Arial"/>
          <w:bCs/>
        </w:rPr>
        <w:t>a</w:t>
      </w:r>
      <w:r w:rsidR="00A20819" w:rsidRPr="00A20819">
        <w:rPr>
          <w:rFonts w:ascii="Arial" w:hAnsi="Arial" w:cs="Arial"/>
          <w:bCs/>
        </w:rPr>
        <w:t>n</w:t>
      </w:r>
      <w:r w:rsidR="003B6EBD">
        <w:rPr>
          <w:rFonts w:ascii="Arial" w:hAnsi="Arial" w:cs="Arial"/>
          <w:bCs/>
        </w:rPr>
        <w:t>a</w:t>
      </w:r>
      <w:r w:rsidR="00044F38" w:rsidRPr="00A20819">
        <w:rPr>
          <w:rFonts w:ascii="Arial" w:hAnsi="Arial" w:cs="Arial"/>
          <w:bCs/>
        </w:rPr>
        <w:t xml:space="preserve"> </w:t>
      </w:r>
      <w:r w:rsidR="00EC129A">
        <w:rPr>
          <w:rFonts w:ascii="Arial" w:hAnsi="Arial" w:cs="Arial"/>
          <w:bCs/>
        </w:rPr>
        <w:t>d</w:t>
      </w:r>
      <w:r w:rsidR="00044F38" w:rsidRPr="00A20819">
        <w:rPr>
          <w:rFonts w:ascii="Arial" w:hAnsi="Arial" w:cs="Arial"/>
          <w:bCs/>
        </w:rPr>
        <w:t xml:space="preserve">el Carmen </w:t>
      </w:r>
      <w:r w:rsidR="003B6EBD">
        <w:rPr>
          <w:rFonts w:ascii="Arial" w:hAnsi="Arial" w:cs="Arial"/>
          <w:bCs/>
        </w:rPr>
        <w:t>S</w:t>
      </w:r>
      <w:r w:rsidR="00044F38" w:rsidRPr="00A20819">
        <w:rPr>
          <w:rFonts w:ascii="Arial" w:hAnsi="Arial" w:cs="Arial"/>
          <w:bCs/>
        </w:rPr>
        <w:t>osa</w:t>
      </w:r>
      <w:r w:rsidR="003B6EBD">
        <w:rPr>
          <w:rFonts w:ascii="Arial" w:hAnsi="Arial" w:cs="Arial"/>
          <w:bCs/>
        </w:rPr>
        <w:t xml:space="preserve"> y Mordejein Ben Pintos</w:t>
      </w:r>
      <w:r w:rsidR="00044F38" w:rsidRPr="00A20819">
        <w:rPr>
          <w:rFonts w:ascii="Arial" w:hAnsi="Arial" w:cs="Arial"/>
          <w:bCs/>
        </w:rPr>
        <w:t xml:space="preserve"> </w:t>
      </w:r>
      <w:r w:rsidR="00EC129A">
        <w:rPr>
          <w:rFonts w:ascii="Arial" w:hAnsi="Arial" w:cs="Arial"/>
          <w:bCs/>
        </w:rPr>
        <w:t>(</w:t>
      </w:r>
      <w:r w:rsidR="00044F38" w:rsidRPr="00A20819">
        <w:rPr>
          <w:rFonts w:ascii="Arial" w:hAnsi="Arial" w:cs="Arial"/>
          <w:bCs/>
        </w:rPr>
        <w:t>CI 4.215.918-8</w:t>
      </w:r>
      <w:r w:rsidR="003B6EBD">
        <w:rPr>
          <w:rFonts w:ascii="Arial" w:hAnsi="Arial" w:cs="Arial"/>
          <w:bCs/>
        </w:rPr>
        <w:t xml:space="preserve"> y 4.795.975-7</w:t>
      </w:r>
      <w:r w:rsidR="00044F38" w:rsidRPr="00A20819">
        <w:rPr>
          <w:rFonts w:ascii="Arial" w:hAnsi="Arial" w:cs="Arial"/>
          <w:bCs/>
        </w:rPr>
        <w:t xml:space="preserve"> </w:t>
      </w:r>
      <w:r w:rsidR="003B6EBD">
        <w:rPr>
          <w:rFonts w:ascii="Arial" w:hAnsi="Arial" w:cs="Arial"/>
          <w:bCs/>
        </w:rPr>
        <w:t>respectivamente</w:t>
      </w:r>
      <w:r w:rsidR="00EC129A">
        <w:rPr>
          <w:rFonts w:ascii="Arial" w:hAnsi="Arial" w:cs="Arial"/>
          <w:bCs/>
        </w:rPr>
        <w:t>)</w:t>
      </w:r>
      <w:r w:rsidR="003B6EBD">
        <w:rPr>
          <w:rFonts w:ascii="Arial" w:hAnsi="Arial" w:cs="Arial"/>
          <w:bCs/>
        </w:rPr>
        <w:t xml:space="preserve"> </w:t>
      </w:r>
      <w:r w:rsidR="00044F38" w:rsidRPr="00A20819">
        <w:rPr>
          <w:rFonts w:ascii="Arial" w:hAnsi="Arial" w:cs="Arial"/>
          <w:bCs/>
        </w:rPr>
        <w:t xml:space="preserve">y </w:t>
      </w:r>
      <w:r w:rsidR="003B6EBD">
        <w:rPr>
          <w:rFonts w:ascii="Arial" w:hAnsi="Arial" w:cs="Arial"/>
          <w:bCs/>
        </w:rPr>
        <w:t xml:space="preserve">d) </w:t>
      </w:r>
      <w:r w:rsidR="00A20819" w:rsidRPr="00A20819">
        <w:rPr>
          <w:rFonts w:ascii="Arial" w:hAnsi="Arial" w:cs="Arial"/>
          <w:bCs/>
        </w:rPr>
        <w:t>María</w:t>
      </w:r>
      <w:r w:rsidR="00044F38" w:rsidRPr="00A20819">
        <w:rPr>
          <w:rFonts w:ascii="Arial" w:hAnsi="Arial" w:cs="Arial"/>
          <w:bCs/>
        </w:rPr>
        <w:t xml:space="preserve"> Yolanda Rocha CI 3.561.767-6</w:t>
      </w:r>
      <w:r w:rsidR="00C20B7E" w:rsidRPr="00A20819">
        <w:rPr>
          <w:rFonts w:ascii="Arial" w:hAnsi="Arial" w:cs="Arial"/>
          <w:bCs/>
        </w:rPr>
        <w:t>;</w:t>
      </w:r>
    </w:p>
    <w:p w:rsidR="00720383" w:rsidRDefault="00C20B7E" w:rsidP="001E0737">
      <w:pPr>
        <w:pStyle w:val="Textoindependiente"/>
        <w:ind w:firstLine="269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2) </w:t>
      </w:r>
      <w:r w:rsidRPr="00A20819">
        <w:rPr>
          <w:rFonts w:ascii="Arial" w:hAnsi="Arial" w:cs="Arial"/>
          <w:bCs/>
        </w:rPr>
        <w:t>que en ese marco y teniendo en cuenta que el Plan Quinquenal 2015-2019 del MVOTM</w:t>
      </w:r>
      <w:r w:rsidR="003B6EBD">
        <w:rPr>
          <w:rFonts w:ascii="Arial" w:hAnsi="Arial" w:cs="Arial"/>
          <w:bCs/>
        </w:rPr>
        <w:t>A</w:t>
      </w:r>
      <w:r w:rsidRPr="00A20819">
        <w:rPr>
          <w:rFonts w:ascii="Arial" w:hAnsi="Arial" w:cs="Arial"/>
          <w:bCs/>
        </w:rPr>
        <w:t xml:space="preserve"> estable</w:t>
      </w:r>
      <w:r w:rsidR="00A20819">
        <w:rPr>
          <w:rFonts w:ascii="Arial" w:hAnsi="Arial" w:cs="Arial"/>
          <w:bCs/>
        </w:rPr>
        <w:t>ce</w:t>
      </w:r>
      <w:r w:rsidRPr="00A20819">
        <w:rPr>
          <w:rFonts w:ascii="Arial" w:hAnsi="Arial" w:cs="Arial"/>
          <w:bCs/>
        </w:rPr>
        <w:t xml:space="preserve"> entre su objetivos </w:t>
      </w:r>
      <w:r w:rsidR="00A20819" w:rsidRPr="00A20819">
        <w:rPr>
          <w:rFonts w:ascii="Arial" w:hAnsi="Arial" w:cs="Arial"/>
          <w:bCs/>
        </w:rPr>
        <w:t>estr</w:t>
      </w:r>
      <w:r w:rsidR="00A20819">
        <w:rPr>
          <w:rFonts w:ascii="Arial" w:hAnsi="Arial" w:cs="Arial"/>
          <w:bCs/>
        </w:rPr>
        <w:t>a</w:t>
      </w:r>
      <w:r w:rsidR="00A20819" w:rsidRPr="00A20819">
        <w:rPr>
          <w:rFonts w:ascii="Arial" w:hAnsi="Arial" w:cs="Arial"/>
          <w:bCs/>
        </w:rPr>
        <w:t>tégicos</w:t>
      </w:r>
      <w:r w:rsidRPr="00A20819">
        <w:rPr>
          <w:rFonts w:ascii="Arial" w:hAnsi="Arial" w:cs="Arial"/>
          <w:bCs/>
        </w:rPr>
        <w:t xml:space="preserve"> “</w:t>
      </w:r>
      <w:r w:rsidRPr="003B6EBD">
        <w:rPr>
          <w:rFonts w:ascii="Arial" w:hAnsi="Arial" w:cs="Arial"/>
          <w:bCs/>
          <w:i/>
        </w:rPr>
        <w:t xml:space="preserve">revertir las </w:t>
      </w:r>
      <w:r w:rsidR="00A20819" w:rsidRPr="003B6EBD">
        <w:rPr>
          <w:rFonts w:ascii="Arial" w:hAnsi="Arial" w:cs="Arial"/>
          <w:bCs/>
          <w:i/>
        </w:rPr>
        <w:t>situaciones</w:t>
      </w:r>
      <w:r w:rsidRPr="003B6EBD">
        <w:rPr>
          <w:rFonts w:ascii="Arial" w:hAnsi="Arial" w:cs="Arial"/>
          <w:bCs/>
          <w:i/>
        </w:rPr>
        <w:t xml:space="preserve"> de precariedad socio-</w:t>
      </w:r>
      <w:r w:rsidR="00A20819" w:rsidRPr="003B6EBD">
        <w:rPr>
          <w:rFonts w:ascii="Arial" w:hAnsi="Arial" w:cs="Arial"/>
          <w:bCs/>
          <w:i/>
        </w:rPr>
        <w:t>habitacional</w:t>
      </w:r>
      <w:r w:rsidRPr="003B6EBD">
        <w:rPr>
          <w:rFonts w:ascii="Arial" w:hAnsi="Arial" w:cs="Arial"/>
          <w:bCs/>
          <w:i/>
        </w:rPr>
        <w:t xml:space="preserve"> de los sectores de mayor vulnerabilidad</w:t>
      </w:r>
      <w:r w:rsidRPr="00A20819">
        <w:rPr>
          <w:rFonts w:ascii="Arial" w:hAnsi="Arial" w:cs="Arial"/>
          <w:bCs/>
        </w:rPr>
        <w:t>” se</w:t>
      </w:r>
      <w:r>
        <w:rPr>
          <w:rFonts w:ascii="Arial" w:hAnsi="Arial" w:cs="Arial"/>
          <w:b/>
          <w:bCs/>
        </w:rPr>
        <w:t xml:space="preserve"> </w:t>
      </w:r>
      <w:r w:rsidR="00720383">
        <w:rPr>
          <w:rFonts w:ascii="Arial" w:hAnsi="Arial" w:cs="Arial"/>
        </w:rPr>
        <w:t xml:space="preserve"> remite</w:t>
      </w:r>
      <w:r>
        <w:rPr>
          <w:rFonts w:ascii="Arial" w:hAnsi="Arial" w:cs="Arial"/>
        </w:rPr>
        <w:t xml:space="preserve"> en esta oportunidad</w:t>
      </w:r>
      <w:r w:rsidR="00720383">
        <w:rPr>
          <w:rFonts w:ascii="Arial" w:hAnsi="Arial" w:cs="Arial"/>
        </w:rPr>
        <w:t xml:space="preserve"> un proyecto de convenio a celebrarse entre  el MVOTMA y la CAH, cuyo objeto consiste en coordinar acciones, para que el </w:t>
      </w:r>
      <w:r w:rsidR="00A20819">
        <w:rPr>
          <w:rFonts w:ascii="Arial" w:hAnsi="Arial" w:cs="Arial"/>
        </w:rPr>
        <w:t>Hospital</w:t>
      </w:r>
      <w:r w:rsidR="00720383">
        <w:rPr>
          <w:rFonts w:ascii="Arial" w:hAnsi="Arial" w:cs="Arial"/>
        </w:rPr>
        <w:t xml:space="preserve"> Maciel </w:t>
      </w:r>
      <w:r w:rsidR="00A20819">
        <w:rPr>
          <w:rFonts w:ascii="Arial" w:hAnsi="Arial" w:cs="Arial"/>
        </w:rPr>
        <w:t>pueda</w:t>
      </w:r>
      <w:r w:rsidR="00720383">
        <w:rPr>
          <w:rFonts w:ascii="Arial" w:hAnsi="Arial" w:cs="Arial"/>
        </w:rPr>
        <w:t xml:space="preserve"> utilizar los padrones Nros 2513 y 2515 de la ciudad de Montevideo para la </w:t>
      </w:r>
      <w:r w:rsidR="00A20819">
        <w:rPr>
          <w:rFonts w:ascii="Arial" w:hAnsi="Arial" w:cs="Arial"/>
        </w:rPr>
        <w:t>a</w:t>
      </w:r>
      <w:r w:rsidR="00720383">
        <w:rPr>
          <w:rFonts w:ascii="Arial" w:hAnsi="Arial" w:cs="Arial"/>
        </w:rPr>
        <w:t>mpli</w:t>
      </w:r>
      <w:r w:rsidR="00A20819">
        <w:rPr>
          <w:rFonts w:ascii="Arial" w:hAnsi="Arial" w:cs="Arial"/>
        </w:rPr>
        <w:t>ació</w:t>
      </w:r>
      <w:r w:rsidR="00720383">
        <w:rPr>
          <w:rFonts w:ascii="Arial" w:hAnsi="Arial" w:cs="Arial"/>
        </w:rPr>
        <w:t xml:space="preserve">n de su </w:t>
      </w:r>
      <w:r w:rsidR="00A20819">
        <w:rPr>
          <w:rFonts w:ascii="Arial" w:hAnsi="Arial" w:cs="Arial"/>
        </w:rPr>
        <w:t>infraestructura</w:t>
      </w:r>
      <w:r w:rsidR="00720383">
        <w:rPr>
          <w:rFonts w:ascii="Arial" w:hAnsi="Arial" w:cs="Arial"/>
        </w:rPr>
        <w:t xml:space="preserve"> edilicia, sin menoscabo de lo</w:t>
      </w:r>
      <w:r w:rsidR="00A20819">
        <w:rPr>
          <w:rFonts w:ascii="Arial" w:hAnsi="Arial" w:cs="Arial"/>
        </w:rPr>
        <w:t>s</w:t>
      </w:r>
      <w:r w:rsidR="00720383">
        <w:rPr>
          <w:rFonts w:ascii="Arial" w:hAnsi="Arial" w:cs="Arial"/>
        </w:rPr>
        <w:t xml:space="preserve"> derechos de las familias mencionadas a acceder a una vivie</w:t>
      </w:r>
      <w:r w:rsidR="00A20819">
        <w:rPr>
          <w:rFonts w:ascii="Arial" w:hAnsi="Arial" w:cs="Arial"/>
        </w:rPr>
        <w:t>n</w:t>
      </w:r>
      <w:r w:rsidR="00720383">
        <w:rPr>
          <w:rFonts w:ascii="Arial" w:hAnsi="Arial" w:cs="Arial"/>
        </w:rPr>
        <w:t>da apropiada a sus necesidades y posibilidades;</w:t>
      </w:r>
    </w:p>
    <w:p w:rsidR="001E0737" w:rsidRDefault="00C20B7E" w:rsidP="001E0737">
      <w:pPr>
        <w:pStyle w:val="Textoindependiente"/>
        <w:ind w:firstLine="2694"/>
        <w:rPr>
          <w:rFonts w:ascii="Arial" w:hAnsi="Arial" w:cs="Arial"/>
        </w:rPr>
      </w:pPr>
      <w:r w:rsidRPr="00A20819">
        <w:rPr>
          <w:rFonts w:ascii="Arial" w:hAnsi="Arial" w:cs="Arial"/>
          <w:b/>
        </w:rPr>
        <w:t>3</w:t>
      </w:r>
      <w:r w:rsidR="00720383" w:rsidRPr="00A20819">
        <w:rPr>
          <w:rFonts w:ascii="Arial" w:hAnsi="Arial" w:cs="Arial"/>
          <w:b/>
        </w:rPr>
        <w:t>)</w:t>
      </w:r>
      <w:r w:rsidR="00720383">
        <w:rPr>
          <w:rFonts w:ascii="Arial" w:hAnsi="Arial" w:cs="Arial"/>
        </w:rPr>
        <w:t xml:space="preserve"> que  en tal sentido, por intermedio del convenio el MVOTMA se </w:t>
      </w:r>
      <w:r w:rsidR="00A20819">
        <w:rPr>
          <w:rFonts w:ascii="Arial" w:hAnsi="Arial" w:cs="Arial"/>
        </w:rPr>
        <w:t>obliga</w:t>
      </w:r>
      <w:r w:rsidR="00720383">
        <w:rPr>
          <w:rFonts w:ascii="Arial" w:hAnsi="Arial" w:cs="Arial"/>
        </w:rPr>
        <w:t xml:space="preserve"> a</w:t>
      </w:r>
      <w:r w:rsidR="003B6EBD">
        <w:rPr>
          <w:rFonts w:ascii="Arial" w:hAnsi="Arial" w:cs="Arial"/>
        </w:rPr>
        <w:t>:</w:t>
      </w:r>
      <w:r w:rsidR="00720383">
        <w:rPr>
          <w:rFonts w:ascii="Arial" w:hAnsi="Arial" w:cs="Arial"/>
        </w:rPr>
        <w:t xml:space="preserve"> </w:t>
      </w:r>
    </w:p>
    <w:p w:rsidR="001E0737" w:rsidRDefault="003B6EBD" w:rsidP="001E0737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20383">
        <w:rPr>
          <w:rFonts w:ascii="Arial" w:hAnsi="Arial" w:cs="Arial"/>
        </w:rPr>
        <w:t xml:space="preserve">) otorgar un subsidio directo a las familias </w:t>
      </w:r>
      <w:r w:rsidR="00A20819">
        <w:rPr>
          <w:rFonts w:ascii="Arial" w:hAnsi="Arial" w:cs="Arial"/>
        </w:rPr>
        <w:t>mencionadas</w:t>
      </w:r>
      <w:r w:rsidR="00720383">
        <w:rPr>
          <w:rFonts w:ascii="Arial" w:hAnsi="Arial" w:cs="Arial"/>
        </w:rPr>
        <w:t xml:space="preserve"> en el marco del Programa de realojos a través de la compra de vivie</w:t>
      </w:r>
      <w:r w:rsidR="00A20819">
        <w:rPr>
          <w:rFonts w:ascii="Arial" w:hAnsi="Arial" w:cs="Arial"/>
        </w:rPr>
        <w:t>n</w:t>
      </w:r>
      <w:r w:rsidR="00720383">
        <w:rPr>
          <w:rFonts w:ascii="Arial" w:hAnsi="Arial" w:cs="Arial"/>
        </w:rPr>
        <w:t>da usada</w:t>
      </w:r>
      <w:r w:rsidR="00EA0B03">
        <w:rPr>
          <w:rFonts w:ascii="Arial" w:hAnsi="Arial" w:cs="Arial"/>
        </w:rPr>
        <w:t xml:space="preserve">; </w:t>
      </w:r>
    </w:p>
    <w:p w:rsidR="00EA0B03" w:rsidRDefault="00EA0B03" w:rsidP="001E0737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</w:rPr>
        <w:t xml:space="preserve">b) acompañar a </w:t>
      </w:r>
      <w:r w:rsidR="00A20819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="00A2081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familias en el proceso de ese realojo, una vez los predios mencion</w:t>
      </w:r>
      <w:r w:rsidR="00A20819">
        <w:rPr>
          <w:rFonts w:ascii="Arial" w:hAnsi="Arial" w:cs="Arial"/>
        </w:rPr>
        <w:t>ad</w:t>
      </w:r>
      <w:r>
        <w:rPr>
          <w:rFonts w:ascii="Arial" w:hAnsi="Arial" w:cs="Arial"/>
        </w:rPr>
        <w:t>os sea</w:t>
      </w:r>
      <w:r w:rsidR="003B6EBD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propiedad del Ho</w:t>
      </w:r>
      <w:r w:rsidR="00A20819">
        <w:rPr>
          <w:rFonts w:ascii="Arial" w:hAnsi="Arial" w:cs="Arial"/>
        </w:rPr>
        <w:t>s</w:t>
      </w:r>
      <w:r>
        <w:rPr>
          <w:rFonts w:ascii="Arial" w:hAnsi="Arial" w:cs="Arial"/>
        </w:rPr>
        <w:t>pital Maciel;</w:t>
      </w:r>
    </w:p>
    <w:p w:rsidR="001E0737" w:rsidRDefault="00C20B7E" w:rsidP="001E0737">
      <w:pPr>
        <w:pStyle w:val="Textoindependiente"/>
        <w:ind w:firstLine="2694"/>
        <w:rPr>
          <w:rFonts w:ascii="Arial" w:hAnsi="Arial" w:cs="Arial"/>
        </w:rPr>
      </w:pPr>
      <w:r w:rsidRPr="00A20819">
        <w:rPr>
          <w:rFonts w:ascii="Arial" w:hAnsi="Arial" w:cs="Arial"/>
          <w:b/>
        </w:rPr>
        <w:t>4</w:t>
      </w:r>
      <w:r w:rsidR="00EA0B03" w:rsidRPr="00A20819">
        <w:rPr>
          <w:rFonts w:ascii="Arial" w:hAnsi="Arial" w:cs="Arial"/>
          <w:b/>
        </w:rPr>
        <w:t>)</w:t>
      </w:r>
      <w:r w:rsidR="00EA0B03">
        <w:rPr>
          <w:rFonts w:ascii="Arial" w:hAnsi="Arial" w:cs="Arial"/>
        </w:rPr>
        <w:t xml:space="preserve"> que por su parte,  la CAH por el convenio </w:t>
      </w:r>
      <w:r w:rsidR="001E0737">
        <w:rPr>
          <w:rFonts w:ascii="Arial" w:hAnsi="Arial" w:cs="Arial"/>
        </w:rPr>
        <w:t xml:space="preserve">                          </w:t>
      </w:r>
      <w:r w:rsidR="00EA0B03">
        <w:rPr>
          <w:rFonts w:ascii="Arial" w:hAnsi="Arial" w:cs="Arial"/>
        </w:rPr>
        <w:t xml:space="preserve">se obliga a: </w:t>
      </w:r>
    </w:p>
    <w:p w:rsidR="001E0737" w:rsidRDefault="00EA0B03" w:rsidP="001E0737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</w:rPr>
        <w:t xml:space="preserve">a) realizar un aporte de U$S 20.000 por cada una de las familias para colaborar en el realojo de las mismas; </w:t>
      </w:r>
    </w:p>
    <w:p w:rsidR="00EA0B03" w:rsidRDefault="00EA0B03" w:rsidP="001E0737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="003B6E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realizar la custodia de los </w:t>
      </w:r>
      <w:r w:rsidR="00A20819">
        <w:rPr>
          <w:rFonts w:ascii="Arial" w:hAnsi="Arial" w:cs="Arial"/>
        </w:rPr>
        <w:t>predios</w:t>
      </w:r>
      <w:r>
        <w:rPr>
          <w:rFonts w:ascii="Arial" w:hAnsi="Arial" w:cs="Arial"/>
        </w:rPr>
        <w:t xml:space="preserve">, antes y después de concretadas las expropiaciones, de modo de no aumentar la </w:t>
      </w:r>
      <w:r w:rsidR="00EC129A">
        <w:rPr>
          <w:rFonts w:ascii="Arial" w:hAnsi="Arial" w:cs="Arial"/>
        </w:rPr>
        <w:t>cantidad de familias a realojar</w:t>
      </w:r>
      <w:r>
        <w:rPr>
          <w:rFonts w:ascii="Arial" w:hAnsi="Arial" w:cs="Arial"/>
        </w:rPr>
        <w:t>;</w:t>
      </w:r>
    </w:p>
    <w:p w:rsidR="00720383" w:rsidRDefault="00232634" w:rsidP="001E0737">
      <w:pPr>
        <w:pStyle w:val="Textoindependiente"/>
        <w:ind w:firstLine="2694"/>
        <w:rPr>
          <w:rFonts w:ascii="Arial" w:hAnsi="Arial" w:cs="Arial"/>
        </w:rPr>
      </w:pPr>
      <w:r w:rsidRPr="00A20819">
        <w:rPr>
          <w:rFonts w:ascii="Arial" w:hAnsi="Arial" w:cs="Arial"/>
          <w:b/>
        </w:rPr>
        <w:t>5</w:t>
      </w:r>
      <w:r w:rsidR="00EA0B03" w:rsidRPr="00A20819">
        <w:rPr>
          <w:rFonts w:ascii="Arial" w:hAnsi="Arial" w:cs="Arial"/>
          <w:b/>
        </w:rPr>
        <w:t>)</w:t>
      </w:r>
      <w:r w:rsidR="00EA0B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se adjunta proyecto de </w:t>
      </w:r>
      <w:r w:rsidR="003B6EBD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esolución </w:t>
      </w:r>
      <w:r w:rsidR="003B6EBD">
        <w:rPr>
          <w:rFonts w:ascii="Arial" w:hAnsi="Arial" w:cs="Arial"/>
        </w:rPr>
        <w:t>del MVOTMA</w:t>
      </w:r>
      <w:r>
        <w:rPr>
          <w:rFonts w:ascii="Arial" w:hAnsi="Arial" w:cs="Arial"/>
        </w:rPr>
        <w:t>, por el cual se aprueba la suscripción del convenio referido, disponiéndose que los subsi</w:t>
      </w:r>
      <w:r w:rsidR="00A20819">
        <w:rPr>
          <w:rFonts w:ascii="Arial" w:hAnsi="Arial" w:cs="Arial"/>
        </w:rPr>
        <w:t>dio</w:t>
      </w:r>
      <w:r>
        <w:rPr>
          <w:rFonts w:ascii="Arial" w:hAnsi="Arial" w:cs="Arial"/>
        </w:rPr>
        <w:t xml:space="preserve"> directos que se </w:t>
      </w:r>
      <w:r w:rsidR="00A20819">
        <w:rPr>
          <w:rFonts w:ascii="Arial" w:hAnsi="Arial" w:cs="Arial"/>
        </w:rPr>
        <w:t>otorgan</w:t>
      </w:r>
      <w:r>
        <w:rPr>
          <w:rFonts w:ascii="Arial" w:hAnsi="Arial" w:cs="Arial"/>
        </w:rPr>
        <w:t xml:space="preserve"> a las familias enmaradas en el convenio se </w:t>
      </w:r>
      <w:r w:rsidR="00A20819">
        <w:rPr>
          <w:rFonts w:ascii="Arial" w:hAnsi="Arial" w:cs="Arial"/>
        </w:rPr>
        <w:t>financiarán</w:t>
      </w:r>
      <w:r>
        <w:rPr>
          <w:rFonts w:ascii="Arial" w:hAnsi="Arial" w:cs="Arial"/>
        </w:rPr>
        <w:t xml:space="preserve"> con los recurs</w:t>
      </w:r>
      <w:r w:rsidR="00A20819">
        <w:rPr>
          <w:rFonts w:ascii="Arial" w:hAnsi="Arial" w:cs="Arial"/>
        </w:rPr>
        <w:t>os</w:t>
      </w:r>
      <w:r w:rsidR="003B6EBD">
        <w:rPr>
          <w:rFonts w:ascii="Arial" w:hAnsi="Arial" w:cs="Arial"/>
        </w:rPr>
        <w:t xml:space="preserve"> ya afectados al Programa de Realojos</w:t>
      </w:r>
      <w:r w:rsidR="00720383">
        <w:rPr>
          <w:rFonts w:ascii="Arial" w:hAnsi="Arial" w:cs="Arial"/>
        </w:rPr>
        <w:t>;</w:t>
      </w:r>
    </w:p>
    <w:p w:rsidR="00DD43CC" w:rsidRPr="00FE5D58" w:rsidRDefault="00720383" w:rsidP="001E0737">
      <w:pPr>
        <w:tabs>
          <w:tab w:val="left" w:pos="1800"/>
        </w:tabs>
        <w:spacing w:line="360" w:lineRule="auto"/>
        <w:ind w:firstLine="851"/>
        <w:jc w:val="both"/>
        <w:rPr>
          <w:rFonts w:cs="Arial"/>
          <w:bCs/>
        </w:rPr>
      </w:pPr>
      <w:r>
        <w:rPr>
          <w:rFonts w:cs="Arial"/>
          <w:b/>
          <w:bCs/>
        </w:rPr>
        <w:t xml:space="preserve">CONSIDERANDO: </w:t>
      </w:r>
      <w:r w:rsidR="00DD43CC">
        <w:rPr>
          <w:rFonts w:cs="Arial"/>
          <w:b/>
          <w:bCs/>
        </w:rPr>
        <w:t>1</w:t>
      </w:r>
      <w:r w:rsidR="00DD43CC">
        <w:rPr>
          <w:b/>
          <w:bCs/>
        </w:rPr>
        <w:t>)</w:t>
      </w:r>
      <w:r w:rsidR="00DD43CC">
        <w:t xml:space="preserve"> </w:t>
      </w:r>
      <w:r w:rsidR="00DD43CC">
        <w:rPr>
          <w:rFonts w:cs="Arial"/>
          <w:lang w:val="es-MX"/>
        </w:rPr>
        <w:t xml:space="preserve">que de conformidad a lo establecido en el </w:t>
      </w:r>
      <w:r w:rsidR="001E0737">
        <w:rPr>
          <w:rFonts w:cs="Arial"/>
          <w:lang w:val="es-MX"/>
        </w:rPr>
        <w:t>Artículo 3 de la L</w:t>
      </w:r>
      <w:r w:rsidR="00DD43CC">
        <w:rPr>
          <w:rFonts w:cs="Arial"/>
          <w:lang w:val="es-MX"/>
        </w:rPr>
        <w:t>ey 16.112, compete al MVOTMA la formulación, ejecución, supervisión y evaluación de los planes nacionales de vivienda y de desarrollo urbano y territorial, estableciendo la instrumentación de políticas en la materia;</w:t>
      </w:r>
    </w:p>
    <w:p w:rsidR="00DD43CC" w:rsidRDefault="00DD43CC" w:rsidP="001E0737">
      <w:pPr>
        <w:tabs>
          <w:tab w:val="left" w:pos="2040"/>
        </w:tabs>
        <w:spacing w:line="360" w:lineRule="auto"/>
        <w:ind w:firstLine="3119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>2)</w:t>
      </w:r>
      <w:r>
        <w:rPr>
          <w:rFonts w:cs="Arial"/>
          <w:lang w:val="es-MX"/>
        </w:rPr>
        <w:t xml:space="preserve"> que en particular, de acuerdo a lo establecido en los numerales 8 y 9 del citado </w:t>
      </w:r>
      <w:r w:rsidR="001E0737">
        <w:rPr>
          <w:rFonts w:cs="Arial"/>
          <w:lang w:val="es-MX"/>
        </w:rPr>
        <w:t>A</w:t>
      </w:r>
      <w:r>
        <w:rPr>
          <w:rFonts w:cs="Arial"/>
          <w:lang w:val="es-MX"/>
        </w:rPr>
        <w:t xml:space="preserve">rtículo 3 de la </w:t>
      </w:r>
      <w:r w:rsidR="001E0737">
        <w:rPr>
          <w:rFonts w:cs="Arial"/>
          <w:lang w:val="es-MX"/>
        </w:rPr>
        <w:t>L</w:t>
      </w:r>
      <w:r>
        <w:rPr>
          <w:rFonts w:cs="Arial"/>
          <w:lang w:val="es-MX"/>
        </w:rPr>
        <w:t>ey 16.112, para el cumplimiento de sus cometidos, el MVOTMA coordinará las acciones con los otros organismos públicos nacionales o departamentales, previéndose la posibilidad de suscripción de convenios con personas públicas o privadas, nacionales o extranjeras;</w:t>
      </w:r>
    </w:p>
    <w:p w:rsidR="00DD43CC" w:rsidRDefault="00DD43CC" w:rsidP="001E0737">
      <w:pPr>
        <w:spacing w:line="360" w:lineRule="auto"/>
        <w:ind w:firstLine="3119"/>
        <w:jc w:val="both"/>
        <w:rPr>
          <w:rFonts w:cs="Arial"/>
        </w:rPr>
      </w:pPr>
      <w:r>
        <w:rPr>
          <w:rFonts w:cs="Arial"/>
          <w:b/>
          <w:bCs/>
        </w:rPr>
        <w:t xml:space="preserve">3) </w:t>
      </w:r>
      <w:r>
        <w:rPr>
          <w:rFonts w:cs="Arial"/>
          <w:bCs/>
        </w:rPr>
        <w:t xml:space="preserve">que el </w:t>
      </w:r>
      <w:r w:rsidR="001E0737">
        <w:rPr>
          <w:rFonts w:cs="Arial"/>
          <w:bCs/>
        </w:rPr>
        <w:t>D</w:t>
      </w:r>
      <w:r>
        <w:rPr>
          <w:rFonts w:cs="Arial"/>
          <w:bCs/>
        </w:rPr>
        <w:t>ecreto N° 185/004 del 3 de junio de 2004</w:t>
      </w:r>
      <w:r>
        <w:rPr>
          <w:rFonts w:cs="Arial"/>
        </w:rPr>
        <w:t>, establece en su artículo 1 que se entiende por Comisión de Apoyo de una Unidad Ejecutora de la Administración de Servicios de Salud del Estado aquella persona jurídica (</w:t>
      </w:r>
      <w:r w:rsidR="001E0737">
        <w:rPr>
          <w:rFonts w:cs="Arial"/>
        </w:rPr>
        <w:t>A</w:t>
      </w:r>
      <w:r>
        <w:rPr>
          <w:rFonts w:cs="Arial"/>
        </w:rPr>
        <w:t>rt</w:t>
      </w:r>
      <w:r w:rsidR="001E0737">
        <w:rPr>
          <w:rFonts w:cs="Arial"/>
        </w:rPr>
        <w:t>ículo</w:t>
      </w:r>
      <w:r>
        <w:rPr>
          <w:rFonts w:cs="Arial"/>
        </w:rPr>
        <w:t xml:space="preserve"> 21 del Código Civil) que teniendo por objeto colaborar con la gestión de la respectiva Unidad Ejecutora, actúa bajo la supervisión del director de la misma, y cuya elección, organización, funcionamiento y facultades se rige por el citado decreto;</w:t>
      </w:r>
    </w:p>
    <w:p w:rsidR="00720383" w:rsidRDefault="00720383" w:rsidP="001E0737">
      <w:pPr>
        <w:tabs>
          <w:tab w:val="left" w:pos="2160"/>
        </w:tabs>
        <w:autoSpaceDE w:val="0"/>
        <w:autoSpaceDN w:val="0"/>
        <w:adjustRightInd w:val="0"/>
        <w:spacing w:line="360" w:lineRule="auto"/>
        <w:ind w:firstLine="851"/>
        <w:jc w:val="both"/>
      </w:pPr>
      <w:r>
        <w:rPr>
          <w:b/>
          <w:bCs/>
        </w:rPr>
        <w:t>ATENTO:</w:t>
      </w:r>
      <w:r>
        <w:t xml:space="preserve"> a lo precedentemente expuesto y a lo dispuesto por el </w:t>
      </w:r>
      <w:r w:rsidR="001E0737">
        <w:t>A</w:t>
      </w:r>
      <w:r>
        <w:t xml:space="preserve">rtículo 211 </w:t>
      </w:r>
      <w:r w:rsidR="001E0737">
        <w:t>L</w:t>
      </w:r>
      <w:r>
        <w:t xml:space="preserve">iteral B) de la Constitución de la República; </w:t>
      </w:r>
    </w:p>
    <w:p w:rsidR="00517A01" w:rsidRDefault="00517A01" w:rsidP="00517A01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517A01" w:rsidRDefault="001E0737" w:rsidP="001E0737">
      <w:pPr>
        <w:spacing w:line="360" w:lineRule="auto"/>
        <w:ind w:left="284" w:hanging="284"/>
        <w:jc w:val="both"/>
      </w:pPr>
      <w:r w:rsidRPr="001E0737">
        <w:rPr>
          <w:b/>
        </w:rPr>
        <w:t>1)</w:t>
      </w:r>
      <w:r>
        <w:t xml:space="preserve"> </w:t>
      </w:r>
      <w:r w:rsidR="00517A01">
        <w:t>No formular observaciones al convenio a celebrarse entre el</w:t>
      </w:r>
      <w:r w:rsidR="00517A01">
        <w:rPr>
          <w:rFonts w:cs="Arial"/>
          <w:lang w:val="es-MX"/>
        </w:rPr>
        <w:t xml:space="preserve"> Ministerio de Vivienda, Ordenamiento Territorial y Medio Ambiente y la</w:t>
      </w:r>
      <w:r w:rsidR="00517A01" w:rsidRPr="00517A01">
        <w:rPr>
          <w:rFonts w:cs="Arial"/>
        </w:rPr>
        <w:t xml:space="preserve"> </w:t>
      </w:r>
      <w:r w:rsidR="00517A01">
        <w:rPr>
          <w:rFonts w:cs="Arial"/>
        </w:rPr>
        <w:t>Comisión de Apoyo del Hospital Maciel</w:t>
      </w:r>
      <w:r w:rsidR="00517A01">
        <w:rPr>
          <w:rFonts w:cs="Arial"/>
          <w:lang w:val="es-MX"/>
        </w:rPr>
        <w:t xml:space="preserve">; </w:t>
      </w:r>
    </w:p>
    <w:p w:rsidR="00517A01" w:rsidRDefault="001E0737" w:rsidP="001E0737">
      <w:pPr>
        <w:spacing w:line="360" w:lineRule="auto"/>
        <w:ind w:left="284" w:hanging="284"/>
        <w:jc w:val="both"/>
      </w:pPr>
      <w:r w:rsidRPr="001E0737">
        <w:rPr>
          <w:rFonts w:cs="Arial"/>
          <w:b/>
        </w:rPr>
        <w:t>2)</w:t>
      </w:r>
      <w:r>
        <w:rPr>
          <w:rFonts w:cs="Arial"/>
        </w:rPr>
        <w:t xml:space="preserve"> </w:t>
      </w:r>
      <w:r w:rsidR="00517A01">
        <w:rPr>
          <w:rFonts w:cs="Arial"/>
          <w:lang w:val="es-MX"/>
        </w:rPr>
        <w:t>C</w:t>
      </w:r>
      <w:r w:rsidR="00517A01" w:rsidRPr="00E10D9A">
        <w:rPr>
          <w:rFonts w:cs="Arial"/>
          <w:lang w:val="es-MX"/>
        </w:rPr>
        <w:t>omete</w:t>
      </w:r>
      <w:r w:rsidR="00517A01">
        <w:rPr>
          <w:rFonts w:cs="Arial"/>
          <w:lang w:val="es-MX"/>
        </w:rPr>
        <w:t>r</w:t>
      </w:r>
      <w:r w:rsidR="00517A01" w:rsidRPr="00E10D9A">
        <w:rPr>
          <w:rFonts w:cs="Arial"/>
          <w:lang w:val="es-MX"/>
        </w:rPr>
        <w:t xml:space="preserve"> al Contador Auditor destacado ante el M</w:t>
      </w:r>
      <w:r>
        <w:rPr>
          <w:rFonts w:cs="Arial"/>
          <w:lang w:val="es-MX"/>
        </w:rPr>
        <w:t xml:space="preserve">inisterio de </w:t>
      </w:r>
      <w:r w:rsidR="00517A01" w:rsidRPr="00E10D9A">
        <w:rPr>
          <w:rFonts w:cs="Arial"/>
          <w:lang w:val="es-MX"/>
        </w:rPr>
        <w:t>V</w:t>
      </w:r>
      <w:r>
        <w:rPr>
          <w:rFonts w:cs="Arial"/>
          <w:lang w:val="es-MX"/>
        </w:rPr>
        <w:t xml:space="preserve">ivienda, </w:t>
      </w:r>
      <w:r w:rsidR="00517A01" w:rsidRPr="00E10D9A">
        <w:rPr>
          <w:rFonts w:cs="Arial"/>
          <w:lang w:val="es-MX"/>
        </w:rPr>
        <w:t>O</w:t>
      </w:r>
      <w:r>
        <w:rPr>
          <w:rFonts w:cs="Arial"/>
          <w:lang w:val="es-MX"/>
        </w:rPr>
        <w:t xml:space="preserve">rdenamiento </w:t>
      </w:r>
      <w:r w:rsidR="00517A01" w:rsidRPr="00E10D9A">
        <w:rPr>
          <w:rFonts w:cs="Arial"/>
          <w:lang w:val="es-MX"/>
        </w:rPr>
        <w:t>T</w:t>
      </w:r>
      <w:r>
        <w:rPr>
          <w:rFonts w:cs="Arial"/>
          <w:lang w:val="es-MX"/>
        </w:rPr>
        <w:t xml:space="preserve">erritorial y </w:t>
      </w:r>
      <w:r w:rsidR="00517A01" w:rsidRPr="00E10D9A">
        <w:rPr>
          <w:rFonts w:cs="Arial"/>
          <w:lang w:val="es-MX"/>
        </w:rPr>
        <w:t>M</w:t>
      </w:r>
      <w:r>
        <w:rPr>
          <w:rFonts w:cs="Arial"/>
          <w:lang w:val="es-MX"/>
        </w:rPr>
        <w:t xml:space="preserve">edio </w:t>
      </w:r>
      <w:r w:rsidR="00517A01" w:rsidRPr="00E10D9A">
        <w:rPr>
          <w:rFonts w:cs="Arial"/>
          <w:lang w:val="es-MX"/>
        </w:rPr>
        <w:t>A</w:t>
      </w:r>
      <w:r>
        <w:rPr>
          <w:rFonts w:cs="Arial"/>
          <w:lang w:val="es-MX"/>
        </w:rPr>
        <w:t>mbiente</w:t>
      </w:r>
      <w:r w:rsidR="00517A01" w:rsidRPr="00E10D9A">
        <w:rPr>
          <w:rFonts w:cs="Arial"/>
        </w:rPr>
        <w:t xml:space="preserve">, la intervención </w:t>
      </w:r>
      <w:r w:rsidR="002637D8">
        <w:rPr>
          <w:spacing w:val="-3"/>
          <w:lang w:val="es-ES_tradnl"/>
        </w:rPr>
        <w:t>de los</w:t>
      </w:r>
      <w:r w:rsidR="00517A01" w:rsidRPr="00E10D9A">
        <w:rPr>
          <w:spacing w:val="-3"/>
          <w:lang w:val="es-ES_tradnl"/>
        </w:rPr>
        <w:t xml:space="preserve"> </w:t>
      </w:r>
      <w:r w:rsidR="00517A01">
        <w:rPr>
          <w:spacing w:val="-3"/>
          <w:lang w:val="es-ES_tradnl"/>
        </w:rPr>
        <w:t>gasto</w:t>
      </w:r>
      <w:r w:rsidR="002637D8">
        <w:rPr>
          <w:spacing w:val="-3"/>
          <w:lang w:val="es-ES_tradnl"/>
        </w:rPr>
        <w:t>s</w:t>
      </w:r>
      <w:r w:rsidR="001D5E54">
        <w:rPr>
          <w:spacing w:val="-3"/>
          <w:lang w:val="es-ES_tradnl"/>
        </w:rPr>
        <w:t xml:space="preserve"> derivado</w:t>
      </w:r>
      <w:r w:rsidR="002637D8">
        <w:rPr>
          <w:spacing w:val="-3"/>
          <w:lang w:val="es-ES_tradnl"/>
        </w:rPr>
        <w:t>s</w:t>
      </w:r>
      <w:r w:rsidR="001D5E54">
        <w:rPr>
          <w:spacing w:val="-3"/>
          <w:lang w:val="es-ES_tradnl"/>
        </w:rPr>
        <w:t xml:space="preserve"> del convenio</w:t>
      </w:r>
      <w:r w:rsidR="00517A01" w:rsidRPr="00E10D9A">
        <w:rPr>
          <w:spacing w:val="-3"/>
          <w:lang w:val="es-ES_tradnl"/>
        </w:rPr>
        <w:t>, previo control de</w:t>
      </w:r>
      <w:r w:rsidR="002637D8">
        <w:rPr>
          <w:spacing w:val="-3"/>
          <w:lang w:val="es-ES_tradnl"/>
        </w:rPr>
        <w:t xml:space="preserve"> su imputación a grupo adecuado</w:t>
      </w:r>
      <w:r w:rsidR="00517A01" w:rsidRPr="00E10D9A">
        <w:rPr>
          <w:spacing w:val="-3"/>
          <w:lang w:val="es-ES_tradnl"/>
        </w:rPr>
        <w:t xml:space="preserve"> con disponibilidad suficiente</w:t>
      </w:r>
      <w:r w:rsidR="00517A01" w:rsidRPr="00E10D9A">
        <w:rPr>
          <w:rFonts w:cs="Arial"/>
          <w:lang w:val="es-MX"/>
        </w:rPr>
        <w:t xml:space="preserve"> y de la verificación de que las condiciones de la contratación corresponden a las oportunamente sometidas a consideración de este Tribunal, </w:t>
      </w:r>
    </w:p>
    <w:p w:rsidR="00517A01" w:rsidRDefault="001E0737" w:rsidP="001E0737">
      <w:pPr>
        <w:spacing w:line="360" w:lineRule="auto"/>
        <w:ind w:left="284" w:hanging="284"/>
        <w:jc w:val="both"/>
        <w:rPr>
          <w:rFonts w:cs="Arial"/>
          <w:lang w:val="es-UY"/>
        </w:rPr>
      </w:pPr>
      <w:r w:rsidRPr="001E0737">
        <w:rPr>
          <w:rFonts w:cs="Arial"/>
          <w:b/>
          <w:lang w:val="es-UY"/>
        </w:rPr>
        <w:t>3)</w:t>
      </w:r>
      <w:r>
        <w:rPr>
          <w:rFonts w:cs="Arial"/>
          <w:lang w:val="es-UY"/>
        </w:rPr>
        <w:t xml:space="preserve"> </w:t>
      </w:r>
      <w:r w:rsidR="00517A01">
        <w:rPr>
          <w:rFonts w:cs="Arial"/>
          <w:lang w:val="es-UY"/>
        </w:rPr>
        <w:t>Comunicar al Contador Auditor destacado ante el M</w:t>
      </w:r>
      <w:r>
        <w:rPr>
          <w:rFonts w:cs="Arial"/>
          <w:lang w:val="es-UY"/>
        </w:rPr>
        <w:t xml:space="preserve">inisterio de </w:t>
      </w:r>
      <w:r w:rsidR="00517A01">
        <w:rPr>
          <w:rFonts w:cs="Arial"/>
          <w:lang w:val="es-UY"/>
        </w:rPr>
        <w:t>V</w:t>
      </w:r>
      <w:r>
        <w:rPr>
          <w:rFonts w:cs="Arial"/>
          <w:lang w:val="es-UY"/>
        </w:rPr>
        <w:t xml:space="preserve">ivienda, </w:t>
      </w:r>
      <w:r w:rsidR="00517A01">
        <w:rPr>
          <w:rFonts w:cs="Arial"/>
          <w:lang w:val="es-UY"/>
        </w:rPr>
        <w:t>O</w:t>
      </w:r>
      <w:r>
        <w:rPr>
          <w:rFonts w:cs="Arial"/>
          <w:lang w:val="es-UY"/>
        </w:rPr>
        <w:t xml:space="preserve">rdenamiento </w:t>
      </w:r>
      <w:r w:rsidR="00517A01">
        <w:rPr>
          <w:rFonts w:cs="Arial"/>
          <w:lang w:val="es-UY"/>
        </w:rPr>
        <w:t>T</w:t>
      </w:r>
      <w:r>
        <w:rPr>
          <w:rFonts w:cs="Arial"/>
          <w:lang w:val="es-UY"/>
        </w:rPr>
        <w:t xml:space="preserve">erritorial y </w:t>
      </w:r>
      <w:r w:rsidR="00517A01">
        <w:rPr>
          <w:rFonts w:cs="Arial"/>
          <w:lang w:val="es-UY"/>
        </w:rPr>
        <w:t>M</w:t>
      </w:r>
      <w:r>
        <w:rPr>
          <w:rFonts w:cs="Arial"/>
          <w:lang w:val="es-UY"/>
        </w:rPr>
        <w:t xml:space="preserve">edio </w:t>
      </w:r>
      <w:r w:rsidR="00517A01">
        <w:rPr>
          <w:rFonts w:cs="Arial"/>
          <w:lang w:val="es-UY"/>
        </w:rPr>
        <w:t>A</w:t>
      </w:r>
      <w:r>
        <w:rPr>
          <w:rFonts w:cs="Arial"/>
          <w:lang w:val="es-UY"/>
        </w:rPr>
        <w:t>mbiente</w:t>
      </w:r>
      <w:r w:rsidR="00517A01">
        <w:rPr>
          <w:rFonts w:cs="Arial"/>
          <w:lang w:val="es-UY"/>
        </w:rPr>
        <w:t>;</w:t>
      </w:r>
    </w:p>
    <w:p w:rsidR="00517A01" w:rsidRPr="00517A01" w:rsidRDefault="001E0737" w:rsidP="001E0737">
      <w:pPr>
        <w:spacing w:line="360" w:lineRule="auto"/>
        <w:jc w:val="both"/>
        <w:rPr>
          <w:b/>
          <w:bCs/>
        </w:rPr>
      </w:pPr>
      <w:r w:rsidRPr="001E0737">
        <w:rPr>
          <w:b/>
        </w:rPr>
        <w:t>4)</w:t>
      </w:r>
      <w:r>
        <w:t xml:space="preserve"> </w:t>
      </w:r>
      <w:r w:rsidR="00517A01">
        <w:t>Devolver las actuaciones.</w:t>
      </w:r>
    </w:p>
    <w:p w:rsidR="00517A01" w:rsidRDefault="00517A01" w:rsidP="00517A01">
      <w:pPr>
        <w:spacing w:line="360" w:lineRule="auto"/>
        <w:ind w:left="720"/>
        <w:jc w:val="both"/>
        <w:rPr>
          <w:b/>
          <w:bCs/>
        </w:rPr>
      </w:pPr>
    </w:p>
    <w:p w:rsidR="00A20819" w:rsidRDefault="001E0737" w:rsidP="00A20819">
      <w:r>
        <w:rPr>
          <w:color w:val="000000"/>
        </w:rPr>
        <w:t>ag</w:t>
      </w:r>
      <w:bookmarkStart w:id="0" w:name="_GoBack"/>
      <w:bookmarkEnd w:id="0"/>
    </w:p>
    <w:p w:rsidR="00A20819" w:rsidRDefault="00A20819" w:rsidP="00A20819"/>
    <w:p w:rsidR="00A20819" w:rsidRDefault="00A20819" w:rsidP="00A20819"/>
    <w:p w:rsidR="00720383" w:rsidRDefault="00720383" w:rsidP="00720383">
      <w:pPr>
        <w:spacing w:line="360" w:lineRule="auto"/>
        <w:jc w:val="both"/>
      </w:pPr>
    </w:p>
    <w:p w:rsidR="00720383" w:rsidRDefault="00720383" w:rsidP="00720383">
      <w:pPr>
        <w:spacing w:line="360" w:lineRule="auto"/>
        <w:jc w:val="both"/>
      </w:pPr>
    </w:p>
    <w:sectPr w:rsidR="00720383" w:rsidSect="0001222A"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386"/>
    <w:multiLevelType w:val="hybridMultilevel"/>
    <w:tmpl w:val="44780BA6"/>
    <w:lvl w:ilvl="0" w:tplc="401CED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4B57F2"/>
    <w:multiLevelType w:val="hybridMultilevel"/>
    <w:tmpl w:val="5210ADDA"/>
    <w:lvl w:ilvl="0" w:tplc="0C0A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BB2C1B"/>
    <w:multiLevelType w:val="hybridMultilevel"/>
    <w:tmpl w:val="CD0E3FD8"/>
    <w:lvl w:ilvl="0" w:tplc="B4247E3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03"/>
        </w:tabs>
        <w:ind w:left="130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23"/>
        </w:tabs>
        <w:ind w:left="202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43"/>
        </w:tabs>
        <w:ind w:left="274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63"/>
        </w:tabs>
        <w:ind w:left="346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83"/>
        </w:tabs>
        <w:ind w:left="418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03"/>
        </w:tabs>
        <w:ind w:left="490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23"/>
        </w:tabs>
        <w:ind w:left="562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43"/>
        </w:tabs>
        <w:ind w:left="634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83"/>
    <w:rsid w:val="0001222A"/>
    <w:rsid w:val="00044F38"/>
    <w:rsid w:val="001D5E54"/>
    <w:rsid w:val="001E0737"/>
    <w:rsid w:val="00232634"/>
    <w:rsid w:val="002637D8"/>
    <w:rsid w:val="003B6EBD"/>
    <w:rsid w:val="00517A01"/>
    <w:rsid w:val="00651240"/>
    <w:rsid w:val="00720383"/>
    <w:rsid w:val="007F69C9"/>
    <w:rsid w:val="008E3F30"/>
    <w:rsid w:val="009E5976"/>
    <w:rsid w:val="00A20819"/>
    <w:rsid w:val="00BD2C2D"/>
    <w:rsid w:val="00C20B7E"/>
    <w:rsid w:val="00C365BE"/>
    <w:rsid w:val="00D96E59"/>
    <w:rsid w:val="00DD43CC"/>
    <w:rsid w:val="00E6334B"/>
    <w:rsid w:val="00EA0B03"/>
    <w:rsid w:val="00EC129A"/>
    <w:rsid w:val="00F2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83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paragraph" w:styleId="Textoindependiente">
    <w:name w:val="Body Text"/>
    <w:basedOn w:val="Normal"/>
    <w:link w:val="TextoindependienteCar"/>
    <w:semiHidden/>
    <w:rsid w:val="00720383"/>
    <w:pPr>
      <w:spacing w:line="360" w:lineRule="auto"/>
      <w:jc w:val="both"/>
    </w:pPr>
    <w:rPr>
      <w:rFonts w:ascii="Bookman Old Style" w:hAnsi="Bookman Old Style"/>
      <w:color w:val="00000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20383"/>
    <w:rPr>
      <w:rFonts w:ascii="Bookman Old Style" w:hAnsi="Bookman Old Style"/>
      <w:color w:val="000000"/>
      <w:sz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1E07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83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paragraph" w:styleId="Textoindependiente">
    <w:name w:val="Body Text"/>
    <w:basedOn w:val="Normal"/>
    <w:link w:val="TextoindependienteCar"/>
    <w:semiHidden/>
    <w:rsid w:val="00720383"/>
    <w:pPr>
      <w:spacing w:line="360" w:lineRule="auto"/>
      <w:jc w:val="both"/>
    </w:pPr>
    <w:rPr>
      <w:rFonts w:ascii="Bookman Old Style" w:hAnsi="Bookman Old Style"/>
      <w:color w:val="00000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20383"/>
    <w:rPr>
      <w:rFonts w:ascii="Bookman Old Style" w:hAnsi="Bookman Old Style"/>
      <w:color w:val="000000"/>
      <w:sz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1E0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DE882-0624-4D7B-A468-9D0B06D7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732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dcterms:created xsi:type="dcterms:W3CDTF">2018-04-25T15:27:00Z</dcterms:created>
  <dcterms:modified xsi:type="dcterms:W3CDTF">2018-04-25T15:55:00Z</dcterms:modified>
</cp:coreProperties>
</file>