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F3" w:rsidRPr="00786EEB" w:rsidRDefault="00114FF3" w:rsidP="00786EEB">
      <w:pPr>
        <w:tabs>
          <w:tab w:val="center" w:pos="4253"/>
        </w:tabs>
        <w:suppressAutoHyphens/>
        <w:jc w:val="right"/>
        <w:rPr>
          <w:rFonts w:cs="Arial"/>
          <w:b/>
          <w:sz w:val="28"/>
          <w:szCs w:val="28"/>
          <w:lang w:val="es-ES_tradnl"/>
        </w:rPr>
      </w:pPr>
      <w:r>
        <w:rPr>
          <w:rFonts w:cs="Arial"/>
          <w:b/>
          <w:sz w:val="28"/>
          <w:szCs w:val="28"/>
          <w:lang w:val="es-ES_tradnl"/>
        </w:rPr>
        <w:t>RES. 1292/18</w:t>
      </w:r>
    </w:p>
    <w:p w:rsidR="00114FF3" w:rsidRDefault="00114FF3" w:rsidP="00786EEB">
      <w:pPr>
        <w:tabs>
          <w:tab w:val="center" w:pos="4253"/>
        </w:tabs>
        <w:suppressAutoHyphens/>
        <w:jc w:val="right"/>
        <w:rPr>
          <w:rFonts w:cs="Arial"/>
          <w:b/>
          <w:lang w:val="es-ES_tradnl"/>
        </w:rPr>
      </w:pPr>
    </w:p>
    <w:p w:rsidR="00114FF3" w:rsidRPr="00762B34" w:rsidRDefault="00114FF3">
      <w:pPr>
        <w:tabs>
          <w:tab w:val="center" w:pos="4253"/>
        </w:tabs>
        <w:suppressAutoHyphens/>
        <w:jc w:val="center"/>
        <w:rPr>
          <w:rFonts w:cs="Arial"/>
          <w:b/>
          <w:lang w:val="es-ES_tradnl"/>
        </w:rPr>
      </w:pPr>
      <w:r w:rsidRPr="00762B34">
        <w:rPr>
          <w:rFonts w:cs="Arial"/>
          <w:b/>
          <w:lang w:val="es-ES_tradnl"/>
        </w:rPr>
        <w:t>RESOLUCION ADOPTADA POR EL</w:t>
      </w:r>
    </w:p>
    <w:p w:rsidR="00114FF3" w:rsidRPr="00762B34" w:rsidRDefault="00114FF3">
      <w:pPr>
        <w:tabs>
          <w:tab w:val="left" w:pos="-720"/>
        </w:tabs>
        <w:suppressAutoHyphens/>
        <w:jc w:val="center"/>
        <w:rPr>
          <w:rFonts w:cs="Arial"/>
          <w:b/>
          <w:lang w:val="es-ES_tradnl"/>
        </w:rPr>
      </w:pPr>
    </w:p>
    <w:p w:rsidR="00114FF3" w:rsidRPr="00762B34" w:rsidRDefault="00114FF3">
      <w:pPr>
        <w:tabs>
          <w:tab w:val="center" w:pos="4253"/>
        </w:tabs>
        <w:suppressAutoHyphens/>
        <w:jc w:val="center"/>
        <w:rPr>
          <w:rFonts w:cs="Arial"/>
          <w:b/>
          <w:lang w:val="es-ES_tradnl"/>
        </w:rPr>
      </w:pPr>
      <w:r w:rsidRPr="00762B34">
        <w:rPr>
          <w:rFonts w:cs="Arial"/>
          <w:b/>
          <w:lang w:val="es-ES_tradnl"/>
        </w:rPr>
        <w:t>TRIBUNAL DE CUENTAS</w:t>
      </w:r>
    </w:p>
    <w:p w:rsidR="00114FF3" w:rsidRPr="00762B34" w:rsidRDefault="00114FF3">
      <w:pPr>
        <w:tabs>
          <w:tab w:val="left" w:pos="-720"/>
        </w:tabs>
        <w:suppressAutoHyphens/>
        <w:jc w:val="center"/>
        <w:rPr>
          <w:rFonts w:cs="Arial"/>
          <w:b/>
          <w:lang w:val="es-ES_tradnl"/>
        </w:rPr>
      </w:pPr>
    </w:p>
    <w:p w:rsidR="00114FF3" w:rsidRPr="00762B34" w:rsidRDefault="00114FF3">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18 DE ABRIL </w:t>
      </w:r>
      <w:r>
        <w:rPr>
          <w:rFonts w:ascii="Helvetica" w:hAnsi="Helvetica"/>
          <w:b/>
          <w:lang w:val="es-ES_tradnl"/>
        </w:rPr>
        <w:t>DE 2018</w:t>
      </w:r>
    </w:p>
    <w:p w:rsidR="00114FF3" w:rsidRPr="00762B34" w:rsidRDefault="00114FF3">
      <w:pPr>
        <w:tabs>
          <w:tab w:val="center" w:pos="4253"/>
        </w:tabs>
        <w:suppressAutoHyphens/>
        <w:jc w:val="center"/>
        <w:rPr>
          <w:rFonts w:cs="Arial"/>
          <w:b/>
          <w:lang w:val="es-ES_tradnl"/>
        </w:rPr>
      </w:pPr>
    </w:p>
    <w:p w:rsidR="00114FF3" w:rsidRPr="00AF7196" w:rsidRDefault="00114FF3">
      <w:pPr>
        <w:tabs>
          <w:tab w:val="center" w:pos="4253"/>
        </w:tabs>
        <w:suppressAutoHyphens/>
        <w:jc w:val="center"/>
        <w:rPr>
          <w:rFonts w:cs="Arial"/>
          <w:b/>
          <w:lang w:val="es-UY"/>
        </w:rPr>
      </w:pPr>
      <w:r w:rsidRPr="00AF7196">
        <w:rPr>
          <w:rFonts w:cs="Arial"/>
          <w:b/>
          <w:lang w:val="es-UY"/>
        </w:rPr>
        <w:t xml:space="preserve">(E. E. Nº 2014-17-1-0006203, </w:t>
      </w:r>
      <w:proofErr w:type="spellStart"/>
      <w:r w:rsidRPr="00AF7196">
        <w:rPr>
          <w:rFonts w:cs="Arial"/>
          <w:b/>
          <w:lang w:val="es-UY"/>
        </w:rPr>
        <w:t>Ent</w:t>
      </w:r>
      <w:proofErr w:type="spellEnd"/>
      <w:r w:rsidRPr="00AF7196">
        <w:rPr>
          <w:rFonts w:cs="Arial"/>
          <w:b/>
          <w:lang w:val="es-UY"/>
        </w:rPr>
        <w:t>. N° 1488/18)</w:t>
      </w:r>
    </w:p>
    <w:p w:rsidR="00114FF3" w:rsidRPr="00AF7196" w:rsidRDefault="00114FF3">
      <w:pPr>
        <w:tabs>
          <w:tab w:val="center" w:pos="4253"/>
        </w:tabs>
        <w:suppressAutoHyphens/>
        <w:jc w:val="center"/>
        <w:rPr>
          <w:rFonts w:ascii="Helvetica" w:hAnsi="Helvetica"/>
          <w:b/>
          <w:lang w:val="es-UY"/>
        </w:rPr>
      </w:pPr>
    </w:p>
    <w:p w:rsidR="00114FF3" w:rsidRPr="00AF7196" w:rsidRDefault="00114FF3">
      <w:pPr>
        <w:rPr>
          <w:lang w:val="es-UY"/>
        </w:rPr>
      </w:pPr>
    </w:p>
    <w:p w:rsidR="009E5BB6" w:rsidRDefault="00404A21" w:rsidP="00114FF3">
      <w:pPr>
        <w:pStyle w:val="Textoindependiente"/>
        <w:spacing w:line="360" w:lineRule="auto"/>
        <w:ind w:firstLine="708"/>
      </w:pPr>
      <w:r>
        <w:rPr>
          <w:b/>
          <w:bCs/>
        </w:rPr>
        <w:t>VISTO:</w:t>
      </w:r>
      <w:r>
        <w:t xml:space="preserve"> estos antecedentes remitidos por la Universidad Tecnológica  (UTEC), rela</w:t>
      </w:r>
      <w:r w:rsidR="009E5BB6">
        <w:t>cionados con el contrato de fideicomiso celebrado con la Corporación Nacional para el Desarrollo</w:t>
      </w:r>
      <w:r w:rsidR="00656B9B">
        <w:t xml:space="preserve"> (CND)</w:t>
      </w:r>
      <w:r w:rsidR="009E5BB6">
        <w:t>, para contribuir al crecimiento, mejoramiento y rehabilitación de la infraestructura edilicia educativa pública de la UTEC;</w:t>
      </w:r>
    </w:p>
    <w:p w:rsidR="00404A21" w:rsidRDefault="00404A21" w:rsidP="00114FF3">
      <w:pPr>
        <w:pStyle w:val="Textoindependiente"/>
        <w:spacing w:line="360" w:lineRule="auto"/>
        <w:ind w:firstLine="709"/>
      </w:pPr>
      <w:r>
        <w:rPr>
          <w:b/>
          <w:bCs/>
        </w:rPr>
        <w:t xml:space="preserve">RESULTANDO: 1) </w:t>
      </w:r>
      <w:r>
        <w:t xml:space="preserve">que este Tribunal en </w:t>
      </w:r>
      <w:r w:rsidR="00C51586">
        <w:t>S</w:t>
      </w:r>
      <w:r>
        <w:t>esión de fecha 10 de setiembre de 2014</w:t>
      </w:r>
      <w:r w:rsidR="00C51586">
        <w:t>,</w:t>
      </w:r>
      <w:r>
        <w:t xml:space="preserve"> acordó no formular observaciones al contrato de fideicomiso celebrado entre la Universidad Tecnológica y la CND </w:t>
      </w:r>
      <w:r w:rsidR="009E5BB6">
        <w:t>cuya finalidad consiste en</w:t>
      </w:r>
      <w:r>
        <w:t xml:space="preserve"> contribuir al crecimiento, mejoramiento y rehabilitación de la infraestructura edilicia educativa pública de la UTEC;</w:t>
      </w:r>
    </w:p>
    <w:p w:rsidR="0021511A" w:rsidRDefault="00404A21" w:rsidP="00114FF3">
      <w:pPr>
        <w:spacing w:line="360" w:lineRule="auto"/>
        <w:ind w:firstLine="2694"/>
        <w:jc w:val="both"/>
      </w:pPr>
      <w:r w:rsidRPr="00F41ECA">
        <w:rPr>
          <w:b/>
        </w:rPr>
        <w:t>2)</w:t>
      </w:r>
      <w:r>
        <w:t xml:space="preserve"> que en esta oportunidad</w:t>
      </w:r>
      <w:r w:rsidR="00C51586">
        <w:t>,</w:t>
      </w:r>
      <w:r>
        <w:t xml:space="preserve"> se remite</w:t>
      </w:r>
      <w:r w:rsidR="00C51586">
        <w:t xml:space="preserve"> para su intervención una</w:t>
      </w:r>
      <w:r>
        <w:t xml:space="preserve"> modificación del contrato  de fideicomiso referido, por intermedio de la cual se </w:t>
      </w:r>
      <w:r w:rsidR="00C51586">
        <w:t>realizan ajustes en sus</w:t>
      </w:r>
      <w:r>
        <w:t xml:space="preserve"> </w:t>
      </w:r>
      <w:r w:rsidR="00F41ECA">
        <w:t>cláusulas</w:t>
      </w:r>
      <w:r>
        <w:t xml:space="preserve"> PRIMER</w:t>
      </w:r>
      <w:r w:rsidR="00C51586">
        <w:t>A</w:t>
      </w:r>
      <w:r>
        <w:t xml:space="preserve"> (Antecedentes), TERCER</w:t>
      </w:r>
      <w:r w:rsidR="00C51586">
        <w:t>A</w:t>
      </w:r>
      <w:r>
        <w:t xml:space="preserve"> (Finalidad del Fideicomiso) y SEXT</w:t>
      </w:r>
      <w:r w:rsidR="00C51586">
        <w:t>A</w:t>
      </w:r>
      <w:r>
        <w:t xml:space="preserve"> (Administración fiduciaria)</w:t>
      </w:r>
      <w:r w:rsidR="00C51586">
        <w:t>;</w:t>
      </w:r>
      <w:r>
        <w:t xml:space="preserve"> </w:t>
      </w:r>
    </w:p>
    <w:p w:rsidR="00404A21" w:rsidRDefault="00404A21" w:rsidP="00114FF3">
      <w:pPr>
        <w:spacing w:line="360" w:lineRule="auto"/>
        <w:ind w:firstLine="2694"/>
        <w:jc w:val="both"/>
      </w:pPr>
      <w:r w:rsidRPr="00F41ECA">
        <w:rPr>
          <w:b/>
        </w:rPr>
        <w:t>3)</w:t>
      </w:r>
      <w:r>
        <w:t xml:space="preserve"> que en tal sentido, se</w:t>
      </w:r>
      <w:r w:rsidR="00C51586">
        <w:t xml:space="preserve"> ha </w:t>
      </w:r>
      <w:r>
        <w:t xml:space="preserve"> agr</w:t>
      </w:r>
      <w:r w:rsidR="00F41ECA">
        <w:t>e</w:t>
      </w:r>
      <w:r>
        <w:t>g</w:t>
      </w:r>
      <w:r w:rsidR="00F41ECA">
        <w:t>ado e</w:t>
      </w:r>
      <w:r w:rsidR="00C51586">
        <w:t>n</w:t>
      </w:r>
      <w:r>
        <w:t xml:space="preserve"> la </w:t>
      </w:r>
      <w:r w:rsidR="00F41ECA">
        <w:t>cláusula</w:t>
      </w:r>
      <w:r>
        <w:t xml:space="preserve"> PRIMER</w:t>
      </w:r>
      <w:r w:rsidR="00C51586">
        <w:t>A</w:t>
      </w:r>
      <w:r>
        <w:t xml:space="preserve"> (</w:t>
      </w:r>
      <w:r w:rsidR="00F41ECA">
        <w:t>Antecedentes</w:t>
      </w:r>
      <w:r>
        <w:t>)</w:t>
      </w:r>
      <w:r w:rsidR="00C51586">
        <w:t>,</w:t>
      </w:r>
      <w:r>
        <w:t xml:space="preserve">  una referencia a la autorización dispuesta en el </w:t>
      </w:r>
      <w:r w:rsidR="00114FF3">
        <w:t>A</w:t>
      </w:r>
      <w:r w:rsidR="00F41ECA">
        <w:t>rtículo</w:t>
      </w:r>
      <w:r>
        <w:t xml:space="preserve"> 615 de la Ley 19.355 para la utilización</w:t>
      </w:r>
      <w:r w:rsidR="009E5BB6">
        <w:t xml:space="preserve"> del Fondo de Infraestructura Pú</w:t>
      </w:r>
      <w:r>
        <w:t xml:space="preserve">blica – UTEC, creado por el </w:t>
      </w:r>
      <w:r w:rsidR="00114FF3">
        <w:t>A</w:t>
      </w:r>
      <w:r w:rsidR="00F41ECA">
        <w:t>rtículo</w:t>
      </w:r>
      <w:r>
        <w:t xml:space="preserve"> 346 de la Ley 19.149</w:t>
      </w:r>
      <w:r w:rsidR="000B5985">
        <w:t>, para la fin</w:t>
      </w:r>
      <w:r w:rsidR="00F41ECA">
        <w:t>an</w:t>
      </w:r>
      <w:r w:rsidR="000B5985">
        <w:t>ci</w:t>
      </w:r>
      <w:r w:rsidR="00F41ECA">
        <w:t>ació</w:t>
      </w:r>
      <w:r w:rsidR="000B5985">
        <w:t xml:space="preserve">n de la </w:t>
      </w:r>
      <w:r w:rsidR="00F41ECA">
        <w:t>adquisición</w:t>
      </w:r>
      <w:r w:rsidR="000B5985">
        <w:t xml:space="preserve"> de mobiliario y equipamiento destinado a centros educativos;</w:t>
      </w:r>
    </w:p>
    <w:p w:rsidR="000B5985" w:rsidRDefault="000B5985" w:rsidP="00114FF3">
      <w:pPr>
        <w:spacing w:line="360" w:lineRule="auto"/>
        <w:ind w:firstLine="2694"/>
        <w:jc w:val="both"/>
      </w:pPr>
      <w:r w:rsidRPr="00F41ECA">
        <w:rPr>
          <w:b/>
        </w:rPr>
        <w:lastRenderedPageBreak/>
        <w:t>4)</w:t>
      </w:r>
      <w:r>
        <w:t xml:space="preserve"> que asimismo, en la </w:t>
      </w:r>
      <w:r w:rsidR="00F41ECA">
        <w:t>cláusula</w:t>
      </w:r>
      <w:r w:rsidR="009E5BB6">
        <w:t xml:space="preserve"> TERCERA</w:t>
      </w:r>
      <w:r>
        <w:t xml:space="preserve"> (Finalidad del F</w:t>
      </w:r>
      <w:r w:rsidR="00C51586">
        <w:t>ideicomiso</w:t>
      </w:r>
      <w:r>
        <w:t>)</w:t>
      </w:r>
      <w:r w:rsidR="00C51586">
        <w:t>,</w:t>
      </w:r>
      <w:r>
        <w:t xml:space="preserve"> se agreg</w:t>
      </w:r>
      <w:r w:rsidR="00656B9B">
        <w:t>ó</w:t>
      </w:r>
      <w:r>
        <w:t xml:space="preserve"> como </w:t>
      </w:r>
      <w:r w:rsidR="00F41ECA">
        <w:t>finalidad</w:t>
      </w:r>
      <w:r>
        <w:t xml:space="preserve"> del fideicomiso</w:t>
      </w:r>
      <w:r w:rsidR="00C51586">
        <w:t>,</w:t>
      </w:r>
      <w:r>
        <w:t xml:space="preserve">  la realización del suministro y adquisición de mobiliario y </w:t>
      </w:r>
      <w:r w:rsidR="00F41ECA">
        <w:t>equipamiento</w:t>
      </w:r>
      <w:r>
        <w:t xml:space="preserve"> </w:t>
      </w:r>
      <w:r w:rsidR="00F41ECA">
        <w:t>requerido</w:t>
      </w:r>
      <w:r>
        <w:t xml:space="preserve"> para su desarrollo y destinado a centros educativos, previa instrucción de la UTEC</w:t>
      </w:r>
      <w:r w:rsidR="00B449D8">
        <w:t>;</w:t>
      </w:r>
    </w:p>
    <w:p w:rsidR="00B449D8" w:rsidRDefault="009E5BB6" w:rsidP="00114FF3">
      <w:pPr>
        <w:spacing w:line="360" w:lineRule="auto"/>
        <w:ind w:firstLine="2694"/>
        <w:jc w:val="both"/>
        <w:rPr>
          <w:i/>
        </w:rPr>
      </w:pPr>
      <w:r w:rsidRPr="009E5BB6">
        <w:rPr>
          <w:b/>
        </w:rPr>
        <w:t>5</w:t>
      </w:r>
      <w:r w:rsidR="00B449D8" w:rsidRPr="009E5BB6">
        <w:rPr>
          <w:b/>
        </w:rPr>
        <w:t>)</w:t>
      </w:r>
      <w:r w:rsidR="00B449D8">
        <w:t xml:space="preserve"> que por su parte, </w:t>
      </w:r>
      <w:r w:rsidR="00F41ECA">
        <w:t xml:space="preserve">se ha modificado </w:t>
      </w:r>
      <w:r w:rsidR="00B449D8">
        <w:t xml:space="preserve"> </w:t>
      </w:r>
      <w:r w:rsidR="00F41ECA">
        <w:t xml:space="preserve">el literal d) </w:t>
      </w:r>
      <w:r w:rsidR="00B449D8">
        <w:t xml:space="preserve">la </w:t>
      </w:r>
      <w:r w:rsidR="00F41ECA">
        <w:t>cláusula</w:t>
      </w:r>
      <w:r w:rsidR="00B449D8">
        <w:t xml:space="preserve"> SEXT</w:t>
      </w:r>
      <w:r>
        <w:t>A</w:t>
      </w:r>
      <w:r w:rsidR="00B449D8">
        <w:t xml:space="preserve"> (</w:t>
      </w:r>
      <w:r w:rsidR="00F41ECA">
        <w:t>Administración</w:t>
      </w:r>
      <w:r w:rsidR="00B449D8">
        <w:t xml:space="preserve"> fiduciaria)</w:t>
      </w:r>
      <w:r w:rsidR="00F41ECA">
        <w:t>, incorporándose al mismo lo siguiente “…</w:t>
      </w:r>
      <w:r w:rsidR="00F41ECA" w:rsidRPr="00C51586">
        <w:rPr>
          <w:i/>
        </w:rPr>
        <w:t>Sin perjuicio de lo antedicho, y por razones de buena administración, determinadas compras de equipamiento especializado, arrendamiento y/o contrataciones especificas podrán hacerse en forma directa, debiendo fundamentarse debidamente las razones de conveniencia para realizarlo de dicha manera. En todos los casos, la Fiduciaria deberá requerir la previa conformidad del Fideicomitente, previo asesoramiento de la Fiduciaria junto con y/o a través de sus asesores externos, respecto de cada pliego y llamado antes de su publicación</w:t>
      </w:r>
      <w:r w:rsidR="00C51586">
        <w:rPr>
          <w:i/>
        </w:rPr>
        <w:t>, así como de cada adjudicació</w:t>
      </w:r>
      <w:r w:rsidR="00C51586" w:rsidRPr="00C51586">
        <w:rPr>
          <w:i/>
        </w:rPr>
        <w:t>n</w:t>
      </w:r>
      <w:r w:rsidR="00F41ECA" w:rsidRPr="00C51586">
        <w:rPr>
          <w:i/>
        </w:rPr>
        <w:t xml:space="preserve"> y/o contratación. La conformidad previa deber ser manifestada por intermedio de la “CONTRAPARTE TÉCNICA” establecida en la cláusula NOVENO del presente contrato. La fiduciaria realizar</w:t>
      </w:r>
      <w:r w:rsidR="00C51586">
        <w:rPr>
          <w:i/>
        </w:rPr>
        <w:t>á</w:t>
      </w:r>
      <w:r w:rsidR="00F41ECA" w:rsidRPr="00C51586">
        <w:rPr>
          <w:i/>
        </w:rPr>
        <w:t xml:space="preserve"> todos los llamados y/o contrataciones de acuerdo a lo que sea instruido por la Fideicomitente</w:t>
      </w:r>
      <w:r w:rsidR="00C51586">
        <w:rPr>
          <w:i/>
        </w:rPr>
        <w:t>…”</w:t>
      </w:r>
      <w:r w:rsidR="00F41ECA" w:rsidRPr="00C51586">
        <w:rPr>
          <w:i/>
        </w:rPr>
        <w:t>:</w:t>
      </w:r>
    </w:p>
    <w:p w:rsidR="00AF4D9B" w:rsidRDefault="00242976" w:rsidP="00114FF3">
      <w:pPr>
        <w:spacing w:line="360" w:lineRule="auto"/>
        <w:ind w:firstLine="709"/>
        <w:jc w:val="both"/>
        <w:rPr>
          <w:rFonts w:cs="Arial"/>
        </w:rPr>
      </w:pPr>
      <w:r>
        <w:rPr>
          <w:rFonts w:cs="Arial"/>
          <w:b/>
        </w:rPr>
        <w:t>CONSIDERANDO</w:t>
      </w:r>
      <w:r>
        <w:rPr>
          <w:rFonts w:cs="Arial"/>
        </w:rPr>
        <w:t xml:space="preserve">: </w:t>
      </w:r>
      <w:r>
        <w:rPr>
          <w:rFonts w:cs="Arial"/>
          <w:b/>
          <w:bCs/>
        </w:rPr>
        <w:t>1)</w:t>
      </w:r>
      <w:r>
        <w:rPr>
          <w:rFonts w:cs="Arial"/>
        </w:rPr>
        <w:t xml:space="preserve">  que el </w:t>
      </w:r>
      <w:r w:rsidR="00114FF3">
        <w:rPr>
          <w:rFonts w:cs="Arial"/>
        </w:rPr>
        <w:t>A</w:t>
      </w:r>
      <w:r>
        <w:rPr>
          <w:rFonts w:cs="Arial"/>
        </w:rPr>
        <w:t xml:space="preserve">rtículo 346 de la Ley 19.149 </w:t>
      </w:r>
      <w:r w:rsidR="00E911F1" w:rsidRPr="00C65DB8">
        <w:t>de</w:t>
      </w:r>
      <w:r w:rsidR="00E911F1">
        <w:t>l</w:t>
      </w:r>
      <w:r w:rsidR="00E911F1" w:rsidRPr="00C65DB8">
        <w:t xml:space="preserve"> 24 de octubre de 2013</w:t>
      </w:r>
      <w:r w:rsidR="00E911F1">
        <w:t xml:space="preserve">, </w:t>
      </w:r>
      <w:r>
        <w:rPr>
          <w:rFonts w:cs="Arial"/>
        </w:rPr>
        <w:t>faculta a la UTEC a construir el Fondo de Infraestructura Pública – UTEC</w:t>
      </w:r>
      <w:r w:rsidR="009E5BB6">
        <w:rPr>
          <w:rFonts w:cs="Arial"/>
        </w:rPr>
        <w:t>,</w:t>
      </w:r>
      <w:r>
        <w:rPr>
          <w:rFonts w:cs="Arial"/>
        </w:rPr>
        <w:t xml:space="preserve"> con el objeto de contribuir al crecimiento, mejoramiento y rehabilitación de la infra</w:t>
      </w:r>
      <w:r w:rsidR="009E5BB6">
        <w:rPr>
          <w:rFonts w:cs="Arial"/>
        </w:rPr>
        <w:t>estructura edilicia educativa pú</w:t>
      </w:r>
      <w:r>
        <w:rPr>
          <w:rFonts w:cs="Arial"/>
        </w:rPr>
        <w:t>blica, estableciéndose que dicho Fondo será</w:t>
      </w:r>
      <w:r w:rsidR="00AF4D9B">
        <w:rPr>
          <w:rFonts w:cs="Arial"/>
        </w:rPr>
        <w:t xml:space="preserve"> administrado por la </w:t>
      </w:r>
      <w:r w:rsidR="0054509F">
        <w:rPr>
          <w:rFonts w:cs="Arial"/>
        </w:rPr>
        <w:t>C</w:t>
      </w:r>
      <w:r w:rsidR="00692F72">
        <w:rPr>
          <w:rFonts w:cs="Arial"/>
        </w:rPr>
        <w:t>ND</w:t>
      </w:r>
      <w:r w:rsidR="00AF4D9B">
        <w:rPr>
          <w:rFonts w:cs="Arial"/>
        </w:rPr>
        <w:t>;</w:t>
      </w:r>
    </w:p>
    <w:p w:rsidR="00AF4D9B" w:rsidRDefault="00AF4D9B" w:rsidP="00114FF3">
      <w:pPr>
        <w:spacing w:line="360" w:lineRule="auto"/>
        <w:ind w:firstLine="2835"/>
        <w:jc w:val="both"/>
        <w:rPr>
          <w:rFonts w:cs="Arial"/>
        </w:rPr>
      </w:pPr>
      <w:r w:rsidRPr="00692F72">
        <w:rPr>
          <w:rFonts w:cs="Arial"/>
          <w:b/>
        </w:rPr>
        <w:t>2)</w:t>
      </w:r>
      <w:r>
        <w:rPr>
          <w:rFonts w:cs="Arial"/>
        </w:rPr>
        <w:t xml:space="preserve"> que </w:t>
      </w:r>
      <w:r w:rsidR="0054509F">
        <w:rPr>
          <w:rFonts w:cs="Arial"/>
        </w:rPr>
        <w:t>asimismo</w:t>
      </w:r>
      <w:r w:rsidR="00242976">
        <w:rPr>
          <w:rFonts w:cs="Arial"/>
        </w:rPr>
        <w:t>,</w:t>
      </w:r>
      <w:r>
        <w:rPr>
          <w:rFonts w:cs="Arial"/>
        </w:rPr>
        <w:t xml:space="preserve"> la norma  que vien</w:t>
      </w:r>
      <w:r w:rsidR="00692F72">
        <w:rPr>
          <w:rFonts w:cs="Arial"/>
        </w:rPr>
        <w:t>e</w:t>
      </w:r>
      <w:r>
        <w:rPr>
          <w:rFonts w:cs="Arial"/>
        </w:rPr>
        <w:t xml:space="preserve"> de re</w:t>
      </w:r>
      <w:r w:rsidR="00692F72">
        <w:rPr>
          <w:rFonts w:cs="Arial"/>
        </w:rPr>
        <w:t>fe</w:t>
      </w:r>
      <w:r>
        <w:rPr>
          <w:rFonts w:cs="Arial"/>
        </w:rPr>
        <w:t xml:space="preserve">rirse establece </w:t>
      </w:r>
      <w:r w:rsidR="00692F72">
        <w:rPr>
          <w:rFonts w:cs="Arial"/>
        </w:rPr>
        <w:t>q</w:t>
      </w:r>
      <w:r>
        <w:rPr>
          <w:rFonts w:cs="Arial"/>
        </w:rPr>
        <w:t>u</w:t>
      </w:r>
      <w:r w:rsidR="00692F72">
        <w:rPr>
          <w:rFonts w:cs="Arial"/>
        </w:rPr>
        <w:t>e</w:t>
      </w:r>
      <w:r>
        <w:rPr>
          <w:rFonts w:cs="Arial"/>
        </w:rPr>
        <w:t xml:space="preserve"> la </w:t>
      </w:r>
      <w:r w:rsidR="00692F72">
        <w:rPr>
          <w:rFonts w:cs="Arial"/>
        </w:rPr>
        <w:t>CND</w:t>
      </w:r>
      <w:r>
        <w:rPr>
          <w:rFonts w:cs="Arial"/>
        </w:rPr>
        <w:t>, al ejercer la administración del Fondo menciona</w:t>
      </w:r>
      <w:r w:rsidR="00692F72">
        <w:rPr>
          <w:rFonts w:cs="Arial"/>
        </w:rPr>
        <w:t>d</w:t>
      </w:r>
      <w:r>
        <w:rPr>
          <w:rFonts w:cs="Arial"/>
        </w:rPr>
        <w:t xml:space="preserve">o,  se ajustará estrictamente a las directivas de la UTEC y </w:t>
      </w:r>
      <w:r w:rsidR="00242976">
        <w:rPr>
          <w:rFonts w:cs="Arial"/>
        </w:rPr>
        <w:t>“</w:t>
      </w:r>
      <w:r w:rsidR="00242976" w:rsidRPr="00692F72">
        <w:rPr>
          <w:rFonts w:cs="Arial"/>
          <w:i/>
        </w:rPr>
        <w:t xml:space="preserve">realizará todas las contrataciones mediante </w:t>
      </w:r>
      <w:r w:rsidR="00692F72" w:rsidRPr="00692F72">
        <w:rPr>
          <w:rFonts w:cs="Arial"/>
          <w:i/>
        </w:rPr>
        <w:t>procedimientos</w:t>
      </w:r>
      <w:r w:rsidR="00242976" w:rsidRPr="00692F72">
        <w:rPr>
          <w:rFonts w:cs="Arial"/>
          <w:i/>
        </w:rPr>
        <w:t xml:space="preserve"> </w:t>
      </w:r>
      <w:r w:rsidR="00692F72" w:rsidRPr="00692F72">
        <w:rPr>
          <w:rFonts w:cs="Arial"/>
          <w:i/>
        </w:rPr>
        <w:t>competitivos</w:t>
      </w:r>
      <w:r w:rsidR="00242976" w:rsidRPr="00692F72">
        <w:rPr>
          <w:rFonts w:cs="Arial"/>
          <w:i/>
        </w:rPr>
        <w:t xml:space="preserve"> que aseguren el </w:t>
      </w:r>
      <w:r w:rsidR="00692F72" w:rsidRPr="00692F72">
        <w:rPr>
          <w:rFonts w:cs="Arial"/>
          <w:i/>
        </w:rPr>
        <w:t>cumplimiento</w:t>
      </w:r>
      <w:r w:rsidR="00242976" w:rsidRPr="00692F72">
        <w:rPr>
          <w:rFonts w:cs="Arial"/>
          <w:i/>
        </w:rPr>
        <w:t xml:space="preserve"> de los pri</w:t>
      </w:r>
      <w:r w:rsidR="00692F72" w:rsidRPr="00692F72">
        <w:rPr>
          <w:rFonts w:cs="Arial"/>
          <w:i/>
        </w:rPr>
        <w:t>n</w:t>
      </w:r>
      <w:r w:rsidR="00242976" w:rsidRPr="00692F72">
        <w:rPr>
          <w:rFonts w:cs="Arial"/>
          <w:i/>
        </w:rPr>
        <w:t>c</w:t>
      </w:r>
      <w:r w:rsidR="00692F72" w:rsidRPr="00692F72">
        <w:rPr>
          <w:rFonts w:cs="Arial"/>
          <w:i/>
        </w:rPr>
        <w:t>i</w:t>
      </w:r>
      <w:r w:rsidR="00242976" w:rsidRPr="00692F72">
        <w:rPr>
          <w:rFonts w:cs="Arial"/>
          <w:i/>
        </w:rPr>
        <w:t xml:space="preserve">pio de </w:t>
      </w:r>
      <w:r w:rsidR="00692F72" w:rsidRPr="00692F72">
        <w:rPr>
          <w:rFonts w:cs="Arial"/>
          <w:i/>
        </w:rPr>
        <w:t>publicidad</w:t>
      </w:r>
      <w:r w:rsidR="00242976" w:rsidRPr="00692F72">
        <w:rPr>
          <w:rFonts w:cs="Arial"/>
          <w:i/>
        </w:rPr>
        <w:t xml:space="preserve"> e igualdad de los </w:t>
      </w:r>
      <w:r w:rsidR="00692F72" w:rsidRPr="00692F72">
        <w:rPr>
          <w:rFonts w:cs="Arial"/>
          <w:i/>
        </w:rPr>
        <w:t>oferentes</w:t>
      </w:r>
      <w:r w:rsidRPr="00692F72">
        <w:rPr>
          <w:rFonts w:cs="Arial"/>
          <w:i/>
        </w:rPr>
        <w:t xml:space="preserve">, sin </w:t>
      </w:r>
      <w:r w:rsidRPr="00692F72">
        <w:rPr>
          <w:rFonts w:cs="Arial"/>
          <w:i/>
        </w:rPr>
        <w:lastRenderedPageBreak/>
        <w:t xml:space="preserve">perjuicio de lo </w:t>
      </w:r>
      <w:r w:rsidR="00692F72" w:rsidRPr="00692F72">
        <w:rPr>
          <w:rFonts w:cs="Arial"/>
          <w:i/>
        </w:rPr>
        <w:t>establecido</w:t>
      </w:r>
      <w:r w:rsidRPr="00692F72">
        <w:rPr>
          <w:rFonts w:cs="Arial"/>
          <w:i/>
        </w:rPr>
        <w:t xml:space="preserve"> en el </w:t>
      </w:r>
      <w:r w:rsidR="00692F72" w:rsidRPr="00692F72">
        <w:rPr>
          <w:rFonts w:cs="Arial"/>
          <w:i/>
        </w:rPr>
        <w:t>artículo</w:t>
      </w:r>
      <w:r w:rsidRPr="00692F72">
        <w:rPr>
          <w:rFonts w:cs="Arial"/>
          <w:i/>
        </w:rPr>
        <w:t xml:space="preserve"> 132 del Texto Ordenado de </w:t>
      </w:r>
      <w:r w:rsidR="00692F72" w:rsidRPr="00692F72">
        <w:rPr>
          <w:rFonts w:cs="Arial"/>
          <w:i/>
        </w:rPr>
        <w:t>Contabilidad</w:t>
      </w:r>
      <w:r w:rsidRPr="00692F72">
        <w:rPr>
          <w:rFonts w:cs="Arial"/>
          <w:i/>
        </w:rPr>
        <w:t xml:space="preserve"> </w:t>
      </w:r>
      <w:r w:rsidR="00692F72" w:rsidRPr="00692F72">
        <w:rPr>
          <w:rFonts w:cs="Arial"/>
          <w:i/>
        </w:rPr>
        <w:t>Financiera</w:t>
      </w:r>
      <w:r>
        <w:rPr>
          <w:rFonts w:cs="Arial"/>
        </w:rPr>
        <w:t>…</w:t>
      </w:r>
      <w:r w:rsidR="00242976">
        <w:rPr>
          <w:rFonts w:cs="Arial"/>
        </w:rPr>
        <w:t>”;</w:t>
      </w:r>
    </w:p>
    <w:p w:rsidR="00692F72" w:rsidRPr="00692F72" w:rsidRDefault="00AF4D9B" w:rsidP="00114FF3">
      <w:pPr>
        <w:spacing w:line="360" w:lineRule="auto"/>
        <w:ind w:firstLine="2835"/>
        <w:jc w:val="both"/>
      </w:pPr>
      <w:r w:rsidRPr="00692F72">
        <w:rPr>
          <w:rFonts w:cs="Arial"/>
          <w:b/>
        </w:rPr>
        <w:t>3)</w:t>
      </w:r>
      <w:r w:rsidR="00242976">
        <w:rPr>
          <w:rFonts w:cs="Arial"/>
        </w:rPr>
        <w:t xml:space="preserve"> </w:t>
      </w:r>
      <w:r>
        <w:rPr>
          <w:rFonts w:cs="Arial"/>
        </w:rPr>
        <w:t xml:space="preserve">que </w:t>
      </w:r>
      <w:r w:rsidR="0054509F">
        <w:rPr>
          <w:rFonts w:cs="Arial"/>
        </w:rPr>
        <w:t xml:space="preserve">la </w:t>
      </w:r>
      <w:r w:rsidR="00692F72">
        <w:rPr>
          <w:rFonts w:cs="Arial"/>
        </w:rPr>
        <w:t>cláusula</w:t>
      </w:r>
      <w:r w:rsidR="0054509F">
        <w:rPr>
          <w:rFonts w:cs="Arial"/>
        </w:rPr>
        <w:t xml:space="preserve"> </w:t>
      </w:r>
      <w:r w:rsidR="009E5BB6">
        <w:rPr>
          <w:rFonts w:cs="Arial"/>
        </w:rPr>
        <w:t>SEXTA</w:t>
      </w:r>
      <w:r w:rsidR="0054509F">
        <w:rPr>
          <w:rFonts w:cs="Arial"/>
        </w:rPr>
        <w:t xml:space="preserve"> (</w:t>
      </w:r>
      <w:r w:rsidR="00692F72">
        <w:rPr>
          <w:rFonts w:cs="Arial"/>
        </w:rPr>
        <w:t>Administración</w:t>
      </w:r>
      <w:r w:rsidR="0054509F">
        <w:rPr>
          <w:rFonts w:cs="Arial"/>
        </w:rPr>
        <w:t xml:space="preserve"> fiduciaria) </w:t>
      </w:r>
      <w:r w:rsidR="007E24AE">
        <w:rPr>
          <w:rFonts w:cs="Arial"/>
        </w:rPr>
        <w:t xml:space="preserve">del </w:t>
      </w:r>
      <w:r w:rsidR="0054509F">
        <w:t>contrato de fideicomiso celebrado entre la U</w:t>
      </w:r>
      <w:r w:rsidR="009E5BB6">
        <w:t>TEC</w:t>
      </w:r>
      <w:r w:rsidR="0054509F">
        <w:t xml:space="preserve"> y la CND, en su nueva redacción remitida en esta oportunidad, establece la posibilidad  </w:t>
      </w:r>
      <w:r w:rsidR="007E24AE">
        <w:t>de que la</w:t>
      </w:r>
      <w:r w:rsidR="0054509F">
        <w:t xml:space="preserve"> Fiduciar</w:t>
      </w:r>
      <w:r w:rsidR="007E24AE">
        <w:t>ia (CND),</w:t>
      </w:r>
      <w:r w:rsidR="0054509F">
        <w:t xml:space="preserve">  </w:t>
      </w:r>
      <w:r w:rsidR="0054509F" w:rsidRPr="00692F72">
        <w:t xml:space="preserve">por razones de buena administración, </w:t>
      </w:r>
      <w:r w:rsidR="007E24AE" w:rsidRPr="00692F72">
        <w:t>realice</w:t>
      </w:r>
      <w:r w:rsidR="009E5BB6">
        <w:t xml:space="preserve"> en forma directa</w:t>
      </w:r>
      <w:r w:rsidR="007E24AE" w:rsidRPr="00692F72">
        <w:t xml:space="preserve"> </w:t>
      </w:r>
      <w:r w:rsidR="0054509F" w:rsidRPr="00692F72">
        <w:t xml:space="preserve">determinadas compras de equipamiento especializado, arrendamiento y/o contrataciones </w:t>
      </w:r>
      <w:r w:rsidR="009E5BB6" w:rsidRPr="00692F72">
        <w:t>específicas</w:t>
      </w:r>
      <w:r w:rsidR="009E5BB6">
        <w:t>,</w:t>
      </w:r>
      <w:r w:rsidR="007E24AE" w:rsidRPr="00692F72">
        <w:t xml:space="preserve"> lo cual vulnera lo dispuesto en el </w:t>
      </w:r>
      <w:r w:rsidR="00114FF3">
        <w:t>A</w:t>
      </w:r>
      <w:r w:rsidR="00692F72" w:rsidRPr="00692F72">
        <w:t>rtículo</w:t>
      </w:r>
      <w:r w:rsidR="007E24AE" w:rsidRPr="00692F72">
        <w:t xml:space="preserve"> 346 de la Ley 19.149 siendo que ésta última norma establece que la CND</w:t>
      </w:r>
      <w:r w:rsidR="00C65DB8">
        <w:t>,</w:t>
      </w:r>
      <w:r w:rsidR="007E24AE" w:rsidRPr="00692F72">
        <w:t xml:space="preserve"> al ejercer </w:t>
      </w:r>
      <w:r w:rsidR="00183EC1" w:rsidRPr="00692F72">
        <w:t xml:space="preserve">la </w:t>
      </w:r>
      <w:r w:rsidR="00692F72" w:rsidRPr="00692F72">
        <w:t>administración</w:t>
      </w:r>
      <w:r w:rsidR="00542369" w:rsidRPr="00692F72">
        <w:t xml:space="preserve"> </w:t>
      </w:r>
      <w:r w:rsidR="00183EC1" w:rsidRPr="00692F72">
        <w:t>del Fondo referido</w:t>
      </w:r>
      <w:r w:rsidR="00C65DB8">
        <w:t>,</w:t>
      </w:r>
      <w:r w:rsidR="00542369" w:rsidRPr="00692F72">
        <w:t xml:space="preserve"> deberá </w:t>
      </w:r>
      <w:r w:rsidR="00656B9B">
        <w:t xml:space="preserve">necesariamente </w:t>
      </w:r>
      <w:r w:rsidR="00542369" w:rsidRPr="00692F72">
        <w:t xml:space="preserve">realizar todas las </w:t>
      </w:r>
      <w:r w:rsidR="00692F72" w:rsidRPr="00692F72">
        <w:t>contrataciones</w:t>
      </w:r>
      <w:r w:rsidR="00542369" w:rsidRPr="00692F72">
        <w:t xml:space="preserve"> mediante </w:t>
      </w:r>
      <w:r w:rsidR="00692F72" w:rsidRPr="00692F72">
        <w:t>procedimientos</w:t>
      </w:r>
      <w:r w:rsidR="00542369" w:rsidRPr="00692F72">
        <w:t xml:space="preserve"> competitivos</w:t>
      </w:r>
      <w:r w:rsidR="00692F72" w:rsidRPr="00692F72">
        <w:t>;</w:t>
      </w:r>
    </w:p>
    <w:p w:rsidR="00AF4D9B" w:rsidRDefault="00AF4D9B" w:rsidP="00114FF3">
      <w:pPr>
        <w:spacing w:line="360" w:lineRule="auto"/>
        <w:ind w:firstLine="2835"/>
        <w:jc w:val="both"/>
        <w:rPr>
          <w:i/>
        </w:rPr>
      </w:pPr>
      <w:r w:rsidRPr="00692F72">
        <w:rPr>
          <w:rFonts w:cs="Arial"/>
          <w:b/>
          <w:bCs/>
        </w:rPr>
        <w:t>4</w:t>
      </w:r>
      <w:r w:rsidR="00242976" w:rsidRPr="00692F72">
        <w:rPr>
          <w:rFonts w:cs="Arial"/>
          <w:b/>
          <w:bCs/>
        </w:rPr>
        <w:t>)</w:t>
      </w:r>
      <w:r w:rsidR="00183EC1">
        <w:rPr>
          <w:rFonts w:cs="Arial"/>
          <w:bCs/>
        </w:rPr>
        <w:t xml:space="preserve"> </w:t>
      </w:r>
      <w:r w:rsidR="00183EC1" w:rsidRPr="00C65DB8">
        <w:rPr>
          <w:rFonts w:cs="Arial"/>
          <w:bCs/>
        </w:rPr>
        <w:t xml:space="preserve">que por su parte, el </w:t>
      </w:r>
      <w:r w:rsidR="00114FF3">
        <w:rPr>
          <w:rFonts w:cs="Arial"/>
          <w:bCs/>
        </w:rPr>
        <w:t>A</w:t>
      </w:r>
      <w:r w:rsidR="00183EC1" w:rsidRPr="00C65DB8">
        <w:rPr>
          <w:rFonts w:cs="Arial"/>
          <w:bCs/>
        </w:rPr>
        <w:t>rtículo 615 de la Ley 19.355</w:t>
      </w:r>
      <w:r w:rsidRPr="00C65DB8">
        <w:t xml:space="preserve"> </w:t>
      </w:r>
      <w:r w:rsidR="00E911F1">
        <w:t xml:space="preserve">del 19 de diciembre de 2015, </w:t>
      </w:r>
      <w:r w:rsidR="00692F72" w:rsidRPr="00C65DB8">
        <w:t>autoriza</w:t>
      </w:r>
      <w:r w:rsidRPr="00C65DB8">
        <w:t xml:space="preserve"> la utilización del Fondo de Infraestructura Pública - UTEC, para el financiamiento de la adquisición de mobiliario y equipamiento</w:t>
      </w:r>
      <w:r w:rsidR="006F5593">
        <w:t xml:space="preserve"> destinado a centros educativo</w:t>
      </w:r>
      <w:r w:rsidR="006F5593" w:rsidRPr="006F5593">
        <w:rPr>
          <w:i/>
        </w:rPr>
        <w:t>s;</w:t>
      </w:r>
    </w:p>
    <w:p w:rsidR="006F5593" w:rsidRDefault="006F5593" w:rsidP="00114FF3">
      <w:pPr>
        <w:spacing w:line="360" w:lineRule="auto"/>
        <w:ind w:firstLine="709"/>
        <w:jc w:val="both"/>
      </w:pPr>
      <w:r>
        <w:rPr>
          <w:b/>
          <w:bCs/>
        </w:rPr>
        <w:t xml:space="preserve">ATENTO: </w:t>
      </w:r>
      <w:r>
        <w:t>a lo precedentemente expu</w:t>
      </w:r>
      <w:r w:rsidR="00114FF3">
        <w:t>esto y a lo determinado por el A</w:t>
      </w:r>
      <w:r>
        <w:t>rt</w:t>
      </w:r>
      <w:r w:rsidR="00114FF3">
        <w:t>ículo</w:t>
      </w:r>
      <w:r>
        <w:t xml:space="preserve"> 211 </w:t>
      </w:r>
      <w:r w:rsidR="00114FF3">
        <w:t>L</w:t>
      </w:r>
      <w:r>
        <w:t xml:space="preserve">iteral B) de la Constitución de la República, </w:t>
      </w:r>
    </w:p>
    <w:p w:rsidR="006F5593" w:rsidRDefault="006F5593" w:rsidP="00114FF3">
      <w:pPr>
        <w:pStyle w:val="Textoindependiente"/>
        <w:spacing w:line="360" w:lineRule="auto"/>
        <w:jc w:val="center"/>
        <w:rPr>
          <w:b/>
        </w:rPr>
      </w:pPr>
      <w:r>
        <w:rPr>
          <w:b/>
        </w:rPr>
        <w:t>EL TRIBUNAL ACUERDA</w:t>
      </w:r>
    </w:p>
    <w:p w:rsidR="006F5593" w:rsidRDefault="006F5593" w:rsidP="00510B9F">
      <w:pPr>
        <w:tabs>
          <w:tab w:val="left" w:pos="284"/>
        </w:tabs>
        <w:spacing w:line="360" w:lineRule="auto"/>
        <w:ind w:left="284" w:hanging="284"/>
        <w:jc w:val="both"/>
        <w:rPr>
          <w:rFonts w:cs="Arial"/>
        </w:rPr>
      </w:pPr>
      <w:r>
        <w:rPr>
          <w:rFonts w:cs="Arial"/>
          <w:b/>
          <w:lang w:val="es-MX"/>
        </w:rPr>
        <w:t>1)</w:t>
      </w:r>
      <w:r>
        <w:rPr>
          <w:rFonts w:cs="Arial"/>
        </w:rPr>
        <w:t xml:space="preserve"> </w:t>
      </w:r>
      <w:r>
        <w:rPr>
          <w:rFonts w:cs="Arial"/>
        </w:rPr>
        <w:tab/>
        <w:t xml:space="preserve">Observar </w:t>
      </w:r>
      <w:r w:rsidR="00656B9B">
        <w:rPr>
          <w:rFonts w:cs="Arial"/>
        </w:rPr>
        <w:t xml:space="preserve">la modificación </w:t>
      </w:r>
      <w:r w:rsidR="00656B9B">
        <w:t>al contrato de fideicomiso celebrado entre la Universidad Tecnológica y la C</w:t>
      </w:r>
      <w:r w:rsidR="00916A8A">
        <w:t>orporación Nacional para el Desarrollo re</w:t>
      </w:r>
      <w:r w:rsidR="00656B9B">
        <w:t xml:space="preserve">mitida en la oportunidad, </w:t>
      </w:r>
      <w:r>
        <w:rPr>
          <w:rFonts w:cs="Arial"/>
          <w:lang w:val="es-MX"/>
        </w:rPr>
        <w:t xml:space="preserve">en virtud de lo indicado en </w:t>
      </w:r>
      <w:r w:rsidR="00AF7196">
        <w:rPr>
          <w:rFonts w:cs="Arial"/>
          <w:lang w:val="es-MX"/>
        </w:rPr>
        <w:t>el</w:t>
      </w:r>
      <w:r>
        <w:rPr>
          <w:rFonts w:cs="Arial"/>
          <w:lang w:val="es-MX"/>
        </w:rPr>
        <w:t xml:space="preserve"> Considerando</w:t>
      </w:r>
      <w:bookmarkStart w:id="0" w:name="_GoBack"/>
      <w:bookmarkEnd w:id="0"/>
      <w:r w:rsidR="00656B9B">
        <w:rPr>
          <w:rFonts w:cs="Arial"/>
          <w:lang w:val="es-MX"/>
        </w:rPr>
        <w:t xml:space="preserve"> 3)</w:t>
      </w:r>
      <w:r>
        <w:rPr>
          <w:rFonts w:cs="Arial"/>
          <w:lang w:val="es-MX"/>
        </w:rPr>
        <w:t xml:space="preserve"> de la presente</w:t>
      </w:r>
      <w:r>
        <w:rPr>
          <w:rFonts w:cs="Arial"/>
        </w:rPr>
        <w:t>;</w:t>
      </w:r>
    </w:p>
    <w:p w:rsidR="006F5593" w:rsidRDefault="006F5593" w:rsidP="00510B9F">
      <w:pPr>
        <w:tabs>
          <w:tab w:val="left" w:pos="284"/>
        </w:tabs>
        <w:spacing w:line="360" w:lineRule="auto"/>
        <w:ind w:left="284" w:hanging="284"/>
        <w:jc w:val="both"/>
        <w:rPr>
          <w:rFonts w:cs="Arial"/>
          <w:lang w:val="es-MX"/>
        </w:rPr>
      </w:pPr>
      <w:r>
        <w:rPr>
          <w:rFonts w:cs="Arial"/>
          <w:b/>
        </w:rPr>
        <w:t>2</w:t>
      </w:r>
      <w:r>
        <w:rPr>
          <w:rFonts w:cs="Arial"/>
          <w:b/>
          <w:lang w:val="es-MX"/>
        </w:rPr>
        <w:t>)</w:t>
      </w:r>
      <w:r>
        <w:rPr>
          <w:rFonts w:cs="Arial"/>
          <w:b/>
          <w:lang w:val="es-MX"/>
        </w:rPr>
        <w:tab/>
      </w:r>
      <w:r>
        <w:rPr>
          <w:rFonts w:cs="Arial"/>
        </w:rPr>
        <w:t xml:space="preserve">Comunicar al Contador </w:t>
      </w:r>
      <w:r w:rsidR="00916A8A">
        <w:rPr>
          <w:rFonts w:cs="Arial"/>
        </w:rPr>
        <w:t>Delegado en la</w:t>
      </w:r>
      <w:r>
        <w:rPr>
          <w:rFonts w:cs="Arial"/>
        </w:rPr>
        <w:t xml:space="preserve"> </w:t>
      </w:r>
      <w:r w:rsidR="00916A8A">
        <w:t>Universidad Tecnológica</w:t>
      </w:r>
      <w:r>
        <w:rPr>
          <w:rFonts w:cs="Arial"/>
          <w:lang w:val="es-MX"/>
        </w:rPr>
        <w:t>;</w:t>
      </w:r>
      <w:r w:rsidR="00510B9F">
        <w:rPr>
          <w:rFonts w:cs="Arial"/>
          <w:lang w:val="es-MX"/>
        </w:rPr>
        <w:t xml:space="preserve"> y</w:t>
      </w:r>
    </w:p>
    <w:p w:rsidR="006F5593" w:rsidRDefault="006F5593" w:rsidP="00510B9F">
      <w:pPr>
        <w:tabs>
          <w:tab w:val="left" w:pos="284"/>
        </w:tabs>
        <w:spacing w:line="360" w:lineRule="auto"/>
        <w:ind w:left="284" w:hanging="284"/>
        <w:jc w:val="both"/>
        <w:rPr>
          <w:rFonts w:cs="Arial"/>
        </w:rPr>
      </w:pPr>
      <w:r>
        <w:rPr>
          <w:rFonts w:cs="Arial"/>
          <w:b/>
          <w:lang w:val="es-MX"/>
        </w:rPr>
        <w:t>3)</w:t>
      </w:r>
      <w:r>
        <w:rPr>
          <w:rFonts w:cs="Arial"/>
          <w:b/>
          <w:lang w:val="es-MX"/>
        </w:rPr>
        <w:tab/>
      </w:r>
      <w:r>
        <w:rPr>
          <w:rFonts w:cs="Arial"/>
          <w:lang w:val="es-MX"/>
        </w:rPr>
        <w:t>Devolver los antecedentes</w:t>
      </w:r>
      <w:r>
        <w:rPr>
          <w:rFonts w:cs="Arial"/>
        </w:rPr>
        <w:t>;</w:t>
      </w:r>
    </w:p>
    <w:p w:rsidR="006F5593" w:rsidRDefault="006F5593" w:rsidP="006F5593">
      <w:pPr>
        <w:spacing w:line="360" w:lineRule="auto"/>
        <w:jc w:val="both"/>
        <w:rPr>
          <w:rFonts w:cs="Arial"/>
        </w:rPr>
      </w:pPr>
    </w:p>
    <w:p w:rsidR="006F5593" w:rsidRDefault="006F5593" w:rsidP="006F5593">
      <w:pPr>
        <w:spacing w:line="360" w:lineRule="auto"/>
        <w:jc w:val="both"/>
        <w:rPr>
          <w:rFonts w:cs="Arial"/>
          <w:lang w:val="es-MX"/>
        </w:rPr>
      </w:pPr>
    </w:p>
    <w:p w:rsidR="00510B9F" w:rsidRDefault="00510B9F" w:rsidP="006F5593">
      <w:pPr>
        <w:spacing w:line="360" w:lineRule="auto"/>
        <w:jc w:val="both"/>
        <w:rPr>
          <w:rFonts w:cs="Arial"/>
          <w:lang w:val="es-MX"/>
        </w:rPr>
      </w:pPr>
      <w:proofErr w:type="spellStart"/>
      <w:proofErr w:type="gramStart"/>
      <w:r>
        <w:rPr>
          <w:rFonts w:cs="Arial"/>
          <w:lang w:val="es-MX"/>
        </w:rPr>
        <w:t>cr</w:t>
      </w:r>
      <w:proofErr w:type="spellEnd"/>
      <w:proofErr w:type="gramEnd"/>
    </w:p>
    <w:p w:rsidR="006F5593" w:rsidRDefault="006F5593" w:rsidP="006F5593">
      <w:pPr>
        <w:spacing w:line="360" w:lineRule="auto"/>
        <w:jc w:val="right"/>
        <w:rPr>
          <w:rFonts w:cs="Arial"/>
        </w:rPr>
      </w:pPr>
    </w:p>
    <w:sectPr w:rsidR="006F5593" w:rsidSect="00AF7196">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21"/>
    <w:rsid w:val="000B5985"/>
    <w:rsid w:val="00114FF3"/>
    <w:rsid w:val="00183EC1"/>
    <w:rsid w:val="0021511A"/>
    <w:rsid w:val="00242976"/>
    <w:rsid w:val="003C1D28"/>
    <w:rsid w:val="00404A21"/>
    <w:rsid w:val="00510B9F"/>
    <w:rsid w:val="00542369"/>
    <w:rsid w:val="0054509F"/>
    <w:rsid w:val="00656B9B"/>
    <w:rsid w:val="00692F72"/>
    <w:rsid w:val="006F5593"/>
    <w:rsid w:val="007E24AE"/>
    <w:rsid w:val="00916A8A"/>
    <w:rsid w:val="009E5BB6"/>
    <w:rsid w:val="00AF4D9B"/>
    <w:rsid w:val="00AF7196"/>
    <w:rsid w:val="00B449D8"/>
    <w:rsid w:val="00C51586"/>
    <w:rsid w:val="00C65DB8"/>
    <w:rsid w:val="00E911F1"/>
    <w:rsid w:val="00F41E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21"/>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404A21"/>
    <w:pPr>
      <w:jc w:val="both"/>
    </w:pPr>
  </w:style>
  <w:style w:type="character" w:customStyle="1" w:styleId="TextoindependienteCar">
    <w:name w:val="Texto independiente Car"/>
    <w:basedOn w:val="Fuentedeprrafopredeter"/>
    <w:link w:val="Textoindependiente"/>
    <w:semiHidden/>
    <w:rsid w:val="00404A21"/>
    <w:rPr>
      <w:rFonts w:ascii="Arial" w:eastAsia="Times New Roman" w:hAnsi="Arial" w:cs="Times New Roman"/>
      <w:sz w:val="24"/>
      <w:szCs w:val="24"/>
      <w:lang w:val="es-ES" w:eastAsia="es-ES"/>
    </w:rPr>
  </w:style>
  <w:style w:type="paragraph" w:styleId="HTMLconformatoprevio">
    <w:name w:val="HTML Preformatted"/>
    <w:basedOn w:val="Normal"/>
    <w:link w:val="HTMLconformatoprevioCar"/>
    <w:uiPriority w:val="99"/>
    <w:semiHidden/>
    <w:unhideWhenUsed/>
    <w:rsid w:val="00A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semiHidden/>
    <w:rsid w:val="00AF4D9B"/>
    <w:rPr>
      <w:rFonts w:ascii="Courier New" w:eastAsia="Times New Roman" w:hAnsi="Courier New" w:cs="Courier New"/>
      <w:sz w:val="20"/>
      <w:szCs w:val="20"/>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21"/>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404A21"/>
    <w:pPr>
      <w:jc w:val="both"/>
    </w:pPr>
  </w:style>
  <w:style w:type="character" w:customStyle="1" w:styleId="TextoindependienteCar">
    <w:name w:val="Texto independiente Car"/>
    <w:basedOn w:val="Fuentedeprrafopredeter"/>
    <w:link w:val="Textoindependiente"/>
    <w:semiHidden/>
    <w:rsid w:val="00404A21"/>
    <w:rPr>
      <w:rFonts w:ascii="Arial" w:eastAsia="Times New Roman" w:hAnsi="Arial" w:cs="Times New Roman"/>
      <w:sz w:val="24"/>
      <w:szCs w:val="24"/>
      <w:lang w:val="es-ES" w:eastAsia="es-ES"/>
    </w:rPr>
  </w:style>
  <w:style w:type="paragraph" w:styleId="HTMLconformatoprevio">
    <w:name w:val="HTML Preformatted"/>
    <w:basedOn w:val="Normal"/>
    <w:link w:val="HTMLconformatoprevioCar"/>
    <w:uiPriority w:val="99"/>
    <w:semiHidden/>
    <w:unhideWhenUsed/>
    <w:rsid w:val="00AF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semiHidden/>
    <w:rsid w:val="00AF4D9B"/>
    <w:rPr>
      <w:rFonts w:ascii="Courier New" w:eastAsia="Times New Roman" w:hAnsi="Courier New" w:cs="Courier New"/>
      <w:sz w:val="20"/>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8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2018-04-24T15:32:00Z</cp:lastPrinted>
  <dcterms:created xsi:type="dcterms:W3CDTF">2018-04-24T15:32:00Z</dcterms:created>
  <dcterms:modified xsi:type="dcterms:W3CDTF">2018-04-24T15:32:00Z</dcterms:modified>
</cp:coreProperties>
</file>