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D6" w:rsidRPr="00786EEB" w:rsidRDefault="006711D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1123/18</w:t>
      </w:r>
    </w:p>
    <w:p w:rsidR="006711D6" w:rsidRPr="006711D6" w:rsidRDefault="006711D6" w:rsidP="006711D6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6711D6" w:rsidRPr="006711D6" w:rsidRDefault="006711D6" w:rsidP="006711D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711D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711D6" w:rsidRPr="006711D6" w:rsidRDefault="006711D6" w:rsidP="006711D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711D6" w:rsidRPr="006711D6" w:rsidRDefault="006711D6" w:rsidP="006711D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711D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711D6" w:rsidRPr="006711D6" w:rsidRDefault="006711D6" w:rsidP="006711D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711D6" w:rsidRPr="006711D6" w:rsidRDefault="006711D6" w:rsidP="006711D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711D6">
        <w:rPr>
          <w:rFonts w:ascii="Arial" w:hAnsi="Arial" w:cs="Arial"/>
          <w:b/>
          <w:sz w:val="24"/>
          <w:szCs w:val="24"/>
          <w:lang w:val="es-ES_tradnl"/>
        </w:rPr>
        <w:t xml:space="preserve">EN SESION DE FECHA 4 DE ABRIL </w:t>
      </w:r>
      <w:r w:rsidRPr="006711D6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6711D6" w:rsidRPr="006711D6" w:rsidRDefault="006711D6" w:rsidP="006711D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711D6" w:rsidRPr="006711D6" w:rsidRDefault="006711D6" w:rsidP="006711D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711D6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2018-17-1-0001593</w:t>
      </w:r>
      <w:r w:rsidRPr="006711D6">
        <w:rPr>
          <w:rFonts w:ascii="Arial" w:hAnsi="Arial" w:cs="Arial"/>
          <w:b/>
          <w:sz w:val="24"/>
          <w:szCs w:val="24"/>
          <w:lang w:val="en-US"/>
        </w:rPr>
        <w:t xml:space="preserve">, Ent. N° </w:t>
      </w:r>
      <w:r>
        <w:rPr>
          <w:rFonts w:ascii="Arial" w:hAnsi="Arial" w:cs="Arial"/>
          <w:b/>
          <w:sz w:val="24"/>
          <w:szCs w:val="24"/>
          <w:lang w:val="en-US"/>
        </w:rPr>
        <w:t>1143/18</w:t>
      </w:r>
      <w:r w:rsidRPr="006711D6">
        <w:rPr>
          <w:rFonts w:ascii="Arial" w:hAnsi="Arial" w:cs="Arial"/>
          <w:b/>
          <w:sz w:val="24"/>
          <w:szCs w:val="24"/>
          <w:lang w:val="en-US"/>
        </w:rPr>
        <w:t>)</w:t>
      </w:r>
    </w:p>
    <w:p w:rsidR="006711D6" w:rsidRDefault="006711D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6711D6" w:rsidRDefault="00237AE0" w:rsidP="006711D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actuaciones remitidas por la Administració</w:t>
      </w:r>
      <w:r w:rsidR="00946323">
        <w:rPr>
          <w:rFonts w:ascii="Arial" w:hAnsi="Arial" w:cs="Arial"/>
          <w:sz w:val="24"/>
          <w:szCs w:val="24"/>
        </w:rPr>
        <w:t>n Nacional de Educación Pública</w:t>
      </w:r>
      <w:r>
        <w:rPr>
          <w:rFonts w:ascii="Arial" w:hAnsi="Arial" w:cs="Arial"/>
          <w:sz w:val="24"/>
          <w:szCs w:val="24"/>
        </w:rPr>
        <w:t xml:space="preserve">, relacionadas con </w:t>
      </w:r>
      <w:r w:rsidRPr="00237AE0">
        <w:rPr>
          <w:rFonts w:ascii="Arial" w:hAnsi="Arial" w:cs="Arial"/>
          <w:sz w:val="24"/>
          <w:szCs w:val="24"/>
        </w:rPr>
        <w:t>la Licitación Pública N°</w:t>
      </w:r>
      <w:r w:rsidR="00946323">
        <w:rPr>
          <w:rFonts w:ascii="Arial" w:hAnsi="Arial" w:cs="Arial"/>
          <w:sz w:val="24"/>
          <w:szCs w:val="24"/>
        </w:rPr>
        <w:t xml:space="preserve"> </w:t>
      </w:r>
      <w:r w:rsidRPr="00237AE0">
        <w:rPr>
          <w:rFonts w:ascii="Arial" w:hAnsi="Arial" w:cs="Arial"/>
          <w:sz w:val="24"/>
          <w:szCs w:val="24"/>
        </w:rPr>
        <w:t>28/17</w:t>
      </w:r>
      <w:r>
        <w:rPr>
          <w:rFonts w:ascii="Arial" w:hAnsi="Arial" w:cs="Arial"/>
          <w:sz w:val="24"/>
          <w:szCs w:val="24"/>
        </w:rPr>
        <w:t>, para la ampliación de cuatro aulas y servicios en el local del liceo de Shangrilá - Ciudad de la Cos</w:t>
      </w:r>
      <w:r w:rsidR="006711D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 w:rsidRPr="005972F4">
        <w:rPr>
          <w:rFonts w:ascii="Arial" w:hAnsi="Arial" w:cs="Arial"/>
          <w:b/>
          <w:sz w:val="24"/>
          <w:szCs w:val="24"/>
        </w:rPr>
        <w:t xml:space="preserve"> </w:t>
      </w:r>
      <w:r w:rsidRPr="00387CCF">
        <w:rPr>
          <w:rFonts w:ascii="Arial" w:hAnsi="Arial" w:cs="Arial"/>
          <w:sz w:val="24"/>
          <w:szCs w:val="24"/>
        </w:rPr>
        <w:t>Canelones</w:t>
      </w:r>
      <w:r>
        <w:rPr>
          <w:rFonts w:ascii="Arial" w:hAnsi="Arial" w:cs="Arial"/>
          <w:sz w:val="24"/>
          <w:szCs w:val="24"/>
        </w:rPr>
        <w:t>;</w:t>
      </w:r>
    </w:p>
    <w:p w:rsidR="006711D6" w:rsidRDefault="00237AE0" w:rsidP="006711D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37AE0">
        <w:rPr>
          <w:rFonts w:ascii="Arial" w:hAnsi="Arial" w:cs="Arial"/>
          <w:b/>
          <w:sz w:val="24"/>
          <w:szCs w:val="24"/>
        </w:rPr>
        <w:t>RESULTANDO:</w:t>
      </w:r>
      <w:r w:rsidR="006711D6">
        <w:rPr>
          <w:rFonts w:ascii="Arial" w:hAnsi="Arial" w:cs="Arial"/>
          <w:b/>
          <w:sz w:val="24"/>
          <w:szCs w:val="24"/>
        </w:rPr>
        <w:t xml:space="preserve"> </w:t>
      </w:r>
      <w:r w:rsidRPr="00237AE0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61422">
        <w:rPr>
          <w:rFonts w:ascii="Arial" w:hAnsi="Arial" w:cs="Arial"/>
          <w:sz w:val="24"/>
          <w:szCs w:val="24"/>
        </w:rPr>
        <w:t xml:space="preserve">que por Resolución N° 4 Acta 44 de fecha 26.07.17, el Consejo Directivo Central dispuso la aprobación del llamado y, </w:t>
      </w:r>
      <w:r w:rsidR="00946323">
        <w:rPr>
          <w:rFonts w:ascii="Arial" w:hAnsi="Arial" w:cs="Arial"/>
          <w:sz w:val="24"/>
          <w:szCs w:val="24"/>
        </w:rPr>
        <w:t>efectuadas</w:t>
      </w:r>
      <w:r w:rsidR="00061422">
        <w:rPr>
          <w:rFonts w:ascii="Arial" w:hAnsi="Arial" w:cs="Arial"/>
          <w:sz w:val="24"/>
          <w:szCs w:val="24"/>
        </w:rPr>
        <w:t xml:space="preserve"> las publicaciones de estilo con antelación suficiente, con fecha 29.09.17 se realizó el acto de apertura, recibiéndose las ofertas de: </w:t>
      </w:r>
      <w:r>
        <w:rPr>
          <w:rFonts w:ascii="Arial" w:hAnsi="Arial" w:cs="Arial"/>
          <w:sz w:val="24"/>
          <w:szCs w:val="24"/>
        </w:rPr>
        <w:t>B&amp;D Ltda.</w:t>
      </w:r>
      <w:r w:rsidR="0006142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Electricidad Durazno S.R.L</w:t>
      </w:r>
      <w:r w:rsidR="0006142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Franco Mezzetta S.A</w:t>
      </w:r>
      <w:r w:rsidR="006711D6">
        <w:rPr>
          <w:rFonts w:ascii="Arial" w:hAnsi="Arial" w:cs="Arial"/>
          <w:sz w:val="24"/>
          <w:szCs w:val="24"/>
        </w:rPr>
        <w:t>.</w:t>
      </w:r>
      <w:r w:rsidR="0006142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Marquez Alonso</w:t>
      </w:r>
      <w:r w:rsidR="0006142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Vivamat S.A</w:t>
      </w:r>
      <w:r w:rsidR="006711D6">
        <w:rPr>
          <w:rFonts w:ascii="Arial" w:hAnsi="Arial" w:cs="Arial"/>
          <w:sz w:val="24"/>
          <w:szCs w:val="24"/>
        </w:rPr>
        <w:t>.</w:t>
      </w:r>
      <w:r w:rsidR="0006142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BGR S.R.L</w:t>
      </w:r>
      <w:r w:rsidR="006711D6">
        <w:rPr>
          <w:rFonts w:ascii="Arial" w:hAnsi="Arial" w:cs="Arial"/>
          <w:sz w:val="24"/>
          <w:szCs w:val="24"/>
        </w:rPr>
        <w:t>.</w:t>
      </w:r>
      <w:r w:rsidR="0006142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Einbauen Ltda.</w:t>
      </w:r>
      <w:r w:rsidR="0006142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Ramírez Alfaro &amp; Heredia Barrios</w:t>
      </w:r>
      <w:r w:rsidR="00061422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Basirey S.A</w:t>
      </w:r>
      <w:r w:rsidR="006711D6">
        <w:rPr>
          <w:rFonts w:ascii="Arial" w:hAnsi="Arial" w:cs="Arial"/>
          <w:sz w:val="24"/>
          <w:szCs w:val="24"/>
        </w:rPr>
        <w:t>.</w:t>
      </w:r>
      <w:r w:rsidR="00E619DA">
        <w:rPr>
          <w:rFonts w:ascii="Arial" w:hAnsi="Arial" w:cs="Arial"/>
          <w:sz w:val="24"/>
          <w:szCs w:val="24"/>
        </w:rPr>
        <w:t>;</w:t>
      </w:r>
    </w:p>
    <w:p w:rsidR="006711D6" w:rsidRDefault="00E619DA" w:rsidP="006711D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619D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habiéndose verificado la inscr</w:t>
      </w:r>
      <w:r w:rsidR="005133A7">
        <w:rPr>
          <w:rFonts w:ascii="Arial" w:hAnsi="Arial" w:cs="Arial"/>
          <w:sz w:val="24"/>
          <w:szCs w:val="24"/>
        </w:rPr>
        <w:t xml:space="preserve">ipción de los oferentes en </w:t>
      </w:r>
      <w:r w:rsidR="00070507">
        <w:rPr>
          <w:rFonts w:ascii="Arial" w:hAnsi="Arial" w:cs="Arial"/>
          <w:sz w:val="24"/>
          <w:szCs w:val="24"/>
        </w:rPr>
        <w:t xml:space="preserve">el </w:t>
      </w:r>
      <w:r w:rsidR="005133A7">
        <w:rPr>
          <w:rFonts w:ascii="Arial" w:hAnsi="Arial" w:cs="Arial"/>
          <w:sz w:val="24"/>
          <w:szCs w:val="24"/>
        </w:rPr>
        <w:t>RUPE</w:t>
      </w:r>
      <w:r w:rsidR="0007050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contando todos con estado </w:t>
      </w:r>
      <w:r>
        <w:rPr>
          <w:rFonts w:ascii="Arial" w:hAnsi="Arial" w:cs="Arial"/>
          <w:i/>
          <w:sz w:val="24"/>
          <w:szCs w:val="24"/>
        </w:rPr>
        <w:t>activo</w:t>
      </w:r>
      <w:r>
        <w:rPr>
          <w:rFonts w:ascii="Arial" w:hAnsi="Arial" w:cs="Arial"/>
          <w:sz w:val="24"/>
          <w:szCs w:val="24"/>
        </w:rPr>
        <w:t>, con fecha 06.10.17</w:t>
      </w:r>
      <w:r w:rsidR="0007050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</w:t>
      </w:r>
      <w:r w:rsidRPr="00E619DA">
        <w:rPr>
          <w:rFonts w:ascii="Arial" w:hAnsi="Arial" w:cs="Arial"/>
          <w:b/>
          <w:sz w:val="24"/>
          <w:szCs w:val="24"/>
        </w:rPr>
        <w:t xml:space="preserve"> </w:t>
      </w:r>
      <w:r w:rsidRPr="00E619DA">
        <w:rPr>
          <w:rFonts w:ascii="Arial" w:hAnsi="Arial" w:cs="Arial"/>
          <w:sz w:val="24"/>
          <w:szCs w:val="24"/>
        </w:rPr>
        <w:t>Área de Gestión y Contralor de Obras</w:t>
      </w:r>
      <w:r>
        <w:rPr>
          <w:rFonts w:ascii="Arial" w:hAnsi="Arial" w:cs="Arial"/>
          <w:sz w:val="24"/>
          <w:szCs w:val="24"/>
        </w:rPr>
        <w:t xml:space="preserve"> realizó el análisis de admisibilidad de las ofertas presentadas, señalando que: </w:t>
      </w:r>
      <w:r w:rsidRPr="006711D6">
        <w:rPr>
          <w:rFonts w:ascii="Arial" w:hAnsi="Arial" w:cs="Arial"/>
          <w:b/>
          <w:sz w:val="24"/>
          <w:szCs w:val="24"/>
        </w:rPr>
        <w:t>a)</w:t>
      </w:r>
      <w:r w:rsidR="006711D6">
        <w:rPr>
          <w:rFonts w:ascii="Arial" w:hAnsi="Arial" w:cs="Arial"/>
          <w:sz w:val="24"/>
          <w:szCs w:val="24"/>
        </w:rPr>
        <w:t xml:space="preserve"> Má</w:t>
      </w:r>
      <w:r>
        <w:rPr>
          <w:rFonts w:ascii="Arial" w:hAnsi="Arial" w:cs="Arial"/>
          <w:sz w:val="24"/>
          <w:szCs w:val="24"/>
        </w:rPr>
        <w:t xml:space="preserve">rquez Alonso Ltda. deberá presentar un complemento de </w:t>
      </w:r>
      <w:r w:rsidR="00F82DBD">
        <w:rPr>
          <w:rFonts w:ascii="Arial" w:hAnsi="Arial" w:cs="Arial"/>
          <w:sz w:val="24"/>
          <w:szCs w:val="24"/>
        </w:rPr>
        <w:t xml:space="preserve">timbre profesional; </w:t>
      </w:r>
      <w:r w:rsidR="00F82DBD" w:rsidRPr="006711D6">
        <w:rPr>
          <w:rFonts w:ascii="Arial" w:hAnsi="Arial" w:cs="Arial"/>
          <w:b/>
          <w:sz w:val="24"/>
          <w:szCs w:val="24"/>
        </w:rPr>
        <w:t>b)</w:t>
      </w:r>
      <w:r w:rsidR="00F82DBD">
        <w:rPr>
          <w:rFonts w:ascii="Arial" w:hAnsi="Arial" w:cs="Arial"/>
          <w:sz w:val="24"/>
          <w:szCs w:val="24"/>
        </w:rPr>
        <w:t xml:space="preserve"> la oferta de </w:t>
      </w:r>
      <w:r w:rsidR="00237AE0">
        <w:rPr>
          <w:rFonts w:ascii="Arial" w:hAnsi="Arial" w:cs="Arial"/>
          <w:sz w:val="24"/>
          <w:szCs w:val="24"/>
        </w:rPr>
        <w:t>Vivamat S.A</w:t>
      </w:r>
      <w:r w:rsidR="006711D6">
        <w:rPr>
          <w:rFonts w:ascii="Arial" w:hAnsi="Arial" w:cs="Arial"/>
          <w:sz w:val="24"/>
          <w:szCs w:val="24"/>
        </w:rPr>
        <w:t>.</w:t>
      </w:r>
      <w:r w:rsidR="00F82DBD">
        <w:rPr>
          <w:rFonts w:ascii="Arial" w:hAnsi="Arial" w:cs="Arial"/>
          <w:sz w:val="24"/>
          <w:szCs w:val="24"/>
        </w:rPr>
        <w:t xml:space="preserve"> declara </w:t>
      </w:r>
      <w:r w:rsidR="00237AE0">
        <w:rPr>
          <w:rFonts w:ascii="Arial" w:hAnsi="Arial" w:cs="Arial"/>
          <w:sz w:val="24"/>
          <w:szCs w:val="24"/>
        </w:rPr>
        <w:t xml:space="preserve">un monto imponible de obra imprevista incorrecto, no obstante se </w:t>
      </w:r>
      <w:r w:rsidR="00F82DBD">
        <w:rPr>
          <w:rFonts w:ascii="Arial" w:hAnsi="Arial" w:cs="Arial"/>
          <w:sz w:val="24"/>
          <w:szCs w:val="24"/>
        </w:rPr>
        <w:t xml:space="preserve">lo considera un error evidente; </w:t>
      </w:r>
      <w:r w:rsidR="00F82DBD" w:rsidRPr="006711D6">
        <w:rPr>
          <w:rFonts w:ascii="Arial" w:hAnsi="Arial" w:cs="Arial"/>
          <w:b/>
          <w:sz w:val="24"/>
          <w:szCs w:val="24"/>
        </w:rPr>
        <w:t>c)</w:t>
      </w:r>
      <w:r w:rsidR="00F82DBD">
        <w:rPr>
          <w:rFonts w:ascii="Arial" w:hAnsi="Arial" w:cs="Arial"/>
          <w:sz w:val="24"/>
          <w:szCs w:val="24"/>
        </w:rPr>
        <w:t xml:space="preserve"> en la propuesta de </w:t>
      </w:r>
      <w:r w:rsidR="00237AE0">
        <w:rPr>
          <w:rFonts w:ascii="Arial" w:hAnsi="Arial" w:cs="Arial"/>
          <w:sz w:val="24"/>
          <w:szCs w:val="24"/>
        </w:rPr>
        <w:t>Ramírez Alfaro y Heredia Barrios</w:t>
      </w:r>
      <w:r w:rsidR="00F82DBD">
        <w:rPr>
          <w:rFonts w:ascii="Arial" w:hAnsi="Arial" w:cs="Arial"/>
          <w:sz w:val="24"/>
          <w:szCs w:val="24"/>
        </w:rPr>
        <w:t xml:space="preserve"> e</w:t>
      </w:r>
      <w:r w:rsidR="00237AE0">
        <w:rPr>
          <w:rFonts w:ascii="Arial" w:hAnsi="Arial" w:cs="Arial"/>
          <w:sz w:val="24"/>
          <w:szCs w:val="24"/>
        </w:rPr>
        <w:t>xiste discrepancia entre el monto imponible de obra prevista indicado en números</w:t>
      </w:r>
      <w:r w:rsidR="005133A7">
        <w:rPr>
          <w:rFonts w:ascii="Arial" w:hAnsi="Arial" w:cs="Arial"/>
          <w:sz w:val="24"/>
          <w:szCs w:val="24"/>
        </w:rPr>
        <w:t xml:space="preserve"> y </w:t>
      </w:r>
      <w:r w:rsidR="00237AE0">
        <w:rPr>
          <w:rFonts w:ascii="Arial" w:hAnsi="Arial" w:cs="Arial"/>
          <w:sz w:val="24"/>
          <w:szCs w:val="24"/>
        </w:rPr>
        <w:t>el de l</w:t>
      </w:r>
      <w:r w:rsidR="00F82DBD">
        <w:rPr>
          <w:rFonts w:ascii="Arial" w:hAnsi="Arial" w:cs="Arial"/>
          <w:sz w:val="24"/>
          <w:szCs w:val="24"/>
        </w:rPr>
        <w:t>etras, no obstante l</w:t>
      </w:r>
      <w:r w:rsidR="00237AE0">
        <w:rPr>
          <w:rFonts w:ascii="Arial" w:hAnsi="Arial" w:cs="Arial"/>
          <w:sz w:val="24"/>
          <w:szCs w:val="24"/>
        </w:rPr>
        <w:t>a matriz es correcta y el monto global ofertado coincide en la carta</w:t>
      </w:r>
      <w:r w:rsidR="00F82DBD">
        <w:rPr>
          <w:rFonts w:ascii="Arial" w:hAnsi="Arial" w:cs="Arial"/>
          <w:sz w:val="24"/>
          <w:szCs w:val="24"/>
        </w:rPr>
        <w:t xml:space="preserve"> de presentación y en la matriz; </w:t>
      </w:r>
      <w:r w:rsidR="00F82DBD" w:rsidRPr="006711D6">
        <w:rPr>
          <w:rFonts w:ascii="Arial" w:hAnsi="Arial" w:cs="Arial"/>
          <w:b/>
          <w:sz w:val="24"/>
          <w:szCs w:val="24"/>
        </w:rPr>
        <w:t>d)</w:t>
      </w:r>
      <w:r w:rsidR="00F82DBD">
        <w:rPr>
          <w:rFonts w:ascii="Arial" w:hAnsi="Arial" w:cs="Arial"/>
          <w:sz w:val="24"/>
          <w:szCs w:val="24"/>
        </w:rPr>
        <w:t xml:space="preserve"> BGR Construcciones S.R.L</w:t>
      </w:r>
      <w:r w:rsidR="006711D6">
        <w:rPr>
          <w:rFonts w:ascii="Arial" w:hAnsi="Arial" w:cs="Arial"/>
          <w:sz w:val="24"/>
          <w:szCs w:val="24"/>
        </w:rPr>
        <w:t>.</w:t>
      </w:r>
      <w:r w:rsidR="00F82DBD">
        <w:rPr>
          <w:rFonts w:ascii="Arial" w:hAnsi="Arial" w:cs="Arial"/>
          <w:sz w:val="24"/>
          <w:szCs w:val="24"/>
        </w:rPr>
        <w:t xml:space="preserve"> no presentó declara</w:t>
      </w:r>
      <w:r w:rsidR="005133A7">
        <w:rPr>
          <w:rFonts w:ascii="Arial" w:hAnsi="Arial" w:cs="Arial"/>
          <w:sz w:val="24"/>
          <w:szCs w:val="24"/>
        </w:rPr>
        <w:t>ción de haber visitado el local,</w:t>
      </w:r>
      <w:r w:rsidR="00F82DBD">
        <w:rPr>
          <w:rFonts w:ascii="Arial" w:hAnsi="Arial" w:cs="Arial"/>
          <w:sz w:val="24"/>
          <w:szCs w:val="24"/>
        </w:rPr>
        <w:t xml:space="preserve"> </w:t>
      </w:r>
      <w:r w:rsidR="00F82DBD">
        <w:rPr>
          <w:rFonts w:ascii="Arial" w:hAnsi="Arial" w:cs="Arial"/>
          <w:sz w:val="24"/>
          <w:szCs w:val="24"/>
        </w:rPr>
        <w:lastRenderedPageBreak/>
        <w:t xml:space="preserve">aunque, consultado el centro educativo, se verificó que la visita fue realizada, no obstante, la oferta </w:t>
      </w:r>
      <w:r w:rsidR="005133A7">
        <w:rPr>
          <w:rFonts w:ascii="Arial" w:hAnsi="Arial" w:cs="Arial"/>
          <w:sz w:val="24"/>
          <w:szCs w:val="24"/>
        </w:rPr>
        <w:t xml:space="preserve">no es admisible en tanto </w:t>
      </w:r>
      <w:r w:rsidR="00070507">
        <w:rPr>
          <w:rFonts w:ascii="Arial" w:hAnsi="Arial" w:cs="Arial"/>
          <w:sz w:val="24"/>
          <w:szCs w:val="24"/>
        </w:rPr>
        <w:t xml:space="preserve">no se ajusta a </w:t>
      </w:r>
      <w:r w:rsidR="00F82DBD">
        <w:rPr>
          <w:rFonts w:ascii="Arial" w:hAnsi="Arial" w:cs="Arial"/>
          <w:sz w:val="24"/>
          <w:szCs w:val="24"/>
        </w:rPr>
        <w:t xml:space="preserve"> </w:t>
      </w:r>
      <w:r w:rsidR="005133A7">
        <w:rPr>
          <w:rFonts w:ascii="Arial" w:hAnsi="Arial" w:cs="Arial"/>
          <w:sz w:val="24"/>
          <w:szCs w:val="24"/>
        </w:rPr>
        <w:t xml:space="preserve">lo dispuesto en </w:t>
      </w:r>
      <w:r w:rsidR="006711D6">
        <w:rPr>
          <w:rFonts w:ascii="Arial" w:hAnsi="Arial" w:cs="Arial"/>
          <w:sz w:val="24"/>
          <w:szCs w:val="24"/>
        </w:rPr>
        <w:t>el A</w:t>
      </w:r>
      <w:r w:rsidR="00F82DBD">
        <w:rPr>
          <w:rFonts w:ascii="Arial" w:hAnsi="Arial" w:cs="Arial"/>
          <w:sz w:val="24"/>
          <w:szCs w:val="24"/>
        </w:rPr>
        <w:t xml:space="preserve">rtículo 10.1 del Pliego Único de Bases y Condiciones Generales para Contratos de Obras Públicas, </w:t>
      </w:r>
      <w:r w:rsidR="005133A7">
        <w:rPr>
          <w:rFonts w:ascii="Arial" w:hAnsi="Arial" w:cs="Arial"/>
          <w:sz w:val="24"/>
          <w:szCs w:val="24"/>
        </w:rPr>
        <w:t xml:space="preserve">al contar </w:t>
      </w:r>
      <w:r w:rsidR="00F82DBD">
        <w:rPr>
          <w:rFonts w:ascii="Arial" w:hAnsi="Arial" w:cs="Arial"/>
          <w:sz w:val="24"/>
          <w:szCs w:val="24"/>
        </w:rPr>
        <w:t>con un VECA libre de $</w:t>
      </w:r>
      <w:r w:rsidR="006711D6">
        <w:rPr>
          <w:rFonts w:ascii="Arial" w:hAnsi="Arial" w:cs="Arial"/>
          <w:sz w:val="24"/>
          <w:szCs w:val="24"/>
        </w:rPr>
        <w:t xml:space="preserve"> </w:t>
      </w:r>
      <w:r w:rsidR="00F82DBD">
        <w:rPr>
          <w:rFonts w:ascii="Arial" w:hAnsi="Arial" w:cs="Arial"/>
          <w:sz w:val="24"/>
          <w:szCs w:val="24"/>
        </w:rPr>
        <w:t>8:163.141</w:t>
      </w:r>
      <w:r w:rsidR="00893175">
        <w:rPr>
          <w:rFonts w:ascii="Arial" w:hAnsi="Arial" w:cs="Arial"/>
          <w:sz w:val="24"/>
          <w:szCs w:val="24"/>
        </w:rPr>
        <w:t>, siendo e</w:t>
      </w:r>
      <w:r w:rsidR="00F82DBD">
        <w:rPr>
          <w:rFonts w:ascii="Arial" w:hAnsi="Arial" w:cs="Arial"/>
          <w:sz w:val="24"/>
          <w:szCs w:val="24"/>
        </w:rPr>
        <w:t>l monto b</w:t>
      </w:r>
      <w:r w:rsidR="005133A7">
        <w:rPr>
          <w:rFonts w:ascii="Arial" w:hAnsi="Arial" w:cs="Arial"/>
          <w:sz w:val="24"/>
          <w:szCs w:val="24"/>
        </w:rPr>
        <w:t>ásico ofertado de $</w:t>
      </w:r>
      <w:r w:rsidR="006711D6">
        <w:rPr>
          <w:rFonts w:ascii="Arial" w:hAnsi="Arial" w:cs="Arial"/>
          <w:sz w:val="24"/>
          <w:szCs w:val="24"/>
        </w:rPr>
        <w:t xml:space="preserve"> </w:t>
      </w:r>
      <w:r w:rsidR="005133A7">
        <w:rPr>
          <w:rFonts w:ascii="Arial" w:hAnsi="Arial" w:cs="Arial"/>
          <w:sz w:val="24"/>
          <w:szCs w:val="24"/>
        </w:rPr>
        <w:t>9:220.375</w:t>
      </w:r>
      <w:r w:rsidR="00893175">
        <w:rPr>
          <w:rFonts w:ascii="Arial" w:hAnsi="Arial" w:cs="Arial"/>
          <w:sz w:val="24"/>
          <w:szCs w:val="24"/>
        </w:rPr>
        <w:t xml:space="preserve">; </w:t>
      </w:r>
      <w:r w:rsidR="00893175" w:rsidRPr="006711D6">
        <w:rPr>
          <w:rFonts w:ascii="Arial" w:hAnsi="Arial" w:cs="Arial"/>
          <w:b/>
          <w:sz w:val="24"/>
          <w:szCs w:val="24"/>
        </w:rPr>
        <w:t>e)</w:t>
      </w:r>
      <w:r w:rsidR="00893175">
        <w:rPr>
          <w:rFonts w:ascii="Arial" w:hAnsi="Arial" w:cs="Arial"/>
          <w:sz w:val="24"/>
          <w:szCs w:val="24"/>
        </w:rPr>
        <w:t xml:space="preserve"> </w:t>
      </w:r>
      <w:r w:rsidR="00070507">
        <w:rPr>
          <w:rFonts w:ascii="Arial" w:hAnsi="Arial" w:cs="Arial"/>
          <w:sz w:val="24"/>
          <w:szCs w:val="24"/>
        </w:rPr>
        <w:t xml:space="preserve">las demás </w:t>
      </w:r>
      <w:r w:rsidR="00893175">
        <w:rPr>
          <w:rFonts w:ascii="Arial" w:hAnsi="Arial" w:cs="Arial"/>
          <w:sz w:val="24"/>
          <w:szCs w:val="24"/>
        </w:rPr>
        <w:t xml:space="preserve"> propuestas son admisibl</w:t>
      </w:r>
      <w:r w:rsidR="00946323">
        <w:rPr>
          <w:rFonts w:ascii="Arial" w:hAnsi="Arial" w:cs="Arial"/>
          <w:sz w:val="24"/>
          <w:szCs w:val="24"/>
        </w:rPr>
        <w:t>es y no presentan observaciones</w:t>
      </w:r>
      <w:r w:rsidR="005133A7">
        <w:rPr>
          <w:rFonts w:ascii="Arial" w:hAnsi="Arial" w:cs="Arial"/>
          <w:sz w:val="24"/>
          <w:szCs w:val="24"/>
        </w:rPr>
        <w:t>;</w:t>
      </w:r>
    </w:p>
    <w:p w:rsidR="006711D6" w:rsidRDefault="005133A7" w:rsidP="006711D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5133A7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2F6319">
        <w:rPr>
          <w:rFonts w:ascii="Arial" w:hAnsi="Arial" w:cs="Arial"/>
          <w:sz w:val="24"/>
          <w:szCs w:val="24"/>
        </w:rPr>
        <w:t>a</w:t>
      </w:r>
      <w:r w:rsidR="006711D6">
        <w:rPr>
          <w:rFonts w:ascii="Arial" w:hAnsi="Arial" w:cs="Arial"/>
          <w:sz w:val="24"/>
          <w:szCs w:val="24"/>
        </w:rPr>
        <w:t>l amparo de lo dispuesto en el A</w:t>
      </w:r>
      <w:r w:rsidR="002F6319">
        <w:rPr>
          <w:rFonts w:ascii="Arial" w:hAnsi="Arial" w:cs="Arial"/>
          <w:sz w:val="24"/>
          <w:szCs w:val="24"/>
        </w:rPr>
        <w:t xml:space="preserve">rtículo 65 del TOCAF, </w:t>
      </w:r>
      <w:r>
        <w:rPr>
          <w:rFonts w:ascii="Arial" w:hAnsi="Arial" w:cs="Arial"/>
          <w:sz w:val="24"/>
          <w:szCs w:val="24"/>
        </w:rPr>
        <w:t>con fecha 19.10.17 la Administración</w:t>
      </w:r>
      <w:r w:rsidR="002F6319">
        <w:rPr>
          <w:rFonts w:ascii="Arial" w:hAnsi="Arial" w:cs="Arial"/>
          <w:sz w:val="24"/>
          <w:szCs w:val="24"/>
        </w:rPr>
        <w:t xml:space="preserve"> otorgó un</w:t>
      </w:r>
      <w:r w:rsidR="004550A3">
        <w:rPr>
          <w:rFonts w:ascii="Arial" w:hAnsi="Arial" w:cs="Arial"/>
          <w:sz w:val="24"/>
          <w:szCs w:val="24"/>
        </w:rPr>
        <w:t xml:space="preserve"> día hábil </w:t>
      </w:r>
      <w:r w:rsidR="002F6319">
        <w:rPr>
          <w:rFonts w:ascii="Arial" w:hAnsi="Arial" w:cs="Arial"/>
          <w:sz w:val="24"/>
          <w:szCs w:val="24"/>
        </w:rPr>
        <w:t>para la presentación de información complementaria, solicitando</w:t>
      </w:r>
      <w:r w:rsidR="00070507">
        <w:rPr>
          <w:rFonts w:ascii="Arial" w:hAnsi="Arial" w:cs="Arial"/>
          <w:sz w:val="24"/>
          <w:szCs w:val="24"/>
        </w:rPr>
        <w:t xml:space="preserve"> a</w:t>
      </w:r>
      <w:r w:rsidR="006711D6">
        <w:rPr>
          <w:rFonts w:ascii="Arial" w:hAnsi="Arial" w:cs="Arial"/>
          <w:sz w:val="24"/>
          <w:szCs w:val="24"/>
        </w:rPr>
        <w:t xml:space="preserve">: </w:t>
      </w:r>
      <w:r w:rsidR="006711D6" w:rsidRPr="006711D6">
        <w:rPr>
          <w:rFonts w:ascii="Arial" w:hAnsi="Arial" w:cs="Arial"/>
          <w:b/>
          <w:sz w:val="24"/>
          <w:szCs w:val="24"/>
        </w:rPr>
        <w:t>a)</w:t>
      </w:r>
      <w:r w:rsidR="006711D6">
        <w:rPr>
          <w:rFonts w:ascii="Arial" w:hAnsi="Arial" w:cs="Arial"/>
          <w:sz w:val="24"/>
          <w:szCs w:val="24"/>
        </w:rPr>
        <w:t xml:space="preserve"> Má</w:t>
      </w:r>
      <w:r w:rsidR="002F6319">
        <w:rPr>
          <w:rFonts w:ascii="Arial" w:hAnsi="Arial" w:cs="Arial"/>
          <w:sz w:val="24"/>
          <w:szCs w:val="24"/>
        </w:rPr>
        <w:t>rquez Alonso Ltda.</w:t>
      </w:r>
      <w:r w:rsidR="00070507">
        <w:rPr>
          <w:rFonts w:ascii="Arial" w:hAnsi="Arial" w:cs="Arial"/>
          <w:sz w:val="24"/>
          <w:szCs w:val="24"/>
        </w:rPr>
        <w:t>, el</w:t>
      </w:r>
      <w:r w:rsidR="002F6319">
        <w:rPr>
          <w:rFonts w:ascii="Arial" w:hAnsi="Arial" w:cs="Arial"/>
          <w:sz w:val="24"/>
          <w:szCs w:val="24"/>
        </w:rPr>
        <w:t xml:space="preserve"> complemento de</w:t>
      </w:r>
      <w:r w:rsidR="002F6319" w:rsidRPr="002F6319">
        <w:rPr>
          <w:rFonts w:ascii="Arial" w:hAnsi="Arial" w:cs="Arial"/>
          <w:sz w:val="24"/>
          <w:szCs w:val="24"/>
        </w:rPr>
        <w:t xml:space="preserve"> </w:t>
      </w:r>
      <w:r w:rsidR="002F6319">
        <w:rPr>
          <w:rFonts w:ascii="Arial" w:hAnsi="Arial" w:cs="Arial"/>
          <w:sz w:val="24"/>
          <w:szCs w:val="24"/>
        </w:rPr>
        <w:t xml:space="preserve">timbre profesional; </w:t>
      </w:r>
      <w:r w:rsidR="002F6319" w:rsidRPr="006711D6">
        <w:rPr>
          <w:rFonts w:ascii="Arial" w:hAnsi="Arial" w:cs="Arial"/>
          <w:b/>
          <w:sz w:val="24"/>
          <w:szCs w:val="24"/>
        </w:rPr>
        <w:t>b)</w:t>
      </w:r>
      <w:r w:rsidR="002F6319">
        <w:rPr>
          <w:rFonts w:ascii="Arial" w:hAnsi="Arial" w:cs="Arial"/>
          <w:sz w:val="24"/>
          <w:szCs w:val="24"/>
        </w:rPr>
        <w:t xml:space="preserve">  Vivamat S.A</w:t>
      </w:r>
      <w:r w:rsidR="006711D6">
        <w:rPr>
          <w:rFonts w:ascii="Arial" w:hAnsi="Arial" w:cs="Arial"/>
          <w:sz w:val="24"/>
          <w:szCs w:val="24"/>
        </w:rPr>
        <w:t>.</w:t>
      </w:r>
      <w:r w:rsidR="00070507">
        <w:rPr>
          <w:rFonts w:ascii="Arial" w:hAnsi="Arial" w:cs="Arial"/>
          <w:sz w:val="24"/>
          <w:szCs w:val="24"/>
        </w:rPr>
        <w:t xml:space="preserve">, la </w:t>
      </w:r>
      <w:r w:rsidR="002F6319" w:rsidRPr="002F6319">
        <w:rPr>
          <w:rFonts w:ascii="Arial" w:hAnsi="Arial" w:cs="Arial"/>
          <w:sz w:val="24"/>
          <w:szCs w:val="24"/>
        </w:rPr>
        <w:t xml:space="preserve"> </w:t>
      </w:r>
      <w:r w:rsidR="002F6319">
        <w:rPr>
          <w:rFonts w:ascii="Arial" w:hAnsi="Arial" w:cs="Arial"/>
          <w:sz w:val="24"/>
          <w:szCs w:val="24"/>
        </w:rPr>
        <w:t xml:space="preserve">carta de presentación subsanada, respecto del error evidente en el monto imponible de la obra; </w:t>
      </w:r>
      <w:r w:rsidR="002F6319" w:rsidRPr="006711D6">
        <w:rPr>
          <w:rFonts w:ascii="Arial" w:hAnsi="Arial" w:cs="Arial"/>
          <w:b/>
          <w:sz w:val="24"/>
          <w:szCs w:val="24"/>
        </w:rPr>
        <w:t>c)</w:t>
      </w:r>
      <w:r w:rsidR="002F6319">
        <w:rPr>
          <w:rFonts w:ascii="Arial" w:hAnsi="Arial" w:cs="Arial"/>
          <w:sz w:val="24"/>
          <w:szCs w:val="24"/>
        </w:rPr>
        <w:t xml:space="preserve"> Ramírez Alfaro &amp; Heredia Barrios</w:t>
      </w:r>
      <w:r w:rsidR="00070507">
        <w:rPr>
          <w:rFonts w:ascii="Arial" w:hAnsi="Arial" w:cs="Arial"/>
          <w:sz w:val="24"/>
          <w:szCs w:val="24"/>
        </w:rPr>
        <w:t xml:space="preserve">, la </w:t>
      </w:r>
      <w:r w:rsidR="002F6319">
        <w:rPr>
          <w:rFonts w:ascii="Arial" w:hAnsi="Arial" w:cs="Arial"/>
          <w:sz w:val="24"/>
          <w:szCs w:val="24"/>
        </w:rPr>
        <w:t>carta de presentación subsanada, respecto del error evidente en el monto imponible de obra prevista declarado en letras;</w:t>
      </w:r>
    </w:p>
    <w:p w:rsidR="006711D6" w:rsidRDefault="002F6319" w:rsidP="006711D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F6319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con fecha 23.10.17, </w:t>
      </w:r>
      <w:r w:rsidRPr="002F6319">
        <w:rPr>
          <w:rFonts w:ascii="Arial" w:hAnsi="Arial" w:cs="Arial"/>
          <w:sz w:val="24"/>
          <w:szCs w:val="24"/>
        </w:rPr>
        <w:t xml:space="preserve">el Área Gestión y Contralor de Obras </w:t>
      </w:r>
      <w:r w:rsidR="00070507">
        <w:rPr>
          <w:rFonts w:ascii="Arial" w:hAnsi="Arial" w:cs="Arial"/>
          <w:sz w:val="24"/>
          <w:szCs w:val="24"/>
        </w:rPr>
        <w:t xml:space="preserve">en </w:t>
      </w:r>
      <w:r w:rsidRPr="002F6319">
        <w:rPr>
          <w:rFonts w:ascii="Arial" w:hAnsi="Arial" w:cs="Arial"/>
          <w:sz w:val="24"/>
          <w:szCs w:val="24"/>
        </w:rPr>
        <w:t>su informe final</w:t>
      </w:r>
      <w:r w:rsidR="000D24E1">
        <w:rPr>
          <w:rFonts w:ascii="Arial" w:hAnsi="Arial" w:cs="Arial"/>
          <w:sz w:val="24"/>
          <w:szCs w:val="24"/>
        </w:rPr>
        <w:t xml:space="preserve"> determino que las ofertas presentadas por BGR Construcciones S.R.L</w:t>
      </w:r>
      <w:r w:rsidR="006711D6">
        <w:rPr>
          <w:rFonts w:ascii="Arial" w:hAnsi="Arial" w:cs="Arial"/>
          <w:sz w:val="24"/>
          <w:szCs w:val="24"/>
        </w:rPr>
        <w:t>. y Má</w:t>
      </w:r>
      <w:r w:rsidR="000D24E1">
        <w:rPr>
          <w:rFonts w:ascii="Arial" w:hAnsi="Arial" w:cs="Arial"/>
          <w:sz w:val="24"/>
          <w:szCs w:val="24"/>
        </w:rPr>
        <w:t xml:space="preserve">rquez Alonso Ltda. no son admisibles, en tanto la primera </w:t>
      </w:r>
      <w:r w:rsidR="00070507">
        <w:rPr>
          <w:rFonts w:ascii="Arial" w:hAnsi="Arial" w:cs="Arial"/>
          <w:sz w:val="24"/>
          <w:szCs w:val="24"/>
        </w:rPr>
        <w:t xml:space="preserve">de las firmas </w:t>
      </w:r>
      <w:r w:rsidR="000D24E1">
        <w:rPr>
          <w:rFonts w:ascii="Arial" w:hAnsi="Arial" w:cs="Arial"/>
          <w:sz w:val="24"/>
          <w:szCs w:val="24"/>
        </w:rPr>
        <w:t xml:space="preserve">tiene un VECA libre menor al monto básico de la oferta, y la segunda </w:t>
      </w:r>
      <w:r w:rsidR="00070507">
        <w:rPr>
          <w:rFonts w:ascii="Arial" w:hAnsi="Arial" w:cs="Arial"/>
          <w:sz w:val="24"/>
          <w:szCs w:val="24"/>
        </w:rPr>
        <w:t xml:space="preserve">de las firmas, </w:t>
      </w:r>
      <w:r w:rsidR="000D24E1">
        <w:rPr>
          <w:rFonts w:ascii="Arial" w:hAnsi="Arial" w:cs="Arial"/>
          <w:sz w:val="24"/>
          <w:szCs w:val="24"/>
        </w:rPr>
        <w:t>porque no presentó el complemento del timbre profesional</w:t>
      </w:r>
      <w:r w:rsidR="00946323">
        <w:rPr>
          <w:rFonts w:ascii="Arial" w:hAnsi="Arial" w:cs="Arial"/>
          <w:sz w:val="24"/>
          <w:szCs w:val="24"/>
        </w:rPr>
        <w:t xml:space="preserve"> en el plazo otorgado a tales efectos</w:t>
      </w:r>
      <w:r w:rsidR="000D24E1">
        <w:rPr>
          <w:rFonts w:ascii="Arial" w:hAnsi="Arial" w:cs="Arial"/>
          <w:sz w:val="24"/>
          <w:szCs w:val="24"/>
        </w:rPr>
        <w:t>, siendo el resto admisibles;</w:t>
      </w:r>
    </w:p>
    <w:p w:rsidR="006711D6" w:rsidRDefault="000D24E1" w:rsidP="006711D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D24E1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946323">
        <w:rPr>
          <w:rFonts w:ascii="Arial" w:hAnsi="Arial" w:cs="Arial"/>
          <w:sz w:val="24"/>
          <w:szCs w:val="24"/>
        </w:rPr>
        <w:t>de conf</w:t>
      </w:r>
      <w:r w:rsidR="006711D6">
        <w:rPr>
          <w:rFonts w:ascii="Arial" w:hAnsi="Arial" w:cs="Arial"/>
          <w:sz w:val="24"/>
          <w:szCs w:val="24"/>
        </w:rPr>
        <w:t>ormidad con lo dispuesto en el A</w:t>
      </w:r>
      <w:r w:rsidR="00946323">
        <w:rPr>
          <w:rFonts w:ascii="Arial" w:hAnsi="Arial" w:cs="Arial"/>
          <w:sz w:val="24"/>
          <w:szCs w:val="24"/>
        </w:rPr>
        <w:t xml:space="preserve">rtículo 14 del Pliego de Condiciones Particulares, se </w:t>
      </w:r>
      <w:r w:rsidR="00070507">
        <w:rPr>
          <w:rFonts w:ascii="Arial" w:hAnsi="Arial" w:cs="Arial"/>
          <w:sz w:val="24"/>
          <w:szCs w:val="24"/>
        </w:rPr>
        <w:t>procedió</w:t>
      </w:r>
      <w:r w:rsidR="00946323">
        <w:rPr>
          <w:rFonts w:ascii="Arial" w:hAnsi="Arial" w:cs="Arial"/>
          <w:sz w:val="24"/>
          <w:szCs w:val="24"/>
        </w:rPr>
        <w:t xml:space="preserve"> a la evaluación </w:t>
      </w:r>
      <w:r w:rsidR="00070507">
        <w:rPr>
          <w:rFonts w:ascii="Arial" w:hAnsi="Arial" w:cs="Arial"/>
          <w:sz w:val="24"/>
          <w:szCs w:val="24"/>
        </w:rPr>
        <w:t xml:space="preserve">económica </w:t>
      </w:r>
      <w:r w:rsidR="00946323">
        <w:rPr>
          <w:rFonts w:ascii="Arial" w:hAnsi="Arial" w:cs="Arial"/>
          <w:sz w:val="24"/>
          <w:szCs w:val="24"/>
        </w:rPr>
        <w:t>de las ofertas</w:t>
      </w:r>
      <w:r>
        <w:rPr>
          <w:rFonts w:ascii="Arial" w:hAnsi="Arial" w:cs="Arial"/>
          <w:sz w:val="24"/>
          <w:szCs w:val="24"/>
        </w:rPr>
        <w:t>, confeccionándose un cuadro comparativo</w:t>
      </w:r>
      <w:r w:rsidR="006711D6">
        <w:rPr>
          <w:rFonts w:ascii="Arial" w:hAnsi="Arial" w:cs="Arial"/>
          <w:sz w:val="24"/>
          <w:szCs w:val="24"/>
        </w:rPr>
        <w:t xml:space="preserve"> de precios</w:t>
      </w:r>
      <w:r w:rsidR="00070507">
        <w:rPr>
          <w:rFonts w:ascii="Arial" w:hAnsi="Arial" w:cs="Arial"/>
          <w:sz w:val="24"/>
          <w:szCs w:val="24"/>
        </w:rPr>
        <w:t>,</w:t>
      </w:r>
      <w:r w:rsidR="006711D6">
        <w:rPr>
          <w:rFonts w:ascii="Arial" w:hAnsi="Arial" w:cs="Arial"/>
          <w:sz w:val="24"/>
          <w:szCs w:val="24"/>
        </w:rPr>
        <w:t xml:space="preserve"> </w:t>
      </w:r>
      <w:r w:rsidR="004550A3">
        <w:rPr>
          <w:rFonts w:ascii="Arial" w:hAnsi="Arial" w:cs="Arial"/>
          <w:sz w:val="24"/>
          <w:szCs w:val="24"/>
        </w:rPr>
        <w:t>con aplicación del beneficio MIPYME, del que surge que l</w:t>
      </w:r>
      <w:r w:rsidR="00237AE0">
        <w:rPr>
          <w:rFonts w:ascii="Arial" w:hAnsi="Arial" w:cs="Arial"/>
          <w:sz w:val="24"/>
          <w:szCs w:val="24"/>
        </w:rPr>
        <w:t>as ofertas presentadas por R</w:t>
      </w:r>
      <w:r w:rsidR="004550A3">
        <w:rPr>
          <w:rFonts w:ascii="Arial" w:hAnsi="Arial" w:cs="Arial"/>
          <w:sz w:val="24"/>
          <w:szCs w:val="24"/>
        </w:rPr>
        <w:t xml:space="preserve">amírez Alfaro y Heredia Barrios, </w:t>
      </w:r>
      <w:r w:rsidR="00237AE0">
        <w:rPr>
          <w:rFonts w:ascii="Arial" w:hAnsi="Arial" w:cs="Arial"/>
          <w:sz w:val="24"/>
          <w:szCs w:val="24"/>
        </w:rPr>
        <w:t>Constructora B&amp;D Ltda., Franco Mezzetta S.A</w:t>
      </w:r>
      <w:r w:rsidR="006711D6">
        <w:rPr>
          <w:rFonts w:ascii="Arial" w:hAnsi="Arial" w:cs="Arial"/>
          <w:sz w:val="24"/>
          <w:szCs w:val="24"/>
        </w:rPr>
        <w:t>.</w:t>
      </w:r>
      <w:r w:rsidR="00237AE0">
        <w:rPr>
          <w:rFonts w:ascii="Arial" w:hAnsi="Arial" w:cs="Arial"/>
          <w:sz w:val="24"/>
          <w:szCs w:val="24"/>
        </w:rPr>
        <w:t xml:space="preserve"> y Einbauen</w:t>
      </w:r>
      <w:r w:rsidR="004550A3">
        <w:rPr>
          <w:rFonts w:ascii="Arial" w:hAnsi="Arial" w:cs="Arial"/>
          <w:sz w:val="24"/>
          <w:szCs w:val="24"/>
        </w:rPr>
        <w:t xml:space="preserve"> Ltda. son similares en precio;</w:t>
      </w:r>
    </w:p>
    <w:p w:rsidR="00815699" w:rsidRDefault="004550A3" w:rsidP="0081569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550A3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</w:t>
      </w:r>
      <w:r w:rsidR="006711D6">
        <w:rPr>
          <w:rFonts w:ascii="Arial" w:hAnsi="Arial" w:cs="Arial"/>
          <w:sz w:val="24"/>
          <w:szCs w:val="24"/>
        </w:rPr>
        <w:t>ue conforme lo dispuesto en el A</w:t>
      </w:r>
      <w:r>
        <w:rPr>
          <w:rFonts w:ascii="Arial" w:hAnsi="Arial" w:cs="Arial"/>
          <w:sz w:val="24"/>
          <w:szCs w:val="24"/>
        </w:rPr>
        <w:t>rtículo 66 del TOCAF, con fecha 14.11.17</w:t>
      </w:r>
      <w:r w:rsidR="0094632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la Administración convocó a las referidas firmas a </w:t>
      </w:r>
      <w:r>
        <w:rPr>
          <w:rFonts w:ascii="Arial" w:hAnsi="Arial" w:cs="Arial"/>
          <w:sz w:val="24"/>
          <w:szCs w:val="24"/>
        </w:rPr>
        <w:lastRenderedPageBreak/>
        <w:t xml:space="preserve">mejorar sus ofertas y, recibidas las mismas, el </w:t>
      </w:r>
      <w:r w:rsidRPr="004550A3">
        <w:rPr>
          <w:rFonts w:ascii="Arial" w:hAnsi="Arial" w:cs="Arial"/>
          <w:sz w:val="24"/>
          <w:szCs w:val="24"/>
        </w:rPr>
        <w:t>Área Gestión y Contralor de Obras</w:t>
      </w:r>
      <w:r>
        <w:rPr>
          <w:rFonts w:ascii="Arial" w:hAnsi="Arial" w:cs="Arial"/>
          <w:sz w:val="24"/>
          <w:szCs w:val="24"/>
        </w:rPr>
        <w:t xml:space="preserve"> elaboró un nuevo cuadro comparativo, con aplicación del beneficio MPYME</w:t>
      </w:r>
      <w:r w:rsidR="00815699">
        <w:rPr>
          <w:rFonts w:ascii="Arial" w:hAnsi="Arial" w:cs="Arial"/>
          <w:sz w:val="24"/>
          <w:szCs w:val="24"/>
        </w:rPr>
        <w:t xml:space="preserve">, </w:t>
      </w:r>
      <w:r w:rsidR="00070507">
        <w:rPr>
          <w:rFonts w:ascii="Arial" w:hAnsi="Arial" w:cs="Arial"/>
          <w:sz w:val="24"/>
          <w:szCs w:val="24"/>
        </w:rPr>
        <w:t xml:space="preserve">(luego </w:t>
      </w:r>
      <w:r w:rsidR="000602BA">
        <w:rPr>
          <w:rFonts w:ascii="Arial" w:hAnsi="Arial" w:cs="Arial"/>
          <w:sz w:val="24"/>
          <w:szCs w:val="24"/>
        </w:rPr>
        <w:t>rectificado con fecha 06.12.17 por padecer</w:t>
      </w:r>
      <w:r w:rsidR="00070507">
        <w:rPr>
          <w:rFonts w:ascii="Arial" w:hAnsi="Arial" w:cs="Arial"/>
          <w:sz w:val="24"/>
          <w:szCs w:val="24"/>
        </w:rPr>
        <w:t>se</w:t>
      </w:r>
      <w:r w:rsidR="000602BA">
        <w:rPr>
          <w:rFonts w:ascii="Arial" w:hAnsi="Arial" w:cs="Arial"/>
          <w:sz w:val="24"/>
          <w:szCs w:val="24"/>
        </w:rPr>
        <w:t xml:space="preserve"> errores aritméticos</w:t>
      </w:r>
      <w:r w:rsidR="00070507">
        <w:rPr>
          <w:rFonts w:ascii="Arial" w:hAnsi="Arial" w:cs="Arial"/>
          <w:sz w:val="24"/>
          <w:szCs w:val="24"/>
        </w:rPr>
        <w:t>)</w:t>
      </w:r>
      <w:r w:rsidR="000602BA">
        <w:rPr>
          <w:rFonts w:ascii="Arial" w:hAnsi="Arial" w:cs="Arial"/>
          <w:sz w:val="24"/>
          <w:szCs w:val="24"/>
        </w:rPr>
        <w:t>, determinó que la oferta de menor precio es la de Ramírez Alfaro &amp; Heredia Barrios, recomendando la adjudicación en su favor;</w:t>
      </w:r>
    </w:p>
    <w:p w:rsidR="00E9509E" w:rsidRDefault="000602BA" w:rsidP="00E9509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602BA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a pedido de </w:t>
      </w:r>
      <w:r w:rsidR="00237AE0">
        <w:rPr>
          <w:rFonts w:ascii="Arial" w:hAnsi="Arial" w:cs="Arial"/>
          <w:sz w:val="24"/>
          <w:szCs w:val="24"/>
        </w:rPr>
        <w:t xml:space="preserve">la Comisión Asesora de Adjudicaciones, la Unidad de Apoyo a la Gestión informó con fecha 11.12.17 que los ingenieros Diego Heredia y Martín Ramírez </w:t>
      </w:r>
      <w:r w:rsidR="00070507">
        <w:rPr>
          <w:rFonts w:ascii="Arial" w:hAnsi="Arial" w:cs="Arial"/>
          <w:sz w:val="24"/>
          <w:szCs w:val="24"/>
        </w:rPr>
        <w:t>(integrantes de la empresa propuesta como adjudicataria)</w:t>
      </w:r>
      <w:r w:rsidR="00815699">
        <w:rPr>
          <w:rFonts w:ascii="Arial" w:hAnsi="Arial" w:cs="Arial"/>
          <w:sz w:val="24"/>
          <w:szCs w:val="24"/>
        </w:rPr>
        <w:t xml:space="preserve"> </w:t>
      </w:r>
      <w:r w:rsidR="00237AE0">
        <w:rPr>
          <w:rFonts w:ascii="Arial" w:hAnsi="Arial" w:cs="Arial"/>
          <w:sz w:val="24"/>
          <w:szCs w:val="24"/>
        </w:rPr>
        <w:t>mantienen r</w:t>
      </w:r>
      <w:r>
        <w:rPr>
          <w:rFonts w:ascii="Arial" w:hAnsi="Arial" w:cs="Arial"/>
          <w:sz w:val="24"/>
          <w:szCs w:val="24"/>
        </w:rPr>
        <w:t>elación contractual con</w:t>
      </w:r>
      <w:r w:rsidR="00070507">
        <w:rPr>
          <w:rFonts w:ascii="Arial" w:hAnsi="Arial" w:cs="Arial"/>
          <w:sz w:val="24"/>
          <w:szCs w:val="24"/>
        </w:rPr>
        <w:t xml:space="preserve"> </w:t>
      </w:r>
      <w:r w:rsidR="00E9509E">
        <w:rPr>
          <w:rFonts w:ascii="Arial" w:hAnsi="Arial" w:cs="Arial"/>
          <w:sz w:val="24"/>
          <w:szCs w:val="24"/>
        </w:rPr>
        <w:t>ANEP</w:t>
      </w:r>
      <w:r>
        <w:rPr>
          <w:rFonts w:ascii="Arial" w:hAnsi="Arial" w:cs="Arial"/>
          <w:sz w:val="24"/>
          <w:szCs w:val="24"/>
        </w:rPr>
        <w:t xml:space="preserve"> y,  con fecha 20.12.17 la Unidad Letrada </w:t>
      </w:r>
      <w:r w:rsidR="00070507">
        <w:rPr>
          <w:rFonts w:ascii="Arial" w:hAnsi="Arial" w:cs="Arial"/>
          <w:sz w:val="24"/>
          <w:szCs w:val="24"/>
        </w:rPr>
        <w:t>consider</w:t>
      </w:r>
      <w:r>
        <w:rPr>
          <w:rFonts w:ascii="Arial" w:hAnsi="Arial" w:cs="Arial"/>
          <w:sz w:val="24"/>
          <w:szCs w:val="24"/>
        </w:rPr>
        <w:t xml:space="preserve">ó que en consecuencia, </w:t>
      </w:r>
      <w:r w:rsidR="00946323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incumple con lo dispuest</w:t>
      </w:r>
      <w:r w:rsidR="00E9509E">
        <w:rPr>
          <w:rFonts w:ascii="Arial" w:hAnsi="Arial" w:cs="Arial"/>
          <w:sz w:val="24"/>
          <w:szCs w:val="24"/>
        </w:rPr>
        <w:t>o en el A</w:t>
      </w:r>
      <w:r w:rsidR="00946323">
        <w:rPr>
          <w:rFonts w:ascii="Arial" w:hAnsi="Arial" w:cs="Arial"/>
          <w:sz w:val="24"/>
          <w:szCs w:val="24"/>
        </w:rPr>
        <w:t>rtículo 46 del TOCAF, por lo que sugirió desestimar su oferta</w:t>
      </w:r>
      <w:r>
        <w:rPr>
          <w:rFonts w:ascii="Arial" w:hAnsi="Arial" w:cs="Arial"/>
          <w:sz w:val="24"/>
          <w:szCs w:val="24"/>
        </w:rPr>
        <w:t>;</w:t>
      </w:r>
    </w:p>
    <w:p w:rsidR="00B47313" w:rsidRDefault="000602BA" w:rsidP="00B4731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602BA"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946323">
        <w:rPr>
          <w:rFonts w:ascii="Arial" w:hAnsi="Arial" w:cs="Arial"/>
          <w:sz w:val="24"/>
          <w:szCs w:val="24"/>
        </w:rPr>
        <w:t xml:space="preserve">en tal sentido, </w:t>
      </w:r>
      <w:r>
        <w:rPr>
          <w:rFonts w:ascii="Arial" w:hAnsi="Arial" w:cs="Arial"/>
          <w:sz w:val="24"/>
          <w:szCs w:val="24"/>
        </w:rPr>
        <w:t xml:space="preserve">con fecha 05.02.18 la </w:t>
      </w:r>
      <w:r w:rsidRPr="000602BA">
        <w:rPr>
          <w:rFonts w:ascii="Arial" w:hAnsi="Arial" w:cs="Arial"/>
          <w:sz w:val="24"/>
          <w:szCs w:val="24"/>
        </w:rPr>
        <w:t>Comisión Asesora de Adjudicaciones</w:t>
      </w:r>
      <w:r w:rsidR="00C4695C">
        <w:rPr>
          <w:rFonts w:ascii="Arial" w:hAnsi="Arial" w:cs="Arial"/>
          <w:sz w:val="24"/>
          <w:szCs w:val="24"/>
        </w:rPr>
        <w:t xml:space="preserve"> desestimó </w:t>
      </w:r>
      <w:r w:rsidR="00237AE0">
        <w:rPr>
          <w:rFonts w:ascii="Arial" w:hAnsi="Arial" w:cs="Arial"/>
          <w:sz w:val="24"/>
          <w:szCs w:val="24"/>
        </w:rPr>
        <w:t xml:space="preserve">la oferta de Ramírez Alfaro Martín José </w:t>
      </w:r>
      <w:r w:rsidR="00C4695C">
        <w:rPr>
          <w:rFonts w:ascii="Arial" w:hAnsi="Arial" w:cs="Arial"/>
          <w:sz w:val="24"/>
          <w:szCs w:val="24"/>
        </w:rPr>
        <w:t>&amp;</w:t>
      </w:r>
      <w:r w:rsidR="002108F0">
        <w:rPr>
          <w:rFonts w:ascii="Arial" w:hAnsi="Arial" w:cs="Arial"/>
          <w:sz w:val="24"/>
          <w:szCs w:val="24"/>
        </w:rPr>
        <w:t xml:space="preserve"> Heredia Diego Darío y sugirió </w:t>
      </w:r>
      <w:r w:rsidR="00237AE0">
        <w:rPr>
          <w:rFonts w:ascii="Arial" w:hAnsi="Arial" w:cs="Arial"/>
          <w:sz w:val="24"/>
          <w:szCs w:val="24"/>
        </w:rPr>
        <w:t xml:space="preserve">adjudicar </w:t>
      </w:r>
      <w:r w:rsidR="00070507">
        <w:rPr>
          <w:rFonts w:ascii="Arial" w:hAnsi="Arial" w:cs="Arial"/>
          <w:sz w:val="24"/>
          <w:szCs w:val="24"/>
        </w:rPr>
        <w:t>a Constructora B&amp;D Ltda</w:t>
      </w:r>
      <w:r w:rsidR="00E9509E">
        <w:rPr>
          <w:rFonts w:ascii="Arial" w:hAnsi="Arial" w:cs="Arial"/>
          <w:sz w:val="24"/>
          <w:szCs w:val="24"/>
        </w:rPr>
        <w:t>.</w:t>
      </w:r>
      <w:r w:rsidR="00070507">
        <w:rPr>
          <w:rFonts w:ascii="Arial" w:hAnsi="Arial" w:cs="Arial"/>
          <w:sz w:val="24"/>
          <w:szCs w:val="24"/>
        </w:rPr>
        <w:t xml:space="preserve"> que fue la segunda </w:t>
      </w:r>
      <w:r w:rsidR="002108F0">
        <w:rPr>
          <w:rFonts w:ascii="Arial" w:hAnsi="Arial" w:cs="Arial"/>
          <w:sz w:val="24"/>
          <w:szCs w:val="24"/>
        </w:rPr>
        <w:t xml:space="preserve">de menor precio, </w:t>
      </w:r>
      <w:r w:rsidR="00237AE0">
        <w:rPr>
          <w:rFonts w:ascii="Arial" w:hAnsi="Arial" w:cs="Arial"/>
          <w:sz w:val="24"/>
          <w:szCs w:val="24"/>
        </w:rPr>
        <w:t xml:space="preserve">por un monto de </w:t>
      </w:r>
      <w:r w:rsidR="00E9509E">
        <w:rPr>
          <w:rFonts w:ascii="Arial" w:hAnsi="Arial" w:cs="Arial"/>
          <w:sz w:val="24"/>
          <w:szCs w:val="24"/>
        </w:rPr>
        <w:t>$ 10:</w:t>
      </w:r>
      <w:r w:rsidR="00237AE0" w:rsidRPr="00994D45">
        <w:rPr>
          <w:rFonts w:ascii="Arial" w:hAnsi="Arial" w:cs="Arial"/>
          <w:sz w:val="24"/>
          <w:szCs w:val="24"/>
        </w:rPr>
        <w:t xml:space="preserve">714.199 </w:t>
      </w:r>
      <w:r w:rsidR="00070507">
        <w:rPr>
          <w:rFonts w:ascii="Arial" w:hAnsi="Arial" w:cs="Arial"/>
          <w:sz w:val="24"/>
          <w:szCs w:val="24"/>
        </w:rPr>
        <w:t>(</w:t>
      </w:r>
      <w:r w:rsidR="00237AE0" w:rsidRPr="00994D45">
        <w:rPr>
          <w:rFonts w:ascii="Arial" w:hAnsi="Arial" w:cs="Arial"/>
          <w:sz w:val="24"/>
          <w:szCs w:val="24"/>
        </w:rPr>
        <w:t>imprevistos e IVA incluidos</w:t>
      </w:r>
      <w:r w:rsidR="00070507">
        <w:rPr>
          <w:rFonts w:ascii="Arial" w:hAnsi="Arial" w:cs="Arial"/>
          <w:sz w:val="24"/>
          <w:szCs w:val="24"/>
        </w:rPr>
        <w:t>)</w:t>
      </w:r>
      <w:r w:rsidR="00237AE0" w:rsidRPr="00994D45">
        <w:rPr>
          <w:rFonts w:ascii="Arial" w:hAnsi="Arial" w:cs="Arial"/>
          <w:sz w:val="24"/>
          <w:szCs w:val="24"/>
        </w:rPr>
        <w:t xml:space="preserve">, </w:t>
      </w:r>
      <w:r w:rsidR="00070507">
        <w:rPr>
          <w:rFonts w:ascii="Arial" w:hAnsi="Arial" w:cs="Arial"/>
          <w:sz w:val="24"/>
          <w:szCs w:val="24"/>
        </w:rPr>
        <w:t>y</w:t>
      </w:r>
      <w:r w:rsidR="00237AE0" w:rsidRPr="00994D45">
        <w:rPr>
          <w:rFonts w:ascii="Arial" w:hAnsi="Arial" w:cs="Arial"/>
          <w:sz w:val="24"/>
          <w:szCs w:val="24"/>
        </w:rPr>
        <w:t xml:space="preserve"> un monto imponible de obra prevista para el cálculo d</w:t>
      </w:r>
      <w:r w:rsidR="00E9509E">
        <w:rPr>
          <w:rFonts w:ascii="Arial" w:hAnsi="Arial" w:cs="Arial"/>
          <w:sz w:val="24"/>
          <w:szCs w:val="24"/>
        </w:rPr>
        <w:t>e Leyes S</w:t>
      </w:r>
      <w:r w:rsidR="00237AE0" w:rsidRPr="00994D45">
        <w:rPr>
          <w:rFonts w:ascii="Arial" w:hAnsi="Arial" w:cs="Arial"/>
          <w:sz w:val="24"/>
          <w:szCs w:val="24"/>
        </w:rPr>
        <w:t>ociales de $ 1.275.000 y un monto imponible de obra</w:t>
      </w:r>
      <w:r w:rsidR="00E9509E">
        <w:rPr>
          <w:rFonts w:ascii="Arial" w:hAnsi="Arial" w:cs="Arial"/>
          <w:sz w:val="24"/>
          <w:szCs w:val="24"/>
        </w:rPr>
        <w:t xml:space="preserve"> imprevista para el cálculo de Leyes S</w:t>
      </w:r>
      <w:r w:rsidR="00237AE0" w:rsidRPr="00994D45">
        <w:rPr>
          <w:rFonts w:ascii="Arial" w:hAnsi="Arial" w:cs="Arial"/>
          <w:sz w:val="24"/>
          <w:szCs w:val="24"/>
        </w:rPr>
        <w:t>ociales de $ 572.748, generando</w:t>
      </w:r>
      <w:r w:rsidR="00BE2AD3">
        <w:rPr>
          <w:rFonts w:ascii="Arial" w:hAnsi="Arial" w:cs="Arial"/>
          <w:sz w:val="24"/>
          <w:szCs w:val="24"/>
        </w:rPr>
        <w:t xml:space="preserve"> </w:t>
      </w:r>
      <w:r w:rsidR="00E9509E">
        <w:rPr>
          <w:rFonts w:ascii="Arial" w:hAnsi="Arial" w:cs="Arial"/>
          <w:sz w:val="24"/>
          <w:szCs w:val="24"/>
        </w:rPr>
        <w:t>un monto total de Leyes S</w:t>
      </w:r>
      <w:r w:rsidR="00237AE0" w:rsidRPr="00994D45">
        <w:rPr>
          <w:rFonts w:ascii="Arial" w:hAnsi="Arial" w:cs="Arial"/>
          <w:sz w:val="24"/>
          <w:szCs w:val="24"/>
        </w:rPr>
        <w:t>ociales de obra prevista e imprevista de $</w:t>
      </w:r>
      <w:r w:rsidR="00E9509E">
        <w:rPr>
          <w:rFonts w:ascii="Arial" w:hAnsi="Arial" w:cs="Arial"/>
          <w:sz w:val="24"/>
          <w:szCs w:val="24"/>
        </w:rPr>
        <w:t xml:space="preserve"> 1:</w:t>
      </w:r>
      <w:r w:rsidR="00237AE0" w:rsidRPr="00994D45">
        <w:rPr>
          <w:rFonts w:ascii="Arial" w:hAnsi="Arial" w:cs="Arial"/>
          <w:sz w:val="24"/>
          <w:szCs w:val="24"/>
        </w:rPr>
        <w:t>208.427, con un plazo de ejecución de obra de 120 días laborables de la construcción</w:t>
      </w:r>
      <w:r w:rsidR="00994D45">
        <w:rPr>
          <w:rFonts w:ascii="Arial" w:hAnsi="Arial" w:cs="Arial"/>
          <w:sz w:val="24"/>
          <w:szCs w:val="24"/>
        </w:rPr>
        <w:t>;</w:t>
      </w:r>
    </w:p>
    <w:p w:rsidR="00B47313" w:rsidRDefault="00613A1F" w:rsidP="00B4731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13A1F">
        <w:rPr>
          <w:rFonts w:ascii="Arial" w:hAnsi="Arial" w:cs="Arial"/>
          <w:b/>
          <w:sz w:val="24"/>
          <w:szCs w:val="24"/>
        </w:rPr>
        <w:t>9)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con fecha 08.02.18, la </w:t>
      </w:r>
      <w:r w:rsidR="00237AE0" w:rsidRPr="00613A1F">
        <w:rPr>
          <w:rFonts w:ascii="Arial" w:hAnsi="Arial" w:cs="Arial"/>
          <w:sz w:val="24"/>
          <w:szCs w:val="24"/>
        </w:rPr>
        <w:t>Dirección Sectorial de Infraestructura</w:t>
      </w:r>
      <w:r w:rsidR="00237A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autorizó al </w:t>
      </w:r>
      <w:r w:rsidR="00237AE0">
        <w:rPr>
          <w:rFonts w:ascii="Arial" w:hAnsi="Arial" w:cs="Arial"/>
          <w:sz w:val="24"/>
          <w:szCs w:val="24"/>
        </w:rPr>
        <w:t xml:space="preserve">Área Contabilidad Financiera a realizar la </w:t>
      </w:r>
      <w:r w:rsidR="00B47313">
        <w:rPr>
          <w:rFonts w:ascii="Arial" w:hAnsi="Arial" w:cs="Arial"/>
          <w:sz w:val="24"/>
          <w:szCs w:val="24"/>
        </w:rPr>
        <w:t>imputación de los montos de $ 9:</w:t>
      </w:r>
      <w:r w:rsidR="00237AE0">
        <w:rPr>
          <w:rFonts w:ascii="Arial" w:hAnsi="Arial" w:cs="Arial"/>
          <w:sz w:val="24"/>
          <w:szCs w:val="24"/>
        </w:rPr>
        <w:t>807.047 por avance y de $ 290.000 por concepto de ajuste, con cargo al Proyecto 802, Rentas Generales del PIP/18, Financiación 1.1, correspondiendo el monto al tot</w:t>
      </w:r>
      <w:r>
        <w:rPr>
          <w:rFonts w:ascii="Arial" w:hAnsi="Arial" w:cs="Arial"/>
          <w:sz w:val="24"/>
          <w:szCs w:val="24"/>
        </w:rPr>
        <w:t xml:space="preserve">al del contrato sin imprevistos y el </w:t>
      </w:r>
      <w:r w:rsidR="00237AE0">
        <w:rPr>
          <w:rFonts w:ascii="Arial" w:hAnsi="Arial" w:cs="Arial"/>
          <w:sz w:val="24"/>
          <w:szCs w:val="24"/>
        </w:rPr>
        <w:t>15.02.18 se procedió a la afectación de los referidos gast</w:t>
      </w:r>
      <w:r>
        <w:rPr>
          <w:rFonts w:ascii="Arial" w:hAnsi="Arial" w:cs="Arial"/>
          <w:sz w:val="24"/>
          <w:szCs w:val="24"/>
        </w:rPr>
        <w:t>os;</w:t>
      </w:r>
    </w:p>
    <w:p w:rsidR="00237AE0" w:rsidRDefault="00613A1F" w:rsidP="00B4731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13A1F">
        <w:rPr>
          <w:rFonts w:ascii="Arial" w:hAnsi="Arial" w:cs="Arial"/>
          <w:b/>
          <w:sz w:val="24"/>
          <w:szCs w:val="24"/>
        </w:rPr>
        <w:t xml:space="preserve">10) </w:t>
      </w:r>
      <w:r w:rsidRPr="00613A1F">
        <w:rPr>
          <w:rFonts w:ascii="Arial" w:hAnsi="Arial" w:cs="Arial"/>
          <w:sz w:val="24"/>
          <w:szCs w:val="24"/>
        </w:rPr>
        <w:t xml:space="preserve">que por </w:t>
      </w:r>
      <w:r w:rsidR="00237AE0" w:rsidRPr="00613A1F">
        <w:rPr>
          <w:rFonts w:ascii="Arial" w:hAnsi="Arial" w:cs="Arial"/>
          <w:sz w:val="24"/>
          <w:szCs w:val="24"/>
        </w:rPr>
        <w:t>Resolución</w:t>
      </w:r>
      <w:r w:rsidRPr="00613A1F">
        <w:rPr>
          <w:rFonts w:ascii="Arial" w:hAnsi="Arial" w:cs="Arial"/>
          <w:sz w:val="24"/>
          <w:szCs w:val="24"/>
        </w:rPr>
        <w:t xml:space="preserve"> DSI N° 007/18 de fecha </w:t>
      </w:r>
      <w:r w:rsidR="00237AE0" w:rsidRPr="00613A1F">
        <w:rPr>
          <w:rFonts w:ascii="Arial" w:hAnsi="Arial" w:cs="Arial"/>
          <w:sz w:val="24"/>
          <w:szCs w:val="24"/>
        </w:rPr>
        <w:t>15.02</w:t>
      </w:r>
      <w:r w:rsidR="00237AE0">
        <w:rPr>
          <w:rFonts w:ascii="Arial" w:hAnsi="Arial" w:cs="Arial"/>
          <w:sz w:val="24"/>
          <w:szCs w:val="24"/>
        </w:rPr>
        <w:t>.18</w:t>
      </w:r>
      <w:r>
        <w:rPr>
          <w:rFonts w:ascii="Arial" w:hAnsi="Arial" w:cs="Arial"/>
          <w:sz w:val="24"/>
          <w:szCs w:val="24"/>
        </w:rPr>
        <w:t>, l</w:t>
      </w:r>
      <w:r w:rsidR="00237AE0">
        <w:rPr>
          <w:rFonts w:ascii="Arial" w:hAnsi="Arial" w:cs="Arial"/>
          <w:sz w:val="24"/>
          <w:szCs w:val="24"/>
        </w:rPr>
        <w:t xml:space="preserve">a Dirección Sectorial de Infraestructura dispuso adjudicar a </w:t>
      </w:r>
      <w:r w:rsidR="00237AE0">
        <w:rPr>
          <w:rFonts w:ascii="Arial" w:hAnsi="Arial" w:cs="Arial"/>
          <w:sz w:val="24"/>
          <w:szCs w:val="24"/>
        </w:rPr>
        <w:lastRenderedPageBreak/>
        <w:t>Constructora B&amp;D Ltda. en la forma propuesta por la Comisión Asesora de Adjudicaciones y</w:t>
      </w:r>
      <w:r w:rsidR="00946323">
        <w:rPr>
          <w:rFonts w:ascii="Arial" w:hAnsi="Arial" w:cs="Arial"/>
          <w:sz w:val="24"/>
          <w:szCs w:val="24"/>
        </w:rPr>
        <w:t xml:space="preserve"> </w:t>
      </w:r>
      <w:r w:rsidR="00237AE0">
        <w:rPr>
          <w:rFonts w:ascii="Arial" w:hAnsi="Arial" w:cs="Arial"/>
          <w:sz w:val="24"/>
          <w:szCs w:val="24"/>
        </w:rPr>
        <w:t>autorizó al Área Contable Financiera a efectuar la liquidación y pago</w:t>
      </w:r>
      <w:r>
        <w:rPr>
          <w:rFonts w:ascii="Arial" w:hAnsi="Arial" w:cs="Arial"/>
          <w:sz w:val="24"/>
          <w:szCs w:val="24"/>
        </w:rPr>
        <w:t xml:space="preserve"> de las facturas que se generen;</w:t>
      </w:r>
    </w:p>
    <w:p w:rsidR="00816253" w:rsidRDefault="00816253" w:rsidP="00B47313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z w:val="24"/>
          <w:szCs w:val="20"/>
          <w:lang w:val="es-MX" w:eastAsia="es-ES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B4731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que</w:t>
      </w:r>
      <w:r w:rsidR="00070507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el rechazo de las ofertas no puede quedar librado al exclusivo juicio de la </w:t>
      </w:r>
      <w:r w:rsidR="00CA47F5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Administración</w:t>
      </w:r>
      <w:r w:rsidR="00070507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como lo establece el </w:t>
      </w:r>
      <w:r w:rsidR="00B47313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A</w:t>
      </w:r>
      <w:r w:rsidR="00946323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rtículo 1.1 del Pl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iego de Condiciones Particulares, </w:t>
      </w:r>
      <w:r w:rsidR="00CA47F5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sino que debe hacerse 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únicamente en forma fundada y </w:t>
      </w:r>
      <w:r w:rsidR="00B47313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de acuerdo con</w:t>
      </w:r>
      <w:r w:rsidR="00CA47F5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los criterios de evaluación obje</w:t>
      </w:r>
      <w:r w:rsidR="00B47313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tivos previstos en los P</w:t>
      </w:r>
      <w:r w:rsidR="00946323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liegos, 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por lo que se sugiere la supresión o modificación de la redacción de la referida disposición</w:t>
      </w:r>
      <w:r w:rsidR="00CA47F5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, ajustándola a lo expresado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;</w:t>
      </w:r>
    </w:p>
    <w:p w:rsidR="007213D4" w:rsidRPr="00BA6B82" w:rsidRDefault="007213D4" w:rsidP="00B47313">
      <w:pPr>
        <w:tabs>
          <w:tab w:val="left" w:pos="-3420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BA6B82">
        <w:rPr>
          <w:rFonts w:ascii="Arial" w:eastAsia="Times New Roman" w:hAnsi="Arial" w:cs="Arial"/>
          <w:b/>
          <w:bCs/>
          <w:sz w:val="24"/>
          <w:szCs w:val="20"/>
          <w:lang w:val="es-ES" w:eastAsia="es-ES"/>
        </w:rPr>
        <w:t xml:space="preserve">ATENTO: </w:t>
      </w:r>
      <w:r w:rsidRPr="00BA6B82">
        <w:rPr>
          <w:rFonts w:ascii="Arial" w:eastAsia="Times New Roman" w:hAnsi="Arial" w:cs="Arial"/>
          <w:sz w:val="24"/>
          <w:szCs w:val="20"/>
          <w:lang w:val="es-ES" w:eastAsia="es-ES"/>
        </w:rPr>
        <w:t>a lo exp</w:t>
      </w:r>
      <w:r w:rsidR="00B47313">
        <w:rPr>
          <w:rFonts w:ascii="Arial" w:eastAsia="Times New Roman" w:hAnsi="Arial" w:cs="Arial"/>
          <w:sz w:val="24"/>
          <w:szCs w:val="20"/>
          <w:lang w:val="es-ES" w:eastAsia="es-ES"/>
        </w:rPr>
        <w:t>uesto y a lo dispuesto por el  Artículo 211 L</w:t>
      </w:r>
      <w:r w:rsidRPr="00BA6B82">
        <w:rPr>
          <w:rFonts w:ascii="Arial" w:eastAsia="Times New Roman" w:hAnsi="Arial" w:cs="Arial"/>
          <w:sz w:val="24"/>
          <w:szCs w:val="20"/>
          <w:lang w:val="es-ES" w:eastAsia="es-ES"/>
        </w:rPr>
        <w:t>iteral B) de la Constitución de la República;</w:t>
      </w:r>
    </w:p>
    <w:p w:rsidR="007213D4" w:rsidRPr="00BA6B82" w:rsidRDefault="007213D4" w:rsidP="007213D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</w:pPr>
      <w:r w:rsidRPr="00BA6B8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EL TRIBUNAL ACUERDA</w:t>
      </w:r>
    </w:p>
    <w:p w:rsidR="007213D4" w:rsidRDefault="007213D4" w:rsidP="000A7433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4A2BE7">
        <w:rPr>
          <w:rFonts w:ascii="Arial" w:eastAsia="Times New Roman" w:hAnsi="Arial" w:cs="Arial"/>
          <w:b/>
          <w:sz w:val="24"/>
          <w:szCs w:val="20"/>
          <w:lang w:val="es-MX" w:eastAsia="es-ES"/>
        </w:rPr>
        <w:t>1)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Cometer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al Contador Delegado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la 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>intervención del gasto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, 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una vez imputado al </w:t>
      </w:r>
      <w:r w:rsidR="00CA47F5">
        <w:rPr>
          <w:rFonts w:ascii="Arial" w:eastAsia="Times New Roman" w:hAnsi="Arial" w:cs="Arial"/>
          <w:sz w:val="24"/>
          <w:szCs w:val="20"/>
          <w:lang w:val="es-MX" w:eastAsia="es-ES"/>
        </w:rPr>
        <w:t xml:space="preserve">rubro 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adecuado con dispo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nibilidad suficiente;</w:t>
      </w:r>
    </w:p>
    <w:p w:rsidR="00672C1E" w:rsidRPr="00053412" w:rsidRDefault="00672C1E" w:rsidP="007213D4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672C1E">
        <w:rPr>
          <w:rFonts w:ascii="Arial" w:eastAsia="Times New Roman" w:hAnsi="Arial" w:cs="Arial"/>
          <w:b/>
          <w:sz w:val="24"/>
          <w:szCs w:val="20"/>
          <w:lang w:val="es-MX" w:eastAsia="es-ES"/>
        </w:rPr>
        <w:t>2)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Téngase presente </w:t>
      </w:r>
      <w:r w:rsidR="000A7433">
        <w:rPr>
          <w:rFonts w:ascii="Arial" w:eastAsia="Times New Roman" w:hAnsi="Arial" w:cs="Arial"/>
          <w:sz w:val="24"/>
          <w:szCs w:val="20"/>
          <w:lang w:val="es-MX" w:eastAsia="es-ES"/>
        </w:rPr>
        <w:t>lo expresado en el Considerando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;</w:t>
      </w:r>
    </w:p>
    <w:p w:rsidR="007213D4" w:rsidRPr="00053412" w:rsidRDefault="00672C1E" w:rsidP="007213D4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ES"/>
        </w:rPr>
        <w:t>3</w:t>
      </w:r>
      <w:r w:rsidR="007213D4" w:rsidRPr="00053412">
        <w:rPr>
          <w:rFonts w:ascii="Arial" w:eastAsia="Times New Roman" w:hAnsi="Arial" w:cs="Arial"/>
          <w:b/>
          <w:sz w:val="24"/>
          <w:szCs w:val="20"/>
          <w:lang w:val="es-MX" w:eastAsia="es-ES"/>
        </w:rPr>
        <w:t>)</w:t>
      </w:r>
      <w:r w:rsidR="007213D4"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Comunicar </w:t>
      </w:r>
      <w:r w:rsidR="007213D4">
        <w:rPr>
          <w:rFonts w:ascii="Arial" w:eastAsia="Times New Roman" w:hAnsi="Arial" w:cs="Arial"/>
          <w:sz w:val="24"/>
          <w:szCs w:val="20"/>
          <w:lang w:val="es-MX" w:eastAsia="es-ES"/>
        </w:rPr>
        <w:t>al Contador Delegado; y</w:t>
      </w:r>
    </w:p>
    <w:p w:rsidR="002D5F61" w:rsidRDefault="00672C1E" w:rsidP="000A7433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ES"/>
        </w:rPr>
        <w:t>4</w:t>
      </w:r>
      <w:r w:rsidR="007213D4" w:rsidRPr="00053412">
        <w:rPr>
          <w:rFonts w:ascii="Arial" w:eastAsia="Times New Roman" w:hAnsi="Arial" w:cs="Arial"/>
          <w:b/>
          <w:sz w:val="24"/>
          <w:szCs w:val="20"/>
          <w:lang w:val="es-MX" w:eastAsia="es-ES"/>
        </w:rPr>
        <w:t>)</w:t>
      </w:r>
      <w:r w:rsidR="007213D4"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Devolver las actuaciones.</w:t>
      </w:r>
      <w:r w:rsidR="007213D4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 </w:t>
      </w:r>
    </w:p>
    <w:p w:rsidR="000A7433" w:rsidRDefault="000A7433" w:rsidP="000A7433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0A7433" w:rsidRDefault="000A7433" w:rsidP="000A7433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0A7433" w:rsidRDefault="000A7433" w:rsidP="000A7433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0A7433" w:rsidRDefault="000A7433" w:rsidP="000A7433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0A7433" w:rsidRPr="002D5F61" w:rsidRDefault="000A7433" w:rsidP="000A7433">
      <w:pPr>
        <w:spacing w:after="0" w:line="360" w:lineRule="auto"/>
        <w:ind w:hanging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dc</w:t>
      </w:r>
    </w:p>
    <w:sectPr w:rsidR="000A7433" w:rsidRPr="002D5F61" w:rsidSect="005A0761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699" w:rsidRDefault="00815699" w:rsidP="00815699">
      <w:pPr>
        <w:spacing w:after="0" w:line="240" w:lineRule="auto"/>
      </w:pPr>
      <w:r>
        <w:separator/>
      </w:r>
    </w:p>
  </w:endnote>
  <w:endnote w:type="continuationSeparator" w:id="0">
    <w:p w:rsidR="00815699" w:rsidRDefault="00815699" w:rsidP="0081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1928735"/>
      <w:docPartObj>
        <w:docPartGallery w:val="Page Numbers (Bottom of Page)"/>
        <w:docPartUnique/>
      </w:docPartObj>
    </w:sdtPr>
    <w:sdtEndPr/>
    <w:sdtContent>
      <w:p w:rsidR="00815699" w:rsidRDefault="0081569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761" w:rsidRPr="005A0761">
          <w:rPr>
            <w:noProof/>
            <w:lang w:val="es-ES"/>
          </w:rPr>
          <w:t>1</w:t>
        </w:r>
        <w:r>
          <w:fldChar w:fldCharType="end"/>
        </w:r>
      </w:p>
    </w:sdtContent>
  </w:sdt>
  <w:p w:rsidR="00815699" w:rsidRDefault="008156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699" w:rsidRDefault="00815699" w:rsidP="00815699">
      <w:pPr>
        <w:spacing w:after="0" w:line="240" w:lineRule="auto"/>
      </w:pPr>
      <w:r>
        <w:separator/>
      </w:r>
    </w:p>
  </w:footnote>
  <w:footnote w:type="continuationSeparator" w:id="0">
    <w:p w:rsidR="00815699" w:rsidRDefault="00815699" w:rsidP="008156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A4"/>
    <w:rsid w:val="00045873"/>
    <w:rsid w:val="0005507B"/>
    <w:rsid w:val="000602BA"/>
    <w:rsid w:val="00061422"/>
    <w:rsid w:val="00070507"/>
    <w:rsid w:val="000A7433"/>
    <w:rsid w:val="000D048A"/>
    <w:rsid w:val="000D24E1"/>
    <w:rsid w:val="00130655"/>
    <w:rsid w:val="00176686"/>
    <w:rsid w:val="002108F0"/>
    <w:rsid w:val="00237AE0"/>
    <w:rsid w:val="002D5F61"/>
    <w:rsid w:val="002E0884"/>
    <w:rsid w:val="002F6319"/>
    <w:rsid w:val="00387CCF"/>
    <w:rsid w:val="0042012A"/>
    <w:rsid w:val="00423291"/>
    <w:rsid w:val="004550A3"/>
    <w:rsid w:val="005034C9"/>
    <w:rsid w:val="0050690A"/>
    <w:rsid w:val="005131FF"/>
    <w:rsid w:val="005133A7"/>
    <w:rsid w:val="005354F3"/>
    <w:rsid w:val="005668C6"/>
    <w:rsid w:val="005972F4"/>
    <w:rsid w:val="005A0761"/>
    <w:rsid w:val="00613A1F"/>
    <w:rsid w:val="006357F7"/>
    <w:rsid w:val="006426D7"/>
    <w:rsid w:val="006533E7"/>
    <w:rsid w:val="006711D6"/>
    <w:rsid w:val="00672C1E"/>
    <w:rsid w:val="00676CFD"/>
    <w:rsid w:val="006B2F89"/>
    <w:rsid w:val="006C01C2"/>
    <w:rsid w:val="007045CC"/>
    <w:rsid w:val="007213D4"/>
    <w:rsid w:val="00815699"/>
    <w:rsid w:val="00816253"/>
    <w:rsid w:val="00893175"/>
    <w:rsid w:val="009035B2"/>
    <w:rsid w:val="00946323"/>
    <w:rsid w:val="00971E1B"/>
    <w:rsid w:val="00994D45"/>
    <w:rsid w:val="009A59A4"/>
    <w:rsid w:val="009F0D79"/>
    <w:rsid w:val="00A024C0"/>
    <w:rsid w:val="00A14710"/>
    <w:rsid w:val="00A53ABE"/>
    <w:rsid w:val="00A703E1"/>
    <w:rsid w:val="00A72547"/>
    <w:rsid w:val="00AD56C1"/>
    <w:rsid w:val="00B47313"/>
    <w:rsid w:val="00B67884"/>
    <w:rsid w:val="00B80FC0"/>
    <w:rsid w:val="00B8235D"/>
    <w:rsid w:val="00BC1C61"/>
    <w:rsid w:val="00BE2AD3"/>
    <w:rsid w:val="00BE3332"/>
    <w:rsid w:val="00C37641"/>
    <w:rsid w:val="00C4695C"/>
    <w:rsid w:val="00CA47F5"/>
    <w:rsid w:val="00D77778"/>
    <w:rsid w:val="00D86561"/>
    <w:rsid w:val="00DE1B04"/>
    <w:rsid w:val="00E349F9"/>
    <w:rsid w:val="00E619DA"/>
    <w:rsid w:val="00E90FEB"/>
    <w:rsid w:val="00E9509E"/>
    <w:rsid w:val="00EC3B95"/>
    <w:rsid w:val="00ED1E3C"/>
    <w:rsid w:val="00F22E62"/>
    <w:rsid w:val="00F517EF"/>
    <w:rsid w:val="00F82DBD"/>
    <w:rsid w:val="00F92D78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1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5699"/>
  </w:style>
  <w:style w:type="paragraph" w:styleId="Piedepgina">
    <w:name w:val="footer"/>
    <w:basedOn w:val="Normal"/>
    <w:link w:val="PiedepginaCar"/>
    <w:uiPriority w:val="99"/>
    <w:unhideWhenUsed/>
    <w:rsid w:val="0081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699"/>
  </w:style>
  <w:style w:type="paragraph" w:styleId="Textodeglobo">
    <w:name w:val="Balloon Text"/>
    <w:basedOn w:val="Normal"/>
    <w:link w:val="TextodegloboCar"/>
    <w:uiPriority w:val="99"/>
    <w:semiHidden/>
    <w:unhideWhenUsed/>
    <w:rsid w:val="005A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1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5699"/>
  </w:style>
  <w:style w:type="paragraph" w:styleId="Piedepgina">
    <w:name w:val="footer"/>
    <w:basedOn w:val="Normal"/>
    <w:link w:val="PiedepginaCar"/>
    <w:uiPriority w:val="99"/>
    <w:unhideWhenUsed/>
    <w:rsid w:val="0081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699"/>
  </w:style>
  <w:style w:type="paragraph" w:styleId="Textodeglobo">
    <w:name w:val="Balloon Text"/>
    <w:basedOn w:val="Normal"/>
    <w:link w:val="TextodegloboCar"/>
    <w:uiPriority w:val="99"/>
    <w:semiHidden/>
    <w:unhideWhenUsed/>
    <w:rsid w:val="005A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764FA-3EC1-425C-B26B-17DAD9FD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5537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3</cp:revision>
  <cp:lastPrinted>2018-04-09T15:12:00Z</cp:lastPrinted>
  <dcterms:created xsi:type="dcterms:W3CDTF">2018-04-09T15:04:00Z</dcterms:created>
  <dcterms:modified xsi:type="dcterms:W3CDTF">2018-04-09T15:12:00Z</dcterms:modified>
</cp:coreProperties>
</file>